
<file path=[Content_Types].xml><?xml version="1.0" encoding="utf-8"?>
<Types xmlns="http://schemas.openxmlformats.org/package/2006/content-types">
  <Override PartName="/_rels/.rels" ContentType="application/vnd.openxmlformats-package.relationships+xml"/>
  <Override PartName="/word/header2.xml" ContentType="application/vnd.openxmlformats-officedocument.wordprocessingml.header+xml"/>
  <Override PartName="/word/numbering.xml" ContentType="application/vnd.openxmlformats-officedocument.wordprocessingml.numbering+xml"/>
  <Override PartName="/word/footer7.xml" ContentType="application/vnd.openxmlformats-officedocument.wordprocessingml.footer+xml"/>
  <Override PartName="/word/footer3.xml" ContentType="application/vnd.openxmlformats-officedocument.wordprocessingml.footer+xml"/>
  <Override PartName="/word/media/image67.wmf" ContentType="image/x-wmf"/>
  <Override PartName="/word/media/image72.png" ContentType="image/png"/>
  <Override PartName="/word/media/image56.png" ContentType="image/png"/>
  <Override PartName="/word/media/image39.jpeg" ContentType="image/jpeg"/>
  <Override PartName="/word/media/image40.png" ContentType="image/png"/>
  <Override PartName="/word/media/image49.png" ContentType="image/png"/>
  <Override PartName="/word/media/image78.jpeg" ContentType="image/jpeg"/>
  <Override PartName="/word/media/image74.png" ContentType="image/png"/>
  <Override PartName="/word/media/image58.png" ContentType="image/png"/>
  <Override PartName="/word/media/image84.jpeg" ContentType="image/jpeg"/>
  <Override PartName="/word/media/image37.wmf" ContentType="image/x-wmf"/>
  <Override PartName="/word/media/image42.png" ContentType="image/png"/>
  <Override PartName="/word/media/image62.wmf" ContentType="image/x-wmf"/>
  <Override PartName="/word/media/image51.png" ContentType="image/png"/>
  <Override PartName="/word/media/image35.png" ContentType="image/png"/>
  <Override PartName="/word/media/image60.png" ContentType="image/png"/>
  <Override PartName="/word/media/image75.jpeg" ContentType="image/jpeg"/>
  <Override PartName="/word/media/image30.wmf" ContentType="image/x-wmf"/>
  <Override PartName="/word/media/image44.png" ContentType="image/png"/>
  <Override PartName="/word/media/image69.png" ContentType="image/png"/>
  <Override PartName="/word/media/image64.wmf" ContentType="image/x-wmf"/>
  <Override PartName="/word/media/image81.jpeg" ContentType="image/jpeg"/>
  <Override PartName="/word/media/image53.png" ContentType="image/png"/>
  <Override PartName="/word/media/image86.jpeg" ContentType="image/jpeg"/>
  <Override PartName="/word/media/image32.wmf" ContentType="image/x-wmf"/>
  <Override PartName="/word/media/image46.png" ContentType="image/png"/>
  <Override PartName="/word/media/image71.png" ContentType="image/png"/>
  <Override PartName="/word/media/image66.wmf" ContentType="image/x-wmf"/>
  <Override PartName="/word/media/image55.png" ContentType="image/png"/>
  <Override PartName="/word/media/image77.jpeg" ContentType="image/jpeg"/>
  <Override PartName="/word/media/image34.wmf" ContentType="image/x-wmf"/>
  <Override PartName="/word/media/image48.png" ContentType="image/png"/>
  <Override PartName="/word/media/image83.jpeg" ContentType="image/jpeg"/>
  <Override PartName="/word/media/image73.png" ContentType="image/png"/>
  <Override PartName="/word/media/image57.png" ContentType="image/png"/>
  <Override PartName="/word/media/image36.wmf" ContentType="image/x-wmf"/>
  <Override PartName="/word/media/image41.png" ContentType="image/png"/>
  <Override PartName="/word/media/image50.png" ContentType="image/png"/>
  <Override PartName="/word/media/image59.png" ContentType="image/png"/>
  <Override PartName="/word/media/image79.jpeg" ContentType="image/jpeg"/>
  <Override PartName="/word/media/image80.jpeg" ContentType="image/jpeg"/>
  <Override PartName="/word/media/image43.png" ContentType="image/png"/>
  <Override PartName="/word/media/image68.png" ContentType="image/png"/>
  <Override PartName="/word/media/image85.jpeg" ContentType="image/jpeg"/>
  <Override PartName="/word/media/image63.wmf" ContentType="image/x-wmf"/>
  <Override PartName="/word/media/image52.png" ContentType="image/png"/>
  <Override PartName="/word/media/image31.wmf" ContentType="image/x-wmf"/>
  <Override PartName="/word/media/image61.png" ContentType="image/png"/>
  <Override PartName="/word/media/image45.png" ContentType="image/png"/>
  <Override PartName="/word/media/image65.wmf" ContentType="image/x-wmf"/>
  <Override PartName="/word/media/image70.png" ContentType="image/png"/>
  <Override PartName="/word/media/image76.jpeg" ContentType="image/jpeg"/>
  <Override PartName="/word/media/image54.png" ContentType="image/png"/>
  <Override PartName="/word/media/image38.png" ContentType="image/png"/>
  <Override PartName="/word/media/image82.jpeg" ContentType="image/jpeg"/>
  <Override PartName="/word/media/image33.wmf" ContentType="image/x-wmf"/>
  <Override PartName="/word/media/image47.png" ContentType="image/png"/>
  <Override PartName="/word/header3.xml" ContentType="application/vnd.openxmlformats-officedocument.wordprocessingml.header+xml"/>
  <Override PartName="/word/footer8.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document.xml" ContentType="application/vnd.openxmlformats-officedocument.wordprocessingml.document.main+xml"/>
  <Override PartName="/word/footer9.xml" ContentType="application/vnd.openxmlformats-officedocument.wordprocessingml.footer+xml"/>
  <Override PartName="/word/footer5.xml" ContentType="application/vnd.openxmlformats-officedocument.wordprocessingml.footer+xml"/>
  <Override PartName="/word/footer1.xml" ContentType="application/vnd.openxmlformats-officedocument.wordprocessingml.footer+xml"/>
  <Override PartName="/word/styles.xml" ContentType="application/vnd.openxmlformats-officedocument.wordprocessingml.styles+xml"/>
  <Override PartName="/word/header5.xml" ContentType="application/vnd.openxmlformats-officedocument.wordprocessingml.header+xml"/>
  <Override PartName="/word/header1.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footer2.xml" ContentType="application/vnd.openxmlformats-officedocument.wordprocessingml.footer+xml"/>
  <Override PartName="/word/_rels/document.xml.rels" ContentType="application/vnd.openxmlformats-package.relationships+xml"/>
  <Override PartName="/docProps/app.xml" ContentType="application/vnd.openxmlformats-officedocument.extended-properties+xml"/>
  <Override PartName="/docProps/core.xml" ContentType="application/vnd.openxmlformats-package.core-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w:body>
    <w:p>
      <w:pPr>
        <w:pStyle w:val="style0"/>
        <w:jc w:val="center"/>
      </w:pPr>
      <w:r>
        <w:rPr>
          <w:b/>
        </w:rPr>
      </w:r>
    </w:p>
    <w:p>
      <w:pPr>
        <w:pStyle w:val="style0"/>
        <w:jc w:val="center"/>
      </w:pPr>
      <w:r>
        <w:rPr>
          <w:b/>
        </w:rPr>
      </w:r>
    </w:p>
    <w:p>
      <w:pPr>
        <w:pStyle w:val="style0"/>
        <w:jc w:val="center"/>
      </w:pPr>
      <w:r>
        <w:rPr>
          <w:b/>
        </w:rPr>
      </w:r>
    </w:p>
    <w:p>
      <w:pPr>
        <w:pStyle w:val="style0"/>
        <w:jc w:val="center"/>
      </w:pPr>
      <w:r>
        <w:rPr>
          <w:b/>
        </w:rPr>
      </w:r>
    </w:p>
    <w:p>
      <w:pPr>
        <w:pStyle w:val="style0"/>
        <w:jc w:val="center"/>
      </w:pPr>
      <w:r>
        <w:rPr>
          <w:b/>
        </w:rPr>
      </w:r>
    </w:p>
    <w:p>
      <w:pPr>
        <w:pStyle w:val="style0"/>
        <w:jc w:val="center"/>
      </w:pPr>
      <w:r>
        <w:rPr>
          <w:b/>
        </w:rPr>
      </w:r>
    </w:p>
    <w:p>
      <w:pPr>
        <w:pStyle w:val="style0"/>
        <w:jc w:val="center"/>
      </w:pPr>
      <w:r>
        <w:rPr>
          <w:b/>
        </w:rPr>
      </w:r>
    </w:p>
    <w:p>
      <w:pPr>
        <w:pStyle w:val="style0"/>
        <w:pageBreakBefore/>
        <w:jc w:val="center"/>
      </w:pPr>
      <w:r>
        <w:rPr>
          <w:rFonts w:ascii="Times New Roman" w:cs="Times New Roman" w:hAnsi="Times New Roman"/>
          <w:b/>
          <w:sz w:val="24"/>
          <w:szCs w:val="24"/>
          <w:lang w:eastAsia="es-VE" w:val="es-VE"/>
        </w:rPr>
      </w:r>
    </w:p>
    <w:p>
      <w:pPr>
        <w:pStyle w:val="style1"/>
        <w:numPr>
          <w:ilvl w:val="0"/>
          <w:numId w:val="1"/>
        </w:numPr>
        <w:spacing w:line="360" w:lineRule="auto"/>
        <w:ind w:hanging="0" w:left="3685" w:right="0"/>
        <w:jc w:val="center"/>
      </w:pPr>
      <w:r>
        <w:rPr>
          <w:rFonts w:ascii="Arial" w:cs="Arial" w:eastAsia="Arial" w:hAnsi="Arial"/>
          <w:b w:val="false"/>
          <w:color w:val="000000"/>
          <w:sz w:val="24"/>
          <w:szCs w:val="24"/>
          <w:lang w:eastAsia="es-VE" w:val="es-VE"/>
        </w:rPr>
        <w:t xml:space="preserve">  </w:t>
      </w:r>
    </w:p>
    <w:p>
      <w:pPr>
        <w:pStyle w:val="style220"/>
        <w:jc w:val="center"/>
      </w:pPr>
      <w:r>
        <w:rPr>
          <w:rFonts w:ascii="Times New Roman" w:cs="Times New Roman" w:hAnsi="Times New Roman"/>
          <w:sz w:val="24"/>
          <w:szCs w:val="24"/>
          <w:lang w:eastAsia="es-VE" w:val="es-VE"/>
        </w:rPr>
      </w:r>
    </w:p>
    <w:p>
      <w:pPr>
        <w:pStyle w:val="style0"/>
        <w:widowControl/>
        <w:spacing w:after="200" w:before="0" w:line="276" w:lineRule="auto"/>
      </w:pPr>
      <w:r>
        <w:rPr/>
        <w:drawing>
          <wp:inline distB="0" distL="0" distR="0" distT="0">
            <wp:extent cx="802640" cy="707390"/>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2"/>
                    <a:srcRect/>
                    <a:stretch>
                      <a:fillRect/>
                    </a:stretch>
                  </pic:blipFill>
                  <pic:spPr bwMode="auto">
                    <a:xfrm>
                      <a:off x="0" y="0"/>
                      <a:ext cx="802640" cy="707390"/>
                    </a:xfrm>
                    <a:prstGeom prst="rect">
                      <a:avLst/>
                    </a:prstGeom>
                    <a:noFill/>
                    <a:ln w="9525">
                      <a:noFill/>
                      <a:miter lim="800000"/>
                      <a:headEnd/>
                      <a:tailEnd/>
                    </a:ln>
                  </pic:spPr>
                </pic:pic>
              </a:graphicData>
            </a:graphic>
          </wp:inline>
        </w:drawing>
      </w:r>
    </w:p>
    <w:p>
      <w:pPr>
        <w:pStyle w:val="style1"/>
        <w:numPr>
          <w:ilvl w:val="0"/>
          <w:numId w:val="1"/>
        </w:numPr>
        <w:spacing w:line="360" w:lineRule="auto"/>
        <w:ind w:hanging="0" w:left="432" w:right="0"/>
        <w:jc w:val="center"/>
      </w:pPr>
      <w:r>
        <w:rPr>
          <w:rFonts w:ascii="Times New Roman" w:cs="Times New Roman" w:hAnsi="Times New Roman"/>
          <w:b w:val="false"/>
          <w:sz w:val="24"/>
          <w:szCs w:val="24"/>
          <w:lang w:eastAsia="es-VE" w:val="es-VE"/>
        </w:rPr>
      </w:r>
    </w:p>
    <w:p>
      <w:pPr>
        <w:pStyle w:val="style1"/>
        <w:numPr>
          <w:ilvl w:val="0"/>
          <w:numId w:val="1"/>
        </w:numPr>
        <w:spacing w:line="360" w:lineRule="auto"/>
        <w:ind w:hanging="0" w:left="432" w:right="0"/>
        <w:jc w:val="center"/>
      </w:pPr>
      <w:r>
        <w:rPr>
          <w:rFonts w:ascii="Times New Roman" w:cs="Times New Roman" w:hAnsi="Times New Roman"/>
          <w:b w:val="false"/>
          <w:sz w:val="24"/>
          <w:szCs w:val="24"/>
          <w:lang w:eastAsia="es-VE" w:val="es-VE"/>
        </w:rPr>
      </w:r>
    </w:p>
    <w:p>
      <w:pPr>
        <w:pStyle w:val="style0"/>
      </w:pPr>
      <w:r>
        <w:rPr>
          <w:lang w:eastAsia="es-VE" w:val="es-VE"/>
        </w:rPr>
      </w:r>
    </w:p>
    <w:p>
      <w:pPr>
        <w:pStyle w:val="style0"/>
      </w:pPr>
      <w:r>
        <w:rPr>
          <w:lang w:eastAsia="es-VE" w:val="es-VE"/>
        </w:rPr>
      </w:r>
    </w:p>
    <w:p>
      <w:pPr>
        <w:pStyle w:val="style190"/>
        <w:spacing w:line="360" w:lineRule="auto"/>
        <w:jc w:val="center"/>
      </w:pPr>
      <w:r>
        <w:rPr>
          <w:rFonts w:ascii="Arial" w:cs="Arial" w:hAnsi="Arial"/>
          <w:b/>
          <w:sz w:val="24"/>
          <w:szCs w:val="24"/>
        </w:rPr>
        <w:t>ESTRATÉGIAS FINANCIERAS  -  OPERACIONALES  PARA LA REUTILIZACIÓN DE BIENES NACIONALES DEL INSTITUTO UNIVERSITARIO DE TECNOLOGÍA DE YARACUY  COMO INSUMO PARA LA PRODUCCIÓN AUTOMOTRIZ Y LA CONSTRUCCIÓN CIVIL EN VENEZUELA</w:t>
      </w:r>
      <w:r>
        <w:rPr>
          <w:b/>
        </w:rPr>
        <w:t>.</w:t>
      </w:r>
    </w:p>
    <w:p>
      <w:pPr>
        <w:pStyle w:val="style0"/>
      </w:pPr>
      <w:r>
        <w:rPr>
          <w:rFonts w:ascii="Times New Roman" w:cs="Times New Roman" w:hAnsi="Times New Roman"/>
          <w:b/>
          <w:sz w:val="24"/>
          <w:szCs w:val="24"/>
        </w:rPr>
      </w:r>
    </w:p>
    <w:p>
      <w:pPr>
        <w:pStyle w:val="style0"/>
        <w:jc w:val="center"/>
      </w:pPr>
      <w:r>
        <w:rPr>
          <w:rFonts w:ascii="Times New Roman" w:cs="Times New Roman" w:hAnsi="Times New Roman"/>
          <w:b/>
          <w:sz w:val="24"/>
          <w:szCs w:val="24"/>
          <w:lang w:eastAsia="es-VE" w:val="es-VE"/>
        </w:rPr>
      </w:r>
    </w:p>
    <w:p>
      <w:pPr>
        <w:pStyle w:val="style0"/>
        <w:jc w:val="center"/>
      </w:pPr>
      <w:r>
        <w:rPr>
          <w:rFonts w:ascii="Times New Roman" w:cs="Times New Roman" w:hAnsi="Times New Roman"/>
          <w:b/>
          <w:sz w:val="24"/>
          <w:szCs w:val="24"/>
          <w:lang w:eastAsia="es-VE" w:val="es-VE"/>
        </w:rPr>
      </w:r>
    </w:p>
    <w:p>
      <w:pPr>
        <w:pStyle w:val="style1"/>
        <w:numPr>
          <w:ilvl w:val="0"/>
          <w:numId w:val="1"/>
        </w:numPr>
        <w:spacing w:line="360" w:lineRule="auto"/>
        <w:ind w:hanging="0" w:left="3685" w:right="0"/>
        <w:jc w:val="center"/>
      </w:pPr>
      <w:r>
        <w:rPr>
          <w:rFonts w:ascii="Arial" w:cs="Arial" w:eastAsia="Arial" w:hAnsi="Arial"/>
          <w:b w:val="false"/>
          <w:color w:val="000000"/>
          <w:sz w:val="24"/>
          <w:szCs w:val="24"/>
          <w:lang w:eastAsia="es-VE" w:val="es-VE"/>
        </w:rPr>
        <w:t xml:space="preserve"> </w:t>
      </w:r>
      <w:r>
        <w:rPr>
          <w:rFonts w:ascii="Arial" w:cs="Arial" w:hAnsi="Arial"/>
          <w:b w:val="false"/>
          <w:color w:val="000000"/>
          <w:sz w:val="24"/>
          <w:szCs w:val="24"/>
          <w:lang w:eastAsia="es-VE" w:val="es-VE"/>
        </w:rPr>
        <w:t>Autor: Lcda. Esp. Oddalys Mendoza Díaz</w:t>
      </w:r>
    </w:p>
    <w:p>
      <w:pPr>
        <w:pStyle w:val="style0"/>
      </w:pPr>
      <w:r>
        <w:rPr>
          <w:rFonts w:ascii="Arial" w:cs="Arial" w:hAnsi="Arial"/>
          <w:sz w:val="24"/>
          <w:szCs w:val="24"/>
          <w:lang w:eastAsia="es-VE" w:val="es-VE"/>
        </w:rPr>
        <w:tab/>
        <w:tab/>
        <w:tab/>
        <w:tab/>
        <w:tab/>
        <w:t xml:space="preserve">          C.I. V – 12.080.428</w:t>
      </w:r>
    </w:p>
    <w:p>
      <w:pPr>
        <w:pStyle w:val="style0"/>
      </w:pPr>
      <w:r>
        <w:rPr>
          <w:rFonts w:ascii="Arial" w:cs="Arial" w:hAnsi="Arial"/>
          <w:sz w:val="24"/>
          <w:szCs w:val="24"/>
          <w:lang w:eastAsia="es-VE"/>
        </w:rPr>
      </w:r>
    </w:p>
    <w:p>
      <w:pPr>
        <w:pStyle w:val="style0"/>
      </w:pPr>
      <w:r>
        <w:rPr>
          <w:rFonts w:ascii="Arial" w:cs="Arial" w:hAnsi="Arial"/>
          <w:sz w:val="24"/>
          <w:szCs w:val="24"/>
          <w:lang w:eastAsia="es-VE"/>
        </w:rPr>
      </w:r>
    </w:p>
    <w:p>
      <w:pPr>
        <w:pStyle w:val="style0"/>
      </w:pPr>
      <w:r>
        <w:rPr>
          <w:rFonts w:ascii="Arial" w:cs="Arial" w:hAnsi="Arial"/>
          <w:sz w:val="24"/>
          <w:szCs w:val="24"/>
          <w:lang w:eastAsia="es-VE"/>
        </w:rPr>
      </w:r>
    </w:p>
    <w:p>
      <w:pPr>
        <w:pStyle w:val="style220"/>
        <w:jc w:val="center"/>
      </w:pPr>
      <w:r>
        <w:rPr>
          <w:rFonts w:ascii="Arial" w:cs="Arial" w:hAnsi="Arial"/>
          <w:sz w:val="24"/>
          <w:szCs w:val="24"/>
        </w:rPr>
        <w:t>Bárbula, Octubre  2015</w:t>
      </w:r>
    </w:p>
    <w:p>
      <w:pPr>
        <w:pStyle w:val="style220"/>
        <w:pageBreakBefore/>
        <w:jc w:val="center"/>
      </w:pPr>
      <w:r>
        <w:rPr>
          <w:rFonts w:ascii="Arial" w:cs="Arial" w:hAnsi="Arial"/>
          <w:sz w:val="24"/>
          <w:szCs w:val="24"/>
        </w:rPr>
      </w:r>
    </w:p>
    <w:p>
      <w:pPr>
        <w:pStyle w:val="style220"/>
        <w:jc w:val="center"/>
      </w:pPr>
      <w:r>
        <w:rPr>
          <w:rFonts w:ascii="Times New Roman" w:cs="Times New Roman" w:hAnsi="Times New Roman"/>
          <w:sz w:val="24"/>
          <w:szCs w:val="24"/>
          <w:lang w:eastAsia="es-VE" w:val="es-VE"/>
        </w:rPr>
      </w:r>
    </w:p>
    <w:p>
      <w:pPr>
        <w:pStyle w:val="style0"/>
        <w:widowControl/>
        <w:spacing w:after="200" w:before="0" w:line="276" w:lineRule="auto"/>
      </w:pPr>
      <w:r>
        <w:rPr/>
        <w:drawing>
          <wp:inline distB="0" distL="0" distR="0" distT="0">
            <wp:extent cx="802640" cy="707390"/>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3"/>
                    <a:srcRect/>
                    <a:stretch>
                      <a:fillRect/>
                    </a:stretch>
                  </pic:blipFill>
                  <pic:spPr bwMode="auto">
                    <a:xfrm>
                      <a:off x="0" y="0"/>
                      <a:ext cx="802640" cy="707390"/>
                    </a:xfrm>
                    <a:prstGeom prst="rect">
                      <a:avLst/>
                    </a:prstGeom>
                    <a:noFill/>
                    <a:ln w="9525">
                      <a:noFill/>
                      <a:miter lim="800000"/>
                      <a:headEnd/>
                      <a:tailEnd/>
                    </a:ln>
                  </pic:spPr>
                </pic:pic>
              </a:graphicData>
            </a:graphic>
          </wp:inline>
        </w:drawing>
      </w:r>
    </w:p>
    <w:p>
      <w:pPr>
        <w:pStyle w:val="style1"/>
        <w:numPr>
          <w:ilvl w:val="0"/>
          <w:numId w:val="1"/>
        </w:numPr>
        <w:spacing w:line="360" w:lineRule="auto"/>
        <w:ind w:hanging="0" w:left="432" w:right="0"/>
        <w:jc w:val="center"/>
      </w:pPr>
      <w:r>
        <w:rPr>
          <w:rFonts w:ascii="Times New Roman" w:cs="Times New Roman" w:hAnsi="Times New Roman"/>
          <w:b w:val="false"/>
          <w:sz w:val="24"/>
          <w:szCs w:val="24"/>
          <w:lang w:eastAsia="es-VE" w:val="es-VE"/>
        </w:rPr>
      </w:r>
    </w:p>
    <w:p>
      <w:pPr>
        <w:pStyle w:val="style1"/>
        <w:numPr>
          <w:ilvl w:val="0"/>
          <w:numId w:val="1"/>
        </w:numPr>
        <w:spacing w:line="360" w:lineRule="auto"/>
        <w:ind w:hanging="0" w:left="432" w:right="0"/>
        <w:jc w:val="center"/>
      </w:pPr>
      <w:r>
        <w:rPr>
          <w:rFonts w:ascii="Times New Roman" w:cs="Times New Roman" w:hAnsi="Times New Roman"/>
          <w:b w:val="false"/>
          <w:sz w:val="24"/>
          <w:szCs w:val="24"/>
          <w:lang w:eastAsia="es-VE" w:val="es-VE"/>
        </w:rPr>
      </w:r>
    </w:p>
    <w:p>
      <w:pPr>
        <w:pStyle w:val="style0"/>
      </w:pPr>
      <w:r>
        <w:rPr>
          <w:lang w:eastAsia="es-VE" w:val="es-VE"/>
        </w:rPr>
      </w:r>
    </w:p>
    <w:p>
      <w:pPr>
        <w:pStyle w:val="style0"/>
      </w:pPr>
      <w:r>
        <w:rPr>
          <w:lang w:eastAsia="es-VE" w:val="es-VE"/>
        </w:rPr>
      </w:r>
    </w:p>
    <w:p>
      <w:pPr>
        <w:pStyle w:val="style190"/>
        <w:spacing w:line="360" w:lineRule="auto"/>
        <w:jc w:val="center"/>
      </w:pPr>
      <w:r>
        <w:rPr>
          <w:rFonts w:ascii="Arial" w:cs="Arial" w:hAnsi="Arial"/>
          <w:b/>
          <w:sz w:val="24"/>
          <w:szCs w:val="24"/>
        </w:rPr>
        <w:t>ESTRATÉGIAS FINANCIERAS  -  OPERACIONALES  PARA LA REUTILIZACIÓN DE BIENES NACIONALES DEL INSTITUTO UNIVERSITARIO DE TECNOLOGÍA DE YARACUY  COMO INSUMO PARA LA PRODUCCIÓN AUTOMOTRIZ Y LA CONSTRUCCIÓN CIVIL EN VENEZUELA</w:t>
      </w:r>
      <w:r>
        <w:rPr>
          <w:b/>
        </w:rPr>
        <w:t>.</w:t>
      </w:r>
    </w:p>
    <w:p>
      <w:pPr>
        <w:pStyle w:val="style0"/>
      </w:pPr>
      <w:r>
        <w:rPr>
          <w:rFonts w:ascii="Times New Roman" w:cs="Times New Roman" w:hAnsi="Times New Roman"/>
          <w:b/>
          <w:sz w:val="24"/>
          <w:szCs w:val="24"/>
        </w:rPr>
      </w:r>
    </w:p>
    <w:p>
      <w:pPr>
        <w:pStyle w:val="style0"/>
        <w:jc w:val="center"/>
      </w:pPr>
      <w:r>
        <w:rPr>
          <w:rFonts w:ascii="Times New Roman" w:cs="Times New Roman" w:hAnsi="Times New Roman"/>
          <w:b/>
          <w:sz w:val="24"/>
          <w:szCs w:val="24"/>
          <w:lang w:eastAsia="es-VE" w:val="es-VE"/>
        </w:rPr>
      </w:r>
    </w:p>
    <w:p>
      <w:pPr>
        <w:pStyle w:val="style0"/>
        <w:jc w:val="center"/>
      </w:pPr>
      <w:r>
        <w:rPr>
          <w:rFonts w:ascii="Times New Roman" w:cs="Times New Roman" w:hAnsi="Times New Roman"/>
          <w:b/>
          <w:sz w:val="24"/>
          <w:szCs w:val="24"/>
          <w:lang w:eastAsia="es-VE" w:val="es-VE"/>
        </w:rPr>
      </w:r>
    </w:p>
    <w:p>
      <w:pPr>
        <w:pStyle w:val="style1"/>
        <w:numPr>
          <w:ilvl w:val="0"/>
          <w:numId w:val="1"/>
        </w:numPr>
        <w:spacing w:line="360" w:lineRule="auto"/>
        <w:ind w:hanging="0" w:left="3685" w:right="0"/>
        <w:jc w:val="center"/>
      </w:pPr>
      <w:r>
        <w:rPr>
          <w:rFonts w:ascii="Arial" w:cs="Arial" w:eastAsia="Arial" w:hAnsi="Arial"/>
          <w:b w:val="false"/>
          <w:color w:val="000000"/>
          <w:sz w:val="24"/>
          <w:szCs w:val="24"/>
          <w:lang w:eastAsia="es-VE" w:val="es-VE"/>
        </w:rPr>
        <w:t xml:space="preserve"> </w:t>
      </w:r>
      <w:r>
        <w:rPr>
          <w:rFonts w:ascii="Arial" w:cs="Arial" w:hAnsi="Arial"/>
          <w:b w:val="false"/>
          <w:color w:val="000000"/>
          <w:sz w:val="24"/>
          <w:szCs w:val="24"/>
          <w:lang w:eastAsia="es-VE" w:val="es-VE"/>
        </w:rPr>
        <w:t>Autor: Lcda. Esp. Oddalys Mendoza Díaz</w:t>
      </w:r>
    </w:p>
    <w:p>
      <w:pPr>
        <w:pStyle w:val="style0"/>
      </w:pPr>
      <w:r>
        <w:rPr>
          <w:rFonts w:ascii="Arial" w:cs="Arial" w:hAnsi="Arial"/>
          <w:sz w:val="24"/>
          <w:szCs w:val="24"/>
          <w:lang w:eastAsia="es-VE" w:val="es-VE"/>
        </w:rPr>
        <w:tab/>
      </w:r>
      <w:r>
        <w:rPr>
          <w:rFonts w:ascii="Arial" w:cs="Arial" w:hAnsi="Arial"/>
          <w:sz w:val="24"/>
          <w:szCs w:val="24"/>
          <w:lang w:eastAsia="es-VE" w:val="es-VE"/>
        </w:rPr>
        <w:tab/>
        <w:tab/>
        <w:tab/>
        <w:tab/>
        <w:t xml:space="preserve">          C.I. V – 12.080.428</w:t>
      </w:r>
    </w:p>
    <w:p>
      <w:pPr>
        <w:pStyle w:val="style0"/>
        <w:spacing w:after="200" w:before="0"/>
        <w:jc w:val="both"/>
      </w:pPr>
      <w:r>
        <w:rPr>
          <w:rFonts w:ascii="Arial" w:cs="Arial" w:hAnsi="Arial"/>
          <w:sz w:val="20"/>
          <w:szCs w:val="20"/>
        </w:rPr>
        <w:t>Trabajo de Grado presentado ante la  Universidad de Carabobo, Área de Postgrado para optar al título de Magíster en Administración de Empresas mención Finanzas</w:t>
      </w:r>
    </w:p>
    <w:p>
      <w:pPr>
        <w:pStyle w:val="style0"/>
      </w:pPr>
      <w:r>
        <w:rPr>
          <w:rFonts w:ascii="Arial" w:cs="Arial" w:hAnsi="Arial"/>
          <w:sz w:val="24"/>
          <w:szCs w:val="24"/>
          <w:lang w:eastAsia="es-VE"/>
        </w:rPr>
      </w:r>
    </w:p>
    <w:p>
      <w:pPr>
        <w:pStyle w:val="style0"/>
      </w:pPr>
      <w:r>
        <w:rPr>
          <w:rFonts w:ascii="Arial" w:cs="Arial" w:hAnsi="Arial"/>
          <w:sz w:val="24"/>
          <w:szCs w:val="24"/>
          <w:lang w:eastAsia="es-VE"/>
        </w:rPr>
      </w:r>
    </w:p>
    <w:p>
      <w:pPr>
        <w:pStyle w:val="style0"/>
      </w:pPr>
      <w:r>
        <w:rPr>
          <w:rFonts w:ascii="Arial" w:cs="Arial" w:hAnsi="Arial"/>
          <w:sz w:val="24"/>
          <w:szCs w:val="24"/>
          <w:lang w:eastAsia="es-VE"/>
        </w:rPr>
      </w:r>
    </w:p>
    <w:p>
      <w:pPr>
        <w:pStyle w:val="style0"/>
      </w:pPr>
      <w:r>
        <w:rPr>
          <w:rFonts w:ascii="Arial" w:cs="Arial" w:hAnsi="Arial"/>
          <w:sz w:val="24"/>
          <w:szCs w:val="24"/>
          <w:lang w:eastAsia="es-VE"/>
        </w:rPr>
      </w:r>
    </w:p>
    <w:p>
      <w:pPr>
        <w:pStyle w:val="style0"/>
      </w:pPr>
      <w:r>
        <w:rPr>
          <w:rFonts w:ascii="Arial" w:cs="Arial" w:hAnsi="Arial"/>
          <w:sz w:val="24"/>
          <w:szCs w:val="24"/>
          <w:lang w:eastAsia="es-VE"/>
        </w:rPr>
      </w:r>
    </w:p>
    <w:p>
      <w:pPr>
        <w:pStyle w:val="style220"/>
        <w:jc w:val="center"/>
      </w:pPr>
      <w:r>
        <w:rPr>
          <w:rFonts w:ascii="Arial" w:cs="Arial" w:hAnsi="Arial"/>
          <w:sz w:val="24"/>
          <w:szCs w:val="24"/>
        </w:rPr>
        <w:t>Bárbula, Octubre  2015</w:t>
      </w:r>
    </w:p>
    <w:p>
      <w:pPr>
        <w:pStyle w:val="style0"/>
      </w:pPr>
      <w:r>
        <w:rPr>
          <w:rFonts w:ascii="Arial" w:cs="Arial" w:hAnsi="Arial"/>
          <w:sz w:val="24"/>
          <w:szCs w:val="24"/>
          <w:lang w:eastAsia="es-VE"/>
        </w:rPr>
      </w:r>
    </w:p>
    <w:p>
      <w:pPr>
        <w:pStyle w:val="style220"/>
        <w:jc w:val="center"/>
      </w:pPr>
      <w:r>
        <w:rPr>
          <w:rFonts w:ascii="Arial" w:cs="Arial" w:hAnsi="Arial"/>
          <w:sz w:val="24"/>
          <w:szCs w:val="24"/>
        </w:rPr>
      </w:r>
    </w:p>
    <w:p>
      <w:pPr>
        <w:pStyle w:val="style220"/>
        <w:jc w:val="center"/>
      </w:pPr>
      <w:r>
        <w:rPr>
          <w:rFonts w:ascii="Times New Roman" w:cs="Times New Roman" w:hAnsi="Times New Roman"/>
          <w:sz w:val="24"/>
          <w:szCs w:val="24"/>
          <w:lang w:eastAsia="es-VE" w:val="es-VE"/>
        </w:rPr>
      </w:r>
    </w:p>
    <w:p>
      <w:pPr>
        <w:pStyle w:val="style0"/>
        <w:widowControl/>
        <w:spacing w:after="200" w:before="0" w:line="276" w:lineRule="auto"/>
      </w:pPr>
      <w:r>
        <w:rPr/>
        <w:drawing>
          <wp:inline distB="0" distL="0" distR="0" distT="0">
            <wp:extent cx="802640" cy="707390"/>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4"/>
                    <a:srcRect/>
                    <a:stretch>
                      <a:fillRect/>
                    </a:stretch>
                  </pic:blipFill>
                  <pic:spPr bwMode="auto">
                    <a:xfrm>
                      <a:off x="0" y="0"/>
                      <a:ext cx="802640" cy="707390"/>
                    </a:xfrm>
                    <a:prstGeom prst="rect">
                      <a:avLst/>
                    </a:prstGeom>
                    <a:noFill/>
                    <a:ln w="9525">
                      <a:noFill/>
                      <a:miter lim="800000"/>
                      <a:headEnd/>
                      <a:tailEnd/>
                    </a:ln>
                  </pic:spPr>
                </pic:pic>
              </a:graphicData>
            </a:graphic>
          </wp:inline>
        </w:drawing>
      </w:r>
    </w:p>
    <w:p>
      <w:pPr>
        <w:pStyle w:val="style1"/>
        <w:numPr>
          <w:ilvl w:val="0"/>
          <w:numId w:val="1"/>
        </w:numPr>
        <w:spacing w:line="360" w:lineRule="auto"/>
        <w:ind w:hanging="0" w:left="432" w:right="0"/>
        <w:jc w:val="center"/>
      </w:pPr>
      <w:r>
        <w:rPr>
          <w:rFonts w:ascii="Times New Roman" w:cs="Times New Roman" w:hAnsi="Times New Roman"/>
          <w:b w:val="false"/>
          <w:sz w:val="24"/>
          <w:szCs w:val="24"/>
          <w:lang w:eastAsia="es-VE" w:val="es-VE"/>
        </w:rPr>
      </w:r>
    </w:p>
    <w:p>
      <w:pPr>
        <w:pStyle w:val="style1"/>
        <w:numPr>
          <w:ilvl w:val="0"/>
          <w:numId w:val="1"/>
        </w:numPr>
        <w:spacing w:line="360" w:lineRule="auto"/>
        <w:ind w:hanging="0" w:left="432" w:right="0"/>
        <w:jc w:val="center"/>
      </w:pPr>
      <w:r>
        <w:rPr>
          <w:rFonts w:ascii="Times New Roman" w:cs="Times New Roman" w:hAnsi="Times New Roman"/>
          <w:b w:val="false"/>
          <w:sz w:val="24"/>
          <w:szCs w:val="24"/>
          <w:lang w:eastAsia="es-VE" w:val="es-VE"/>
        </w:rPr>
      </w:r>
    </w:p>
    <w:p>
      <w:pPr>
        <w:pStyle w:val="style0"/>
      </w:pPr>
      <w:r>
        <w:rPr>
          <w:lang w:eastAsia="es-VE" w:val="es-VE"/>
        </w:rPr>
      </w:r>
    </w:p>
    <w:p>
      <w:pPr>
        <w:pStyle w:val="style0"/>
      </w:pPr>
      <w:r>
        <w:rPr>
          <w:lang w:eastAsia="es-VE" w:val="es-VE"/>
        </w:rPr>
      </w:r>
    </w:p>
    <w:p>
      <w:pPr>
        <w:pStyle w:val="style190"/>
        <w:spacing w:line="360" w:lineRule="auto"/>
        <w:jc w:val="center"/>
      </w:pPr>
      <w:r>
        <w:rPr>
          <w:rFonts w:ascii="Arial" w:cs="Arial" w:hAnsi="Arial"/>
          <w:b/>
          <w:sz w:val="24"/>
          <w:szCs w:val="24"/>
        </w:rPr>
        <w:t>E</w:t>
      </w:r>
      <w:r>
        <w:rPr>
          <w:rFonts w:ascii="Arial" w:cs="Arial" w:hAnsi="Arial"/>
          <w:b/>
          <w:sz w:val="24"/>
          <w:szCs w:val="24"/>
        </w:rPr>
        <w:t>STRATÉGIAS FINANCIERAS  -  OPERACIONALES  PARA LA REUTILIZACIÓN DE BIENES NACIONALES DEL INSTITUTO UNIVERSITARIO DE TECNOLOGÍA DE YARACUY  COMO INSUMO PARA LA PRODUCCIÓN AUTOMOTRIZ Y LA CONSTRUCCIÓN CIVIL EN VENEZUELA</w:t>
      </w:r>
      <w:r>
        <w:rPr>
          <w:b/>
        </w:rPr>
        <w:t>.</w:t>
      </w:r>
    </w:p>
    <w:p>
      <w:pPr>
        <w:pStyle w:val="style0"/>
        <w:spacing w:after="0" w:before="0" w:line="360" w:lineRule="auto"/>
      </w:pPr>
      <w:r>
        <w:rPr>
          <w:rFonts w:ascii="Arial" w:cs="Arial" w:hAnsi="Arial"/>
          <w:b/>
          <w:sz w:val="24"/>
        </w:rPr>
        <w:t>Tutora de Contenido:</w:t>
      </w:r>
    </w:p>
    <w:p>
      <w:pPr>
        <w:pStyle w:val="style0"/>
        <w:spacing w:after="0" w:before="0" w:line="240" w:lineRule="auto"/>
      </w:pPr>
      <w:r>
        <w:rPr>
          <w:rFonts w:ascii="Arial" w:cs="Arial" w:hAnsi="Arial"/>
          <w:sz w:val="24"/>
        </w:rPr>
      </w:r>
    </w:p>
    <w:p>
      <w:pPr>
        <w:pStyle w:val="style0"/>
        <w:spacing w:after="0" w:before="0" w:line="360" w:lineRule="auto"/>
      </w:pPr>
      <w:r>
        <w:rPr>
          <w:rFonts w:ascii="Arial" w:cs="Arial" w:hAnsi="Arial"/>
          <w:sz w:val="24"/>
        </w:rPr>
        <w:t>Dr. Manuel E. Milla Pino</w:t>
      </w:r>
    </w:p>
    <w:p>
      <w:pPr>
        <w:pStyle w:val="style190"/>
        <w:spacing w:line="360" w:lineRule="auto"/>
        <w:jc w:val="center"/>
      </w:pPr>
      <w:r>
        <w:rPr>
          <w:b/>
        </w:rPr>
      </w:r>
    </w:p>
    <w:p>
      <w:pPr>
        <w:pStyle w:val="style0"/>
      </w:pPr>
      <w:r>
        <w:rPr>
          <w:rFonts w:ascii="Times New Roman" w:cs="Times New Roman" w:hAnsi="Times New Roman"/>
          <w:b/>
          <w:sz w:val="24"/>
          <w:szCs w:val="24"/>
        </w:rPr>
      </w:r>
    </w:p>
    <w:p>
      <w:pPr>
        <w:pStyle w:val="style1"/>
        <w:numPr>
          <w:ilvl w:val="0"/>
          <w:numId w:val="1"/>
        </w:numPr>
        <w:spacing w:line="240" w:lineRule="auto"/>
        <w:ind w:hanging="0" w:left="432" w:right="0"/>
        <w:jc w:val="center"/>
      </w:pPr>
      <w:r>
        <w:rPr>
          <w:rFonts w:ascii="Times New Roman" w:cs="Times New Roman" w:hAnsi="Times New Roman"/>
          <w:b w:val="false"/>
          <w:sz w:val="24"/>
          <w:szCs w:val="24"/>
          <w:lang w:eastAsia="es-VE" w:val="es-VE"/>
        </w:rPr>
      </w:r>
    </w:p>
    <w:p>
      <w:pPr>
        <w:pStyle w:val="style0"/>
        <w:spacing w:line="240" w:lineRule="auto"/>
      </w:pPr>
      <w:r>
        <w:rPr>
          <w:lang w:eastAsia="es-VE" w:val="es-VE"/>
        </w:rPr>
      </w:r>
    </w:p>
    <w:p>
      <w:pPr>
        <w:pStyle w:val="style190"/>
        <w:spacing w:line="240" w:lineRule="auto"/>
        <w:jc w:val="center"/>
      </w:pPr>
      <w:r>
        <w:rPr>
          <w:rFonts w:ascii="Arial" w:cs="Arial" w:hAnsi="Arial"/>
          <w:sz w:val="24"/>
          <w:szCs w:val="24"/>
        </w:rPr>
        <w:t xml:space="preserve">Aceptado  en  la Universidad de Carabobo </w:t>
      </w:r>
    </w:p>
    <w:p>
      <w:pPr>
        <w:pStyle w:val="style190"/>
        <w:spacing w:line="240" w:lineRule="auto"/>
        <w:jc w:val="center"/>
      </w:pPr>
      <w:r>
        <w:rPr>
          <w:rFonts w:ascii="Arial" w:cs="Arial" w:hAnsi="Arial"/>
          <w:sz w:val="24"/>
          <w:szCs w:val="24"/>
        </w:rPr>
        <w:t>Facultad de Ciencias Económicas y Sociales</w:t>
      </w:r>
    </w:p>
    <w:p>
      <w:pPr>
        <w:pStyle w:val="style190"/>
        <w:spacing w:line="240" w:lineRule="auto"/>
        <w:jc w:val="center"/>
      </w:pPr>
      <w:r>
        <w:rPr>
          <w:rFonts w:ascii="Arial" w:cs="Arial" w:eastAsia="Arial" w:hAnsi="Arial"/>
          <w:sz w:val="24"/>
          <w:szCs w:val="24"/>
        </w:rPr>
        <w:t xml:space="preserve"> </w:t>
      </w:r>
      <w:r>
        <w:rPr>
          <w:rFonts w:ascii="Arial" w:cs="Arial" w:hAnsi="Arial"/>
          <w:sz w:val="24"/>
          <w:szCs w:val="24"/>
        </w:rPr>
        <w:t>Área de Estudio de Postgrado</w:t>
      </w:r>
    </w:p>
    <w:p>
      <w:pPr>
        <w:pStyle w:val="style190"/>
        <w:spacing w:line="240" w:lineRule="auto"/>
        <w:jc w:val="center"/>
      </w:pPr>
      <w:r>
        <w:rPr>
          <w:rFonts w:ascii="Arial" w:cs="Arial" w:eastAsia="Arial" w:hAnsi="Arial"/>
          <w:sz w:val="24"/>
          <w:szCs w:val="24"/>
        </w:rPr>
        <w:t xml:space="preserve"> </w:t>
      </w:r>
      <w:r>
        <w:rPr>
          <w:rFonts w:ascii="Arial" w:cs="Arial" w:hAnsi="Arial"/>
          <w:sz w:val="24"/>
          <w:szCs w:val="24"/>
        </w:rPr>
        <w:t>Maestría en Administración Mención Finanzas</w:t>
      </w:r>
    </w:p>
    <w:p>
      <w:pPr>
        <w:pStyle w:val="style190"/>
        <w:spacing w:line="240" w:lineRule="auto"/>
        <w:jc w:val="center"/>
      </w:pPr>
      <w:r>
        <w:rPr>
          <w:rFonts w:ascii="Arial" w:cs="Arial" w:hAnsi="Arial"/>
          <w:sz w:val="24"/>
          <w:szCs w:val="24"/>
        </w:rPr>
        <w:t>Por: Dr. Manuel Emilio Milla Pino</w:t>
      </w:r>
    </w:p>
    <w:p>
      <w:pPr>
        <w:pStyle w:val="style190"/>
        <w:spacing w:line="240" w:lineRule="auto"/>
        <w:jc w:val="center"/>
      </w:pPr>
      <w:r>
        <w:rPr>
          <w:rFonts w:ascii="Arial" w:cs="Arial" w:hAnsi="Arial"/>
          <w:sz w:val="24"/>
          <w:szCs w:val="24"/>
        </w:rPr>
        <w:t>C.I. 7.557.851</w:t>
      </w:r>
    </w:p>
    <w:p>
      <w:pPr>
        <w:pStyle w:val="style190"/>
        <w:spacing w:line="240" w:lineRule="auto"/>
        <w:jc w:val="center"/>
      </w:pPr>
      <w:r>
        <w:rPr>
          <w:rFonts w:ascii="Arial" w:cs="Arial" w:hAnsi="Arial"/>
          <w:sz w:val="24"/>
          <w:szCs w:val="24"/>
        </w:rPr>
      </w:r>
    </w:p>
    <w:p>
      <w:pPr>
        <w:pStyle w:val="style190"/>
        <w:spacing w:line="360" w:lineRule="auto"/>
        <w:jc w:val="center"/>
      </w:pPr>
      <w:r>
        <w:rPr>
          <w:rFonts w:ascii="Arial" w:cs="Arial" w:hAnsi="Arial"/>
          <w:sz w:val="24"/>
          <w:szCs w:val="24"/>
        </w:rPr>
        <w:t>La  Bárbula  Octubre  de 2015</w:t>
      </w:r>
    </w:p>
    <w:p>
      <w:pPr>
        <w:pStyle w:val="style190"/>
        <w:pageBreakBefore/>
        <w:spacing w:line="360" w:lineRule="auto"/>
        <w:jc w:val="center"/>
      </w:pPr>
      <w:r>
        <w:rPr>
          <w:rFonts w:ascii="Arial" w:cs="Arial" w:hAnsi="Arial"/>
          <w:sz w:val="24"/>
          <w:szCs w:val="24"/>
        </w:rPr>
        <w:drawing>
          <wp:inline distB="0" distL="0" distR="0" distT="0">
            <wp:extent cx="5218430" cy="6754495"/>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5"/>
                    <a:srcRect/>
                    <a:stretch>
                      <a:fillRect/>
                    </a:stretch>
                  </pic:blipFill>
                  <pic:spPr bwMode="auto">
                    <a:xfrm>
                      <a:off x="0" y="0"/>
                      <a:ext cx="5218430" cy="6754495"/>
                    </a:xfrm>
                    <a:prstGeom prst="rect">
                      <a:avLst/>
                    </a:prstGeom>
                    <a:noFill/>
                    <a:ln w="9525">
                      <a:noFill/>
                      <a:miter lim="800000"/>
                      <a:headEnd/>
                      <a:tailEnd/>
                    </a:ln>
                  </pic:spPr>
                </pic:pic>
              </a:graphicData>
            </a:graphic>
          </wp:inline>
        </w:drawing>
      </w:r>
    </w:p>
    <w:p>
      <w:pPr>
        <w:pStyle w:val="style220"/>
        <w:jc w:val="center"/>
      </w:pPr>
      <w:r>
        <w:rPr>
          <w:rFonts w:ascii="Arial" w:cs="Arial" w:hAnsi="Arial"/>
          <w:sz w:val="24"/>
          <w:szCs w:val="24"/>
        </w:rPr>
      </w:r>
    </w:p>
    <w:p>
      <w:pPr>
        <w:pStyle w:val="style0"/>
      </w:pPr>
      <w:r>
        <w:rPr>
          <w:rFonts w:ascii="Arial" w:cs="Arial" w:hAnsi="Arial"/>
          <w:sz w:val="24"/>
          <w:szCs w:val="24"/>
          <w:lang w:eastAsia="es-VE"/>
        </w:rPr>
      </w:r>
    </w:p>
    <w:p>
      <w:pPr>
        <w:pStyle w:val="style220"/>
        <w:jc w:val="center"/>
      </w:pPr>
      <w:r>
        <w:rPr>
          <w:rFonts w:ascii="Arial" w:cs="Arial" w:hAnsi="Arial"/>
          <w:sz w:val="24"/>
          <w:szCs w:val="24"/>
        </w:rPr>
      </w:r>
    </w:p>
    <w:p>
      <w:pPr>
        <w:pStyle w:val="style220"/>
        <w:jc w:val="center"/>
      </w:pPr>
      <w:r>
        <w:rPr>
          <w:rFonts w:ascii="Times New Roman" w:cs="Times New Roman" w:hAnsi="Times New Roman"/>
          <w:sz w:val="24"/>
          <w:szCs w:val="24"/>
          <w:lang w:eastAsia="es-VE" w:val="es-VE"/>
        </w:rPr>
      </w:r>
    </w:p>
    <w:p>
      <w:pPr>
        <w:pStyle w:val="style0"/>
        <w:widowControl/>
        <w:spacing w:after="200" w:before="0" w:line="276" w:lineRule="auto"/>
      </w:pPr>
      <w:r>
        <w:rPr/>
        <w:drawing>
          <wp:inline distB="0" distL="0" distR="0" distT="0">
            <wp:extent cx="802640" cy="707390"/>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6"/>
                    <a:srcRect/>
                    <a:stretch>
                      <a:fillRect/>
                    </a:stretch>
                  </pic:blipFill>
                  <pic:spPr bwMode="auto">
                    <a:xfrm>
                      <a:off x="0" y="0"/>
                      <a:ext cx="802640" cy="707390"/>
                    </a:xfrm>
                    <a:prstGeom prst="rect">
                      <a:avLst/>
                    </a:prstGeom>
                    <a:noFill/>
                    <a:ln w="9525">
                      <a:noFill/>
                      <a:miter lim="800000"/>
                      <a:headEnd/>
                      <a:tailEnd/>
                    </a:ln>
                  </pic:spPr>
                </pic:pic>
              </a:graphicData>
            </a:graphic>
          </wp:inline>
        </w:drawing>
      </w:r>
    </w:p>
    <w:p>
      <w:pPr>
        <w:pStyle w:val="style0"/>
        <w:jc w:val="center"/>
      </w:pPr>
      <w:r>
        <w:rPr>
          <w:rFonts w:ascii="Arial" w:cs="Arial" w:hAnsi="Arial"/>
          <w:b/>
        </w:rPr>
      </w:r>
    </w:p>
    <w:p>
      <w:pPr>
        <w:pStyle w:val="style0"/>
        <w:jc w:val="center"/>
      </w:pPr>
      <w:r>
        <w:rPr>
          <w:rFonts w:ascii="Arial" w:cs="Arial" w:hAnsi="Arial"/>
          <w:b/>
        </w:rPr>
        <w:t>VEREDICTO</w:t>
      </w:r>
    </w:p>
    <w:p>
      <w:pPr>
        <w:pStyle w:val="style213"/>
        <w:spacing w:line="360" w:lineRule="auto"/>
        <w:jc w:val="both"/>
      </w:pPr>
      <w:r>
        <w:rPr>
          <w:rFonts w:ascii="Arial" w:cs="Arial" w:hAnsi="Arial"/>
        </w:rPr>
        <w:t>Nosotros, Miembros del Jurado designado para la evaluación del Trabajo de Grado titulado</w:t>
      </w:r>
      <w:r>
        <w:rPr>
          <w:rFonts w:ascii="Arial" w:cs="Arial" w:hAnsi="Arial"/>
          <w:b/>
        </w:rPr>
        <w:t>:</w:t>
      </w:r>
      <w:r>
        <w:rPr>
          <w:rFonts w:ascii="Arial" w:cs="Arial" w:hAnsi="Arial"/>
          <w:i/>
        </w:rPr>
        <w:t xml:space="preserve"> </w:t>
      </w:r>
      <w:r>
        <w:rPr>
          <w:rFonts w:ascii="Arial" w:cs="Arial" w:hAnsi="Arial"/>
          <w:b/>
          <w:bCs/>
          <w:i/>
          <w:color w:val="0F243E"/>
        </w:rPr>
        <w:t>“</w:t>
      </w:r>
      <w:r>
        <w:rPr>
          <w:rFonts w:ascii="Arial" w:cs="Arial" w:hAnsi="Arial"/>
          <w:b/>
          <w:i/>
        </w:rPr>
        <w:t>ESTRATÉGIAS FINANCIERAS  -  OPERACIONALES  PARA LA REUTILIZACIÓN DE BIENES NACIONALES DE INSTITUTO UNIVERSITARIO DE TECNOLOGÍA DE YARACUY  COMO INSUMO PARA LA PRODUCCIÓN AUTOMOTRIZ Y LA CONSTRUCCIÓN CIVIL EN VENEZUELA.</w:t>
      </w:r>
      <w:r>
        <w:rPr>
          <w:rFonts w:ascii="Arial" w:cs="Arial" w:hAnsi="Arial"/>
          <w:b/>
          <w:bCs/>
          <w:i/>
          <w:color w:val="0F243E"/>
        </w:rPr>
        <w:t>”.</w:t>
      </w:r>
      <w:r>
        <w:rPr>
          <w:rFonts w:ascii="Arial" w:cs="Arial" w:hAnsi="Arial"/>
          <w:bCs/>
          <w:i/>
          <w:color w:val="0F243E"/>
        </w:rPr>
        <w:t xml:space="preserve"> </w:t>
      </w:r>
      <w:r>
        <w:rPr>
          <w:rFonts w:ascii="Arial" w:cs="Arial" w:hAnsi="Arial"/>
          <w:i/>
          <w:iCs/>
        </w:rPr>
        <w:t xml:space="preserve"> </w:t>
      </w:r>
      <w:r>
        <w:rPr>
          <w:rFonts w:ascii="Arial" w:cs="Arial" w:hAnsi="Arial"/>
        </w:rPr>
        <w:t xml:space="preserve">Presentado por el (la) ciudadano (a): </w:t>
      </w:r>
      <w:r>
        <w:rPr>
          <w:rFonts w:ascii="Arial" w:cs="Arial" w:hAnsi="Arial"/>
          <w:u w:val="single"/>
        </w:rPr>
        <w:t>Oddalys Margarita Mendoza Díaz.</w:t>
      </w:r>
      <w:r>
        <w:rPr>
          <w:rFonts w:ascii="Arial" w:cs="Arial" w:hAnsi="Arial"/>
          <w:i/>
          <w:iCs/>
        </w:rPr>
        <w:t xml:space="preserve"> </w:t>
      </w:r>
      <w:r>
        <w:rPr>
          <w:rFonts w:ascii="Arial" w:cs="Arial" w:hAnsi="Arial"/>
        </w:rPr>
        <w:t>Titular de la Cédula de Identidad Nº. 12.080.428.</w:t>
      </w:r>
      <w:r>
        <w:rPr>
          <w:rFonts w:ascii="Arial" w:cs="Arial" w:hAnsi="Arial"/>
          <w:bCs/>
          <w:lang w:val="pt-BR"/>
        </w:rPr>
        <w:t xml:space="preserve"> </w:t>
      </w:r>
      <w:r>
        <w:rPr>
          <w:rFonts w:ascii="Arial" w:cs="Arial" w:hAnsi="Arial"/>
        </w:rPr>
        <w:t xml:space="preserve">Para optar al título de  </w:t>
      </w:r>
      <w:r>
        <w:rPr>
          <w:rFonts w:ascii="Arial" w:cs="Arial" w:hAnsi="Arial"/>
          <w:b/>
          <w:i/>
          <w:u w:val="single"/>
        </w:rPr>
        <w:t>Magíster en Administración de Empresas Mención Finanzas</w:t>
      </w:r>
      <w:r>
        <w:rPr>
          <w:rFonts w:ascii="Arial" w:cs="Arial" w:hAnsi="Arial"/>
        </w:rPr>
        <w:t xml:space="preserve">,  estimamos que </w:t>
      </w:r>
      <w:r>
        <w:rPr>
          <w:rFonts w:ascii="Arial" w:cs="Arial" w:hAnsi="Arial"/>
          <w:i/>
          <w:iCs/>
        </w:rPr>
        <w:t xml:space="preserve">  </w:t>
      </w:r>
      <w:r>
        <w:rPr>
          <w:rFonts w:ascii="Arial" w:cs="Arial" w:hAnsi="Arial"/>
        </w:rPr>
        <w:t xml:space="preserve"> el mismo reúne los requisitos para ser considerado como:  ____________________________________________________________.</w:t>
      </w:r>
    </w:p>
    <w:p>
      <w:pPr>
        <w:pStyle w:val="style213"/>
        <w:spacing w:line="240" w:lineRule="auto"/>
        <w:jc w:val="both"/>
      </w:pPr>
      <w:r>
        <w:rPr>
          <w:rFonts w:ascii="Arial" w:cs="Arial" w:hAnsi="Arial"/>
          <w:b/>
        </w:rPr>
      </w:r>
    </w:p>
    <w:p>
      <w:pPr>
        <w:pStyle w:val="style213"/>
        <w:spacing w:line="360" w:lineRule="auto"/>
        <w:jc w:val="both"/>
      </w:pPr>
      <w:r>
        <w:rPr>
          <w:rFonts w:ascii="Arial" w:cs="Arial" w:hAnsi="Arial"/>
          <w:b/>
        </w:rPr>
        <w:t>En Bárbula, a los _________     días del mes de _____________ de 2015.</w:t>
      </w:r>
    </w:p>
    <w:p>
      <w:pPr>
        <w:pStyle w:val="style213"/>
        <w:spacing w:line="240" w:lineRule="auto"/>
        <w:jc w:val="both"/>
      </w:pPr>
      <w:r>
        <w:rPr>
          <w:rFonts w:ascii="Arial" w:cs="Arial" w:hAnsi="Arial"/>
          <w:b/>
        </w:rPr>
      </w:r>
    </w:p>
    <w:tbl>
      <w:tblPr>
        <w:jc w:val="left"/>
        <w:tblInd w:type="dxa" w:w="-108"/>
        <w:tblBorders/>
      </w:tblPr>
      <w:tblGrid>
        <w:gridCol w:w="3349"/>
        <w:gridCol w:w="399"/>
        <w:gridCol w:w="1900"/>
        <w:gridCol w:w="399"/>
        <w:gridCol w:w="2389"/>
      </w:tblGrid>
      <w:tr>
        <w:trPr>
          <w:trHeight w:hRule="atLeast" w:val="586"/>
          <w:cantSplit w:val="false"/>
        </w:trPr>
        <w:tc>
          <w:tcPr>
            <w:tcW w:type="dxa" w:w="3349"/>
            <w:tcBorders/>
            <w:shd w:fill="auto" w:val="clear"/>
            <w:tcMar>
              <w:top w:type="dxa" w:w="0"/>
              <w:left w:type="dxa" w:w="108"/>
              <w:bottom w:type="dxa" w:w="0"/>
              <w:right w:type="dxa" w:w="108"/>
            </w:tcMar>
          </w:tcPr>
          <w:p>
            <w:pPr>
              <w:pStyle w:val="style0"/>
              <w:spacing w:line="240" w:lineRule="auto"/>
            </w:pPr>
            <w:r>
              <w:rPr>
                <w:rFonts w:ascii="Arial" w:cs="Arial" w:hAnsi="Arial"/>
                <w:b/>
              </w:rPr>
              <w:t>Jurado Evaluador:</w:t>
            </w:r>
          </w:p>
          <w:p>
            <w:pPr>
              <w:pStyle w:val="style0"/>
              <w:spacing w:after="200" w:before="0" w:line="240" w:lineRule="auto"/>
            </w:pPr>
            <w:r>
              <w:rPr>
                <w:rFonts w:ascii="Arial" w:cs="Arial" w:hAnsi="Arial"/>
                <w:b/>
              </w:rPr>
              <w:t>Nombres y apellidos</w:t>
            </w:r>
          </w:p>
        </w:tc>
        <w:tc>
          <w:tcPr>
            <w:tcW w:type="dxa" w:w="399"/>
            <w:tcBorders/>
            <w:shd w:fill="auto" w:val="clear"/>
            <w:tcMar>
              <w:top w:type="dxa" w:w="0"/>
              <w:left w:type="dxa" w:w="108"/>
              <w:bottom w:type="dxa" w:w="0"/>
              <w:right w:type="dxa" w:w="108"/>
            </w:tcMar>
          </w:tcPr>
          <w:p>
            <w:pPr>
              <w:pStyle w:val="style0"/>
              <w:snapToGrid w:val="false"/>
              <w:spacing w:after="200" w:before="0" w:line="240" w:lineRule="auto"/>
            </w:pPr>
            <w:r>
              <w:rPr>
                <w:rFonts w:ascii="Arial" w:cs="Arial" w:hAnsi="Arial"/>
                <w:b/>
              </w:rPr>
            </w:r>
          </w:p>
        </w:tc>
        <w:tc>
          <w:tcPr>
            <w:tcW w:type="dxa" w:w="1900"/>
            <w:tcBorders/>
            <w:shd w:fill="auto" w:val="clear"/>
            <w:tcMar>
              <w:top w:type="dxa" w:w="0"/>
              <w:left w:type="dxa" w:w="108"/>
              <w:bottom w:type="dxa" w:w="0"/>
              <w:right w:type="dxa" w:w="108"/>
            </w:tcMar>
          </w:tcPr>
          <w:p>
            <w:pPr>
              <w:pStyle w:val="style0"/>
              <w:snapToGrid w:val="false"/>
              <w:spacing w:line="240" w:lineRule="auto"/>
            </w:pPr>
            <w:r>
              <w:rPr>
                <w:rFonts w:ascii="Arial" w:cs="Arial" w:hAnsi="Arial"/>
                <w:b/>
              </w:rPr>
            </w:r>
          </w:p>
          <w:p>
            <w:pPr>
              <w:pStyle w:val="style0"/>
              <w:spacing w:after="200" w:before="0" w:line="240" w:lineRule="auto"/>
              <w:jc w:val="center"/>
            </w:pPr>
            <w:r>
              <w:rPr>
                <w:rFonts w:ascii="Arial" w:cs="Arial" w:hAnsi="Arial"/>
                <w:b/>
              </w:rPr>
              <w:t>C.I.</w:t>
            </w:r>
          </w:p>
        </w:tc>
        <w:tc>
          <w:tcPr>
            <w:tcW w:type="dxa" w:w="399"/>
            <w:tcBorders/>
            <w:shd w:fill="auto" w:val="clear"/>
            <w:tcMar>
              <w:top w:type="dxa" w:w="0"/>
              <w:left w:type="dxa" w:w="108"/>
              <w:bottom w:type="dxa" w:w="0"/>
              <w:right w:type="dxa" w:w="108"/>
            </w:tcMar>
          </w:tcPr>
          <w:p>
            <w:pPr>
              <w:pStyle w:val="style0"/>
              <w:snapToGrid w:val="false"/>
              <w:spacing w:after="200" w:before="0" w:line="240" w:lineRule="auto"/>
              <w:jc w:val="center"/>
            </w:pPr>
            <w:r>
              <w:rPr>
                <w:rFonts w:ascii="Arial" w:cs="Arial" w:hAnsi="Arial"/>
                <w:b/>
              </w:rPr>
            </w:r>
          </w:p>
        </w:tc>
        <w:tc>
          <w:tcPr>
            <w:tcW w:type="dxa" w:w="2389"/>
            <w:tcBorders/>
            <w:shd w:fill="auto" w:val="clear"/>
            <w:tcMar>
              <w:top w:type="dxa" w:w="0"/>
              <w:left w:type="dxa" w:w="108"/>
              <w:bottom w:type="dxa" w:w="0"/>
              <w:right w:type="dxa" w:w="108"/>
            </w:tcMar>
          </w:tcPr>
          <w:p>
            <w:pPr>
              <w:pStyle w:val="style0"/>
              <w:snapToGrid w:val="false"/>
              <w:spacing w:line="240" w:lineRule="auto"/>
              <w:jc w:val="center"/>
            </w:pPr>
            <w:r>
              <w:rPr>
                <w:rFonts w:ascii="Arial" w:cs="Arial" w:hAnsi="Arial"/>
                <w:b/>
              </w:rPr>
            </w:r>
          </w:p>
          <w:p>
            <w:pPr>
              <w:pStyle w:val="style0"/>
              <w:spacing w:after="200" w:before="0" w:line="240" w:lineRule="auto"/>
              <w:jc w:val="center"/>
            </w:pPr>
            <w:r>
              <w:rPr>
                <w:rFonts w:ascii="Arial" w:cs="Arial" w:hAnsi="Arial"/>
                <w:b/>
              </w:rPr>
              <w:t>Firma Autógrafa</w:t>
            </w:r>
          </w:p>
        </w:tc>
      </w:tr>
      <w:tr>
        <w:trPr>
          <w:cantSplit w:val="false"/>
        </w:trPr>
        <w:tc>
          <w:tcPr>
            <w:tcW w:type="dxa" w:w="3349"/>
            <w:tcBorders>
              <w:bottom w:color="000000" w:space="0" w:sz="4" w:val="single"/>
            </w:tcBorders>
            <w:shd w:fill="auto" w:val="clear"/>
            <w:tcMar>
              <w:top w:type="dxa" w:w="0"/>
              <w:left w:type="dxa" w:w="108"/>
              <w:bottom w:type="dxa" w:w="0"/>
              <w:right w:type="dxa" w:w="108"/>
            </w:tcMar>
          </w:tcPr>
          <w:p>
            <w:pPr>
              <w:pStyle w:val="style0"/>
              <w:spacing w:after="200" w:before="0" w:line="240" w:lineRule="auto"/>
            </w:pPr>
            <w:r>
              <w:rPr>
                <w:rFonts w:ascii="Arial" w:cs="Arial" w:hAnsi="Arial"/>
              </w:rPr>
              <w:t>López M. William C,</w:t>
            </w:r>
          </w:p>
        </w:tc>
        <w:tc>
          <w:tcPr>
            <w:tcW w:type="dxa" w:w="399"/>
            <w:tcBorders/>
            <w:shd w:fill="auto" w:val="clear"/>
            <w:tcMar>
              <w:top w:type="dxa" w:w="0"/>
              <w:left w:type="dxa" w:w="108"/>
              <w:bottom w:type="dxa" w:w="0"/>
              <w:right w:type="dxa" w:w="108"/>
            </w:tcMar>
          </w:tcPr>
          <w:p>
            <w:pPr>
              <w:pStyle w:val="style0"/>
              <w:snapToGrid w:val="false"/>
              <w:spacing w:after="200" w:before="0" w:line="240" w:lineRule="auto"/>
            </w:pPr>
            <w:r>
              <w:rPr>
                <w:rFonts w:ascii="Arial" w:cs="Arial" w:hAnsi="Arial"/>
              </w:rPr>
            </w:r>
          </w:p>
        </w:tc>
        <w:tc>
          <w:tcPr>
            <w:tcW w:type="dxa" w:w="1900"/>
            <w:tcBorders>
              <w:bottom w:color="000000" w:space="0" w:sz="4" w:val="single"/>
            </w:tcBorders>
            <w:shd w:fill="auto" w:val="clear"/>
            <w:tcMar>
              <w:top w:type="dxa" w:w="0"/>
              <w:left w:type="dxa" w:w="108"/>
              <w:bottom w:type="dxa" w:w="0"/>
              <w:right w:type="dxa" w:w="108"/>
            </w:tcMar>
          </w:tcPr>
          <w:p>
            <w:pPr>
              <w:pStyle w:val="style0"/>
              <w:snapToGrid w:val="false"/>
              <w:spacing w:after="200" w:before="0" w:line="240" w:lineRule="auto"/>
            </w:pPr>
            <w:r>
              <w:rPr>
                <w:rFonts w:ascii="Arial" w:cs="Arial" w:hAnsi="Arial"/>
              </w:rPr>
            </w:r>
          </w:p>
        </w:tc>
        <w:tc>
          <w:tcPr>
            <w:tcW w:type="dxa" w:w="399"/>
            <w:tcBorders/>
            <w:shd w:fill="auto" w:val="clear"/>
            <w:tcMar>
              <w:top w:type="dxa" w:w="0"/>
              <w:left w:type="dxa" w:w="108"/>
              <w:bottom w:type="dxa" w:w="0"/>
              <w:right w:type="dxa" w:w="108"/>
            </w:tcMar>
          </w:tcPr>
          <w:p>
            <w:pPr>
              <w:pStyle w:val="style0"/>
              <w:snapToGrid w:val="false"/>
              <w:spacing w:after="200" w:before="0" w:line="240" w:lineRule="auto"/>
            </w:pPr>
            <w:r>
              <w:rPr>
                <w:rFonts w:ascii="Arial" w:cs="Arial" w:hAnsi="Arial"/>
              </w:rPr>
            </w:r>
          </w:p>
        </w:tc>
        <w:tc>
          <w:tcPr>
            <w:tcW w:type="dxa" w:w="2389"/>
            <w:tcBorders>
              <w:bottom w:color="000000" w:space="0" w:sz="4" w:val="single"/>
            </w:tcBorders>
            <w:shd w:fill="auto" w:val="clear"/>
            <w:tcMar>
              <w:top w:type="dxa" w:w="0"/>
              <w:left w:type="dxa" w:w="108"/>
              <w:bottom w:type="dxa" w:w="0"/>
              <w:right w:type="dxa" w:w="108"/>
            </w:tcMar>
          </w:tcPr>
          <w:p>
            <w:pPr>
              <w:pStyle w:val="style0"/>
              <w:snapToGrid w:val="false"/>
              <w:spacing w:after="200" w:before="0" w:line="240" w:lineRule="auto"/>
            </w:pPr>
            <w:r>
              <w:rPr>
                <w:rFonts w:ascii="Arial" w:cs="Arial" w:hAnsi="Arial"/>
              </w:rPr>
            </w:r>
          </w:p>
        </w:tc>
      </w:tr>
      <w:tr>
        <w:trPr>
          <w:cantSplit w:val="false"/>
        </w:trPr>
        <w:tc>
          <w:tcPr>
            <w:tcW w:type="dxa" w:w="3349"/>
            <w:tcBorders>
              <w:top w:color="000000" w:space="0" w:sz="4" w:val="single"/>
              <w:bottom w:color="000000" w:space="0" w:sz="4" w:val="single"/>
            </w:tcBorders>
            <w:shd w:fill="auto" w:val="clear"/>
            <w:tcMar>
              <w:top w:type="dxa" w:w="0"/>
              <w:left w:type="dxa" w:w="108"/>
              <w:bottom w:type="dxa" w:w="0"/>
              <w:right w:type="dxa" w:w="108"/>
            </w:tcMar>
          </w:tcPr>
          <w:p>
            <w:pPr>
              <w:pStyle w:val="style0"/>
              <w:spacing w:after="200" w:before="0" w:line="240" w:lineRule="auto"/>
            </w:pPr>
            <w:r>
              <w:rPr>
                <w:rFonts w:ascii="Arial" w:cs="Arial" w:hAnsi="Arial"/>
              </w:rPr>
              <w:t>Rumbo, Daniel L.</w:t>
            </w:r>
          </w:p>
        </w:tc>
        <w:tc>
          <w:tcPr>
            <w:tcW w:type="dxa" w:w="399"/>
            <w:tcBorders/>
            <w:shd w:fill="auto" w:val="clear"/>
            <w:tcMar>
              <w:top w:type="dxa" w:w="0"/>
              <w:left w:type="dxa" w:w="108"/>
              <w:bottom w:type="dxa" w:w="0"/>
              <w:right w:type="dxa" w:w="108"/>
            </w:tcMar>
          </w:tcPr>
          <w:p>
            <w:pPr>
              <w:pStyle w:val="style0"/>
              <w:snapToGrid w:val="false"/>
              <w:spacing w:after="200" w:before="0" w:line="240" w:lineRule="auto"/>
            </w:pPr>
            <w:r>
              <w:rPr>
                <w:rFonts w:ascii="Arial" w:cs="Arial" w:hAnsi="Arial"/>
              </w:rPr>
            </w:r>
          </w:p>
        </w:tc>
        <w:tc>
          <w:tcPr>
            <w:tcW w:type="dxa" w:w="1900"/>
            <w:tcBorders>
              <w:top w:color="000000" w:space="0" w:sz="4" w:val="single"/>
              <w:bottom w:color="000000" w:space="0" w:sz="4" w:val="single"/>
            </w:tcBorders>
            <w:shd w:fill="auto" w:val="clear"/>
            <w:tcMar>
              <w:top w:type="dxa" w:w="0"/>
              <w:left w:type="dxa" w:w="108"/>
              <w:bottom w:type="dxa" w:w="0"/>
              <w:right w:type="dxa" w:w="108"/>
            </w:tcMar>
          </w:tcPr>
          <w:p>
            <w:pPr>
              <w:pStyle w:val="style0"/>
              <w:snapToGrid w:val="false"/>
              <w:spacing w:after="200" w:before="0" w:line="240" w:lineRule="auto"/>
            </w:pPr>
            <w:r>
              <w:rPr>
                <w:rFonts w:ascii="Arial" w:cs="Arial" w:hAnsi="Arial"/>
              </w:rPr>
            </w:r>
          </w:p>
        </w:tc>
        <w:tc>
          <w:tcPr>
            <w:tcW w:type="dxa" w:w="399"/>
            <w:tcBorders/>
            <w:shd w:fill="auto" w:val="clear"/>
            <w:tcMar>
              <w:top w:type="dxa" w:w="0"/>
              <w:left w:type="dxa" w:w="108"/>
              <w:bottom w:type="dxa" w:w="0"/>
              <w:right w:type="dxa" w:w="108"/>
            </w:tcMar>
          </w:tcPr>
          <w:p>
            <w:pPr>
              <w:pStyle w:val="style0"/>
              <w:snapToGrid w:val="false"/>
              <w:spacing w:after="200" w:before="0" w:line="240" w:lineRule="auto"/>
            </w:pPr>
            <w:r>
              <w:rPr>
                <w:rFonts w:ascii="Arial" w:cs="Arial" w:hAnsi="Arial"/>
              </w:rPr>
            </w:r>
          </w:p>
        </w:tc>
        <w:tc>
          <w:tcPr>
            <w:tcW w:type="dxa" w:w="2389"/>
            <w:tcBorders>
              <w:top w:color="000000" w:space="0" w:sz="4" w:val="single"/>
              <w:bottom w:color="000000" w:space="0" w:sz="4" w:val="single"/>
            </w:tcBorders>
            <w:shd w:fill="auto" w:val="clear"/>
            <w:tcMar>
              <w:top w:type="dxa" w:w="0"/>
              <w:left w:type="dxa" w:w="108"/>
              <w:bottom w:type="dxa" w:w="0"/>
              <w:right w:type="dxa" w:w="108"/>
            </w:tcMar>
          </w:tcPr>
          <w:p>
            <w:pPr>
              <w:pStyle w:val="style0"/>
              <w:snapToGrid w:val="false"/>
              <w:spacing w:after="200" w:before="0" w:line="240" w:lineRule="auto"/>
            </w:pPr>
            <w:r>
              <w:rPr>
                <w:rFonts w:ascii="Arial" w:cs="Arial" w:hAnsi="Arial"/>
              </w:rPr>
            </w:r>
          </w:p>
        </w:tc>
      </w:tr>
      <w:tr>
        <w:trPr>
          <w:cantSplit w:val="false"/>
        </w:trPr>
        <w:tc>
          <w:tcPr>
            <w:tcW w:type="dxa" w:w="3349"/>
            <w:tcBorders>
              <w:top w:color="000000" w:space="0" w:sz="4" w:val="single"/>
              <w:bottom w:color="000000" w:space="0" w:sz="4" w:val="single"/>
            </w:tcBorders>
            <w:shd w:fill="auto" w:val="clear"/>
            <w:tcMar>
              <w:top w:type="dxa" w:w="0"/>
              <w:left w:type="dxa" w:w="108"/>
              <w:bottom w:type="dxa" w:w="0"/>
              <w:right w:type="dxa" w:w="108"/>
            </w:tcMar>
          </w:tcPr>
          <w:p>
            <w:pPr>
              <w:pStyle w:val="style0"/>
              <w:spacing w:after="200" w:before="0" w:line="240" w:lineRule="auto"/>
            </w:pPr>
            <w:r>
              <w:rPr>
                <w:rFonts w:ascii="Arial" w:cs="Arial" w:hAnsi="Arial"/>
              </w:rPr>
              <w:t>Vargas E. Wilfredo D.</w:t>
            </w:r>
          </w:p>
        </w:tc>
        <w:tc>
          <w:tcPr>
            <w:tcW w:type="dxa" w:w="399"/>
            <w:tcBorders/>
            <w:shd w:fill="auto" w:val="clear"/>
            <w:tcMar>
              <w:top w:type="dxa" w:w="0"/>
              <w:left w:type="dxa" w:w="108"/>
              <w:bottom w:type="dxa" w:w="0"/>
              <w:right w:type="dxa" w:w="108"/>
            </w:tcMar>
          </w:tcPr>
          <w:p>
            <w:pPr>
              <w:pStyle w:val="style0"/>
              <w:snapToGrid w:val="false"/>
              <w:spacing w:after="200" w:before="0" w:line="240" w:lineRule="auto"/>
            </w:pPr>
            <w:r>
              <w:rPr/>
            </w:r>
          </w:p>
        </w:tc>
        <w:tc>
          <w:tcPr>
            <w:tcW w:type="dxa" w:w="1900"/>
            <w:tcBorders>
              <w:top w:color="000000" w:space="0" w:sz="4" w:val="single"/>
              <w:bottom w:color="000000" w:space="0" w:sz="4" w:val="single"/>
            </w:tcBorders>
            <w:shd w:fill="auto" w:val="clear"/>
            <w:tcMar>
              <w:top w:type="dxa" w:w="0"/>
              <w:left w:type="dxa" w:w="108"/>
              <w:bottom w:type="dxa" w:w="0"/>
              <w:right w:type="dxa" w:w="108"/>
            </w:tcMar>
          </w:tcPr>
          <w:p>
            <w:pPr>
              <w:pStyle w:val="style0"/>
              <w:snapToGrid w:val="false"/>
              <w:spacing w:after="200" w:before="0" w:line="240" w:lineRule="auto"/>
            </w:pPr>
            <w:r>
              <w:rPr/>
            </w:r>
          </w:p>
        </w:tc>
        <w:tc>
          <w:tcPr>
            <w:tcW w:type="dxa" w:w="399"/>
            <w:tcBorders/>
            <w:shd w:fill="auto" w:val="clear"/>
            <w:tcMar>
              <w:top w:type="dxa" w:w="0"/>
              <w:left w:type="dxa" w:w="108"/>
              <w:bottom w:type="dxa" w:w="0"/>
              <w:right w:type="dxa" w:w="108"/>
            </w:tcMar>
          </w:tcPr>
          <w:p>
            <w:pPr>
              <w:pStyle w:val="style0"/>
              <w:snapToGrid w:val="false"/>
              <w:spacing w:after="200" w:before="0" w:line="240" w:lineRule="auto"/>
            </w:pPr>
            <w:r>
              <w:rPr/>
            </w:r>
          </w:p>
        </w:tc>
        <w:tc>
          <w:tcPr>
            <w:tcW w:type="dxa" w:w="2389"/>
            <w:tcBorders>
              <w:top w:color="000000" w:space="0" w:sz="4" w:val="single"/>
              <w:bottom w:color="000000" w:space="0" w:sz="4" w:val="single"/>
            </w:tcBorders>
            <w:shd w:fill="auto" w:val="clear"/>
            <w:tcMar>
              <w:top w:type="dxa" w:w="0"/>
              <w:left w:type="dxa" w:w="108"/>
              <w:bottom w:type="dxa" w:w="0"/>
              <w:right w:type="dxa" w:w="108"/>
            </w:tcMar>
          </w:tcPr>
          <w:p>
            <w:pPr>
              <w:pStyle w:val="style0"/>
              <w:snapToGrid w:val="false"/>
              <w:spacing w:after="200" w:before="0" w:line="240" w:lineRule="auto"/>
            </w:pPr>
            <w:r>
              <w:rPr/>
            </w:r>
          </w:p>
        </w:tc>
      </w:tr>
    </w:tbl>
    <w:p>
      <w:pPr>
        <w:pStyle w:val="style0"/>
        <w:jc w:val="center"/>
      </w:pPr>
      <w:r>
        <w:rPr/>
      </w:r>
    </w:p>
    <w:p>
      <w:pPr>
        <w:pStyle w:val="style0"/>
        <w:jc w:val="center"/>
      </w:pPr>
      <w:r>
        <w:rPr>
          <w:rFonts w:ascii="Arial" w:cs="Arial" w:hAnsi="Arial"/>
          <w:sz w:val="24"/>
        </w:rPr>
        <w:t>Bárbula,  Octubre   2015</w:t>
      </w:r>
    </w:p>
    <w:p>
      <w:pPr>
        <w:pStyle w:val="style0"/>
        <w:jc w:val="right"/>
      </w:pPr>
      <w:r>
        <w:rPr>
          <w:b/>
          <w:i/>
        </w:rPr>
      </w:r>
    </w:p>
    <w:p>
      <w:pPr>
        <w:pStyle w:val="style0"/>
        <w:jc w:val="right"/>
      </w:pPr>
      <w:r>
        <w:rPr>
          <w:b/>
          <w:i/>
          <w:sz w:val="24"/>
        </w:rPr>
        <w:t>DEDICATORIA</w:t>
      </w:r>
    </w:p>
    <w:p>
      <w:pPr>
        <w:pStyle w:val="style0"/>
        <w:jc w:val="center"/>
      </w:pPr>
      <w:r>
        <w:rPr/>
      </w:r>
    </w:p>
    <w:p>
      <w:pPr>
        <w:pStyle w:val="style0"/>
        <w:spacing w:line="360" w:lineRule="auto"/>
        <w:ind w:hanging="0" w:left="851" w:right="0"/>
        <w:jc w:val="right"/>
      </w:pPr>
      <w:r>
        <w:rPr>
          <w:rFonts w:ascii="Arial" w:cs="Arial" w:eastAsia="Arial" w:hAnsi="Arial"/>
          <w:i/>
          <w:sz w:val="24"/>
          <w:szCs w:val="24"/>
        </w:rPr>
        <w:t xml:space="preserve"> </w:t>
      </w:r>
      <w:r>
        <w:rPr>
          <w:rFonts w:ascii="Arial" w:cs="Arial" w:hAnsi="Arial"/>
          <w:i/>
          <w:sz w:val="24"/>
          <w:szCs w:val="24"/>
        </w:rPr>
        <w:t xml:space="preserve">A </w:t>
      </w:r>
      <w:r>
        <w:rPr>
          <w:rFonts w:ascii="Arial" w:cs="Arial" w:hAnsi="Arial"/>
          <w:b/>
          <w:i/>
          <w:sz w:val="24"/>
          <w:szCs w:val="24"/>
        </w:rPr>
        <w:t>mi madre</w:t>
      </w:r>
      <w:r>
        <w:rPr>
          <w:rFonts w:ascii="Arial" w:cs="Arial" w:hAnsi="Arial"/>
          <w:i/>
          <w:sz w:val="24"/>
          <w:szCs w:val="24"/>
        </w:rPr>
        <w:t xml:space="preserve">, por ser autora de mi vida, siendo mi fortaleza en todo momento gracias por  ser la luz que despertó mis ganas de triunfar  en todo lo que me he propuesto en mi vida.   </w:t>
      </w:r>
    </w:p>
    <w:p>
      <w:pPr>
        <w:pStyle w:val="style0"/>
        <w:spacing w:line="240" w:lineRule="auto"/>
        <w:ind w:hanging="0" w:left="851" w:right="0"/>
        <w:jc w:val="right"/>
      </w:pPr>
      <w:r>
        <w:rPr>
          <w:rFonts w:ascii="Arial" w:cs="Arial" w:hAnsi="Arial"/>
          <w:i/>
          <w:sz w:val="24"/>
          <w:szCs w:val="24"/>
        </w:rPr>
        <w:t xml:space="preserve">A </w:t>
      </w:r>
      <w:r>
        <w:rPr>
          <w:rFonts w:ascii="Arial" w:cs="Arial" w:hAnsi="Arial"/>
          <w:b/>
          <w:i/>
          <w:sz w:val="24"/>
          <w:szCs w:val="24"/>
        </w:rPr>
        <w:t>mi Tía</w:t>
      </w:r>
      <w:r>
        <w:rPr>
          <w:rFonts w:ascii="Arial" w:cs="Arial" w:hAnsi="Arial"/>
          <w:i/>
          <w:sz w:val="24"/>
          <w:szCs w:val="24"/>
        </w:rPr>
        <w:t>, por estar siempre presente en  mi vida apoyándome</w:t>
      </w:r>
      <w:r>
        <w:rPr>
          <w:rFonts w:ascii="Arial" w:cs="Arial" w:hAnsi="Arial"/>
          <w:b/>
          <w:i/>
          <w:sz w:val="24"/>
          <w:szCs w:val="24"/>
        </w:rPr>
        <w:t xml:space="preserve"> </w:t>
      </w:r>
    </w:p>
    <w:p>
      <w:pPr>
        <w:pStyle w:val="style0"/>
        <w:spacing w:after="0" w:before="0" w:line="240" w:lineRule="auto"/>
        <w:ind w:hanging="0" w:left="851" w:right="0"/>
        <w:jc w:val="right"/>
      </w:pPr>
      <w:r>
        <w:rPr>
          <w:rFonts w:ascii="Arial" w:cs="Arial" w:hAnsi="Arial"/>
          <w:b/>
          <w:i/>
          <w:sz w:val="24"/>
          <w:szCs w:val="24"/>
        </w:rPr>
      </w:r>
    </w:p>
    <w:p>
      <w:pPr>
        <w:pStyle w:val="style0"/>
        <w:spacing w:line="360" w:lineRule="auto"/>
        <w:ind w:hanging="0" w:left="851" w:right="0"/>
        <w:jc w:val="right"/>
      </w:pPr>
      <w:r>
        <w:rPr>
          <w:rFonts w:ascii="Arial" w:cs="Arial" w:hAnsi="Arial"/>
          <w:b/>
          <w:i/>
          <w:sz w:val="24"/>
          <w:szCs w:val="24"/>
        </w:rPr>
        <w:t xml:space="preserve">A Mi Esposo Julio Rafael </w:t>
      </w:r>
      <w:r>
        <w:rPr>
          <w:rFonts w:ascii="Arial" w:cs="Arial" w:hAnsi="Arial"/>
          <w:i/>
          <w:sz w:val="24"/>
          <w:szCs w:val="24"/>
        </w:rPr>
        <w:t>compañero invaluable en los momentos más significativos en el desarrollo y culminación de mis metas programadas</w:t>
      </w:r>
    </w:p>
    <w:p>
      <w:pPr>
        <w:pStyle w:val="style0"/>
        <w:spacing w:line="360" w:lineRule="auto"/>
        <w:ind w:hanging="0" w:left="851" w:right="0"/>
        <w:jc w:val="right"/>
      </w:pPr>
      <w:r>
        <w:rPr>
          <w:rFonts w:ascii="Arial" w:cs="Arial" w:hAnsi="Arial"/>
          <w:b/>
          <w:i/>
          <w:sz w:val="24"/>
          <w:szCs w:val="24"/>
        </w:rPr>
        <w:t>A Mis Hijas</w:t>
      </w:r>
      <w:r>
        <w:rPr>
          <w:rFonts w:ascii="Arial" w:cs="Arial" w:hAnsi="Arial"/>
          <w:i/>
          <w:sz w:val="24"/>
          <w:szCs w:val="24"/>
        </w:rPr>
        <w:t xml:space="preserve"> quienes son la fuente de inspiración de vida y la luz que me tienen encendida,  para que sigan el ejemplo en el desarrollo profesional que va en pos de su bienestar familiar, a ustedes hijas les dedico este triunfo</w:t>
      </w:r>
    </w:p>
    <w:p>
      <w:pPr>
        <w:pStyle w:val="style0"/>
        <w:spacing w:line="360" w:lineRule="auto"/>
        <w:ind w:hanging="0" w:left="851" w:right="0"/>
        <w:jc w:val="right"/>
      </w:pPr>
      <w:r>
        <w:rPr>
          <w:rFonts w:ascii="Arial" w:cs="Arial" w:hAnsi="Arial"/>
          <w:i/>
          <w:sz w:val="24"/>
          <w:szCs w:val="24"/>
        </w:rPr>
        <w:t>A todas las personas  especiales para mi, y esperando que esta etapa de desarrollo académico les sirva de ejemplo, inspiración y motivación para el logro de sus metas.</w:t>
      </w:r>
    </w:p>
    <w:p>
      <w:pPr>
        <w:pStyle w:val="style0"/>
        <w:spacing w:line="360" w:lineRule="auto"/>
        <w:ind w:hanging="0" w:left="851" w:right="0"/>
        <w:jc w:val="right"/>
      </w:pPr>
      <w:r>
        <w:rPr>
          <w:rFonts w:ascii="Arial" w:cs="Arial" w:hAnsi="Arial"/>
          <w:i/>
          <w:sz w:val="24"/>
          <w:szCs w:val="24"/>
        </w:rPr>
        <w:t>A todo aquel que este trabajo le sirva de apoyo y guía para el desarrollo de sus investigaciones</w:t>
      </w:r>
      <w:r>
        <w:rPr/>
        <w:t>.</w:t>
      </w:r>
    </w:p>
    <w:p>
      <w:pPr>
        <w:pStyle w:val="style0"/>
        <w:spacing w:line="360" w:lineRule="auto"/>
        <w:jc w:val="right"/>
      </w:pPr>
      <w:r>
        <w:rPr/>
      </w:r>
    </w:p>
    <w:p>
      <w:pPr>
        <w:pStyle w:val="style0"/>
        <w:spacing w:line="360" w:lineRule="auto"/>
        <w:jc w:val="right"/>
      </w:pPr>
      <w:r>
        <w:rPr>
          <w:rFonts w:ascii="Arial" w:cs="Arial" w:hAnsi="Arial"/>
          <w:b/>
          <w:i/>
          <w:sz w:val="24"/>
        </w:rPr>
        <w:t>Oddalys Margarita Mendoza Díaz</w:t>
      </w:r>
    </w:p>
    <w:p>
      <w:pPr>
        <w:pStyle w:val="style0"/>
        <w:jc w:val="center"/>
      </w:pPr>
      <w:r>
        <w:rPr>
          <w:b/>
        </w:rPr>
      </w:r>
    </w:p>
    <w:p>
      <w:pPr>
        <w:pStyle w:val="style0"/>
        <w:jc w:val="center"/>
      </w:pPr>
      <w:r>
        <w:rPr/>
      </w:r>
    </w:p>
    <w:p>
      <w:pPr>
        <w:pStyle w:val="style0"/>
        <w:jc w:val="center"/>
      </w:pPr>
      <w:r>
        <w:rPr/>
      </w:r>
    </w:p>
    <w:p>
      <w:pPr>
        <w:pStyle w:val="style0"/>
        <w:jc w:val="right"/>
      </w:pPr>
      <w:r>
        <w:rPr>
          <w:b/>
          <w:i/>
        </w:rPr>
        <w:t>AGRADECIMIENTO</w:t>
      </w:r>
    </w:p>
    <w:p>
      <w:pPr>
        <w:pStyle w:val="style0"/>
        <w:jc w:val="center"/>
      </w:pPr>
      <w:r>
        <w:rPr>
          <w:i/>
        </w:rPr>
      </w:r>
    </w:p>
    <w:p>
      <w:pPr>
        <w:pStyle w:val="style0"/>
        <w:spacing w:line="360" w:lineRule="auto"/>
        <w:ind w:hanging="0" w:left="851" w:right="0"/>
        <w:jc w:val="right"/>
      </w:pPr>
      <w:r>
        <w:rPr>
          <w:rFonts w:ascii="Arial" w:cs="Arial" w:hAnsi="Arial"/>
          <w:i/>
        </w:rPr>
        <w:t xml:space="preserve">Primeramente a  </w:t>
      </w:r>
      <w:r>
        <w:rPr>
          <w:rFonts w:ascii="Arial" w:cs="Arial" w:hAnsi="Arial"/>
          <w:b/>
          <w:i/>
        </w:rPr>
        <w:t>Dios</w:t>
      </w:r>
      <w:r>
        <w:rPr>
          <w:rFonts w:ascii="Arial" w:cs="Arial" w:hAnsi="Arial"/>
          <w:i/>
        </w:rPr>
        <w:t xml:space="preserve"> por darme la vida y permitirme alcanzar cada una de mis metas.</w:t>
      </w:r>
    </w:p>
    <w:p>
      <w:pPr>
        <w:pStyle w:val="style0"/>
        <w:spacing w:line="360" w:lineRule="auto"/>
        <w:ind w:hanging="0" w:left="851" w:right="0"/>
        <w:jc w:val="right"/>
      </w:pPr>
      <w:r>
        <w:rPr>
          <w:rFonts w:ascii="Arial" w:cs="Arial" w:hAnsi="Arial"/>
          <w:i/>
        </w:rPr>
        <w:t xml:space="preserve">A la </w:t>
      </w:r>
      <w:r>
        <w:rPr>
          <w:rFonts w:ascii="Arial" w:cs="Arial" w:hAnsi="Arial"/>
          <w:b/>
          <w:i/>
        </w:rPr>
        <w:t>Instituto Universitario de Tecnología de Yaracuy</w:t>
      </w:r>
      <w:r>
        <w:rPr>
          <w:rFonts w:ascii="Arial" w:cs="Arial" w:hAnsi="Arial"/>
          <w:i/>
        </w:rPr>
        <w:t xml:space="preserve">   donde pertenezco, y al </w:t>
      </w:r>
      <w:r>
        <w:rPr>
          <w:rFonts w:ascii="Arial" w:cs="Arial" w:hAnsi="Arial"/>
          <w:b/>
          <w:i/>
        </w:rPr>
        <w:t>Ingeniero Eduardo Verastegui</w:t>
      </w:r>
      <w:r>
        <w:rPr>
          <w:rFonts w:ascii="Arial" w:cs="Arial" w:hAnsi="Arial"/>
          <w:i/>
        </w:rPr>
        <w:t xml:space="preserve"> por su apoyo y por permitirme desarrollar esta investigación.</w:t>
      </w:r>
    </w:p>
    <w:p>
      <w:pPr>
        <w:pStyle w:val="style0"/>
        <w:spacing w:line="360" w:lineRule="auto"/>
        <w:ind w:hanging="0" w:left="851" w:right="0"/>
        <w:jc w:val="right"/>
      </w:pPr>
      <w:r>
        <w:rPr>
          <w:rFonts w:ascii="Arial" w:cs="Arial" w:hAnsi="Arial"/>
          <w:i/>
        </w:rPr>
        <w:t xml:space="preserve">A la </w:t>
      </w:r>
      <w:r>
        <w:rPr>
          <w:rFonts w:ascii="Arial" w:cs="Arial" w:hAnsi="Arial"/>
          <w:b/>
          <w:i/>
        </w:rPr>
        <w:t>Universidad de Carabobo</w:t>
      </w:r>
      <w:r>
        <w:rPr>
          <w:rFonts w:ascii="Arial" w:cs="Arial" w:hAnsi="Arial"/>
          <w:i/>
        </w:rPr>
        <w:t>, a esta casa de estudio que se propuso como objetivo trasladar sus conocimientos a otro estado, para   impulsar profesionales en el área de postgrado en Maestría.</w:t>
      </w:r>
    </w:p>
    <w:p>
      <w:pPr>
        <w:pStyle w:val="style0"/>
        <w:spacing w:line="360" w:lineRule="auto"/>
        <w:ind w:hanging="0" w:left="851" w:right="0"/>
        <w:jc w:val="right"/>
      </w:pPr>
      <w:r>
        <w:rPr>
          <w:rFonts w:ascii="Arial" w:cs="Arial" w:hAnsi="Arial"/>
          <w:i/>
        </w:rPr>
        <w:t xml:space="preserve">A la </w:t>
      </w:r>
      <w:r>
        <w:rPr>
          <w:rFonts w:ascii="Arial" w:cs="Arial" w:hAnsi="Arial"/>
          <w:b/>
          <w:i/>
        </w:rPr>
        <w:t>Contraloría del Estado Yaracuy</w:t>
      </w:r>
      <w:r>
        <w:rPr>
          <w:rFonts w:ascii="Arial" w:cs="Arial" w:hAnsi="Arial"/>
          <w:i/>
        </w:rPr>
        <w:t>, por asumir el reto y apoyar a la Universidad el postgrado en Maestría</w:t>
      </w:r>
    </w:p>
    <w:p>
      <w:pPr>
        <w:pStyle w:val="style0"/>
        <w:spacing w:line="360" w:lineRule="auto"/>
        <w:jc w:val="right"/>
      </w:pPr>
      <w:r>
        <w:rPr>
          <w:rFonts w:ascii="Arial" w:cs="Arial" w:hAnsi="Arial"/>
          <w:i/>
        </w:rPr>
        <w:t xml:space="preserve">Al Dr. </w:t>
      </w:r>
      <w:r>
        <w:rPr>
          <w:rFonts w:ascii="Arial" w:cs="Arial" w:hAnsi="Arial"/>
          <w:b/>
          <w:i/>
        </w:rPr>
        <w:t>Manuel Emilio Milla Pino</w:t>
      </w:r>
      <w:r>
        <w:rPr>
          <w:rFonts w:ascii="Arial" w:cs="Arial" w:hAnsi="Arial"/>
          <w:i/>
        </w:rPr>
        <w:t>, tutor y amigo por facilitarme sus conocimientos y servirme de guía y apoyo siempre incondicional.</w:t>
      </w:r>
    </w:p>
    <w:p>
      <w:pPr>
        <w:pStyle w:val="style0"/>
        <w:spacing w:line="360" w:lineRule="auto"/>
        <w:jc w:val="right"/>
      </w:pPr>
      <w:r>
        <w:rPr>
          <w:rFonts w:ascii="Arial" w:cs="Arial" w:hAnsi="Arial"/>
          <w:i/>
        </w:rPr>
        <w:t xml:space="preserve">A los profesores </w:t>
      </w:r>
      <w:r>
        <w:rPr>
          <w:rFonts w:ascii="Arial" w:cs="Arial" w:hAnsi="Arial"/>
          <w:b/>
          <w:i/>
        </w:rPr>
        <w:t>Daniel Rumbos, Nathaly Petti,  Orlando Chirivella  y Nerio  Espinoza</w:t>
      </w:r>
      <w:r>
        <w:rPr>
          <w:rFonts w:ascii="Arial" w:cs="Arial" w:hAnsi="Arial"/>
          <w:i/>
        </w:rPr>
        <w:t>, fuente inspiradora para formarse académica y profesionalmente.</w:t>
      </w:r>
    </w:p>
    <w:p>
      <w:pPr>
        <w:pStyle w:val="style0"/>
        <w:spacing w:line="360" w:lineRule="auto"/>
        <w:jc w:val="right"/>
      </w:pPr>
      <w:r>
        <w:rPr>
          <w:rFonts w:ascii="Arial" w:cs="Arial" w:hAnsi="Arial"/>
          <w:i/>
        </w:rPr>
        <w:t xml:space="preserve">A mis Jefes </w:t>
      </w:r>
      <w:r>
        <w:rPr>
          <w:rFonts w:ascii="Arial" w:cs="Arial" w:hAnsi="Arial"/>
          <w:b/>
          <w:i/>
        </w:rPr>
        <w:t>Carlos Brugaletta</w:t>
      </w:r>
      <w:r>
        <w:rPr>
          <w:rFonts w:ascii="Arial" w:cs="Arial" w:hAnsi="Arial"/>
          <w:i/>
        </w:rPr>
        <w:t xml:space="preserve">, </w:t>
      </w:r>
      <w:r>
        <w:rPr>
          <w:rFonts w:ascii="Arial" w:cs="Arial" w:hAnsi="Arial"/>
          <w:b/>
          <w:i/>
        </w:rPr>
        <w:t>Gustavo Muñoz C</w:t>
      </w:r>
      <w:r>
        <w:rPr>
          <w:rFonts w:ascii="Arial" w:cs="Arial" w:hAnsi="Arial"/>
          <w:i/>
        </w:rPr>
        <w:t xml:space="preserve"> y a mis Compañeras de trabajo  </w:t>
      </w:r>
      <w:r>
        <w:rPr>
          <w:rFonts w:ascii="Arial" w:cs="Arial" w:hAnsi="Arial"/>
          <w:b/>
          <w:i/>
        </w:rPr>
        <w:t>Silmary  y Maura</w:t>
      </w:r>
      <w:r>
        <w:rPr>
          <w:rFonts w:ascii="Arial" w:cs="Arial" w:hAnsi="Arial"/>
          <w:i/>
        </w:rPr>
        <w:t xml:space="preserve">  gracias por su apoyo espero tomen mi ejemplo para alcanzar sus metas </w:t>
      </w:r>
    </w:p>
    <w:p>
      <w:pPr>
        <w:pStyle w:val="style0"/>
        <w:spacing w:line="360" w:lineRule="auto"/>
        <w:jc w:val="right"/>
      </w:pPr>
      <w:r>
        <w:rPr>
          <w:rFonts w:ascii="Arial" w:cs="Arial" w:hAnsi="Arial"/>
          <w:i/>
        </w:rPr>
        <w:t>A todos muchísimas gracias</w:t>
      </w:r>
    </w:p>
    <w:p>
      <w:pPr>
        <w:pStyle w:val="style0"/>
        <w:spacing w:line="360" w:lineRule="auto"/>
        <w:jc w:val="right"/>
      </w:pPr>
      <w:r>
        <w:rPr>
          <w:rFonts w:ascii="Arial" w:cs="Arial" w:hAnsi="Arial"/>
          <w:b/>
          <w:i/>
        </w:rPr>
        <w:t>Oddalys Margarita Mendoza -Díaz</w:t>
      </w:r>
    </w:p>
    <w:p>
      <w:pPr>
        <w:pStyle w:val="style0"/>
        <w:pageBreakBefore/>
        <w:spacing w:line="360" w:lineRule="auto"/>
        <w:jc w:val="right"/>
      </w:pPr>
      <w:r>
        <w:rPr>
          <w:rFonts w:ascii="Arial" w:cs="Arial" w:hAnsi="Arial"/>
          <w:b/>
          <w:i/>
          <w:sz w:val="24"/>
          <w:szCs w:val="24"/>
          <w:lang w:eastAsia="es-VE"/>
        </w:rPr>
      </w:r>
    </w:p>
    <w:p>
      <w:pPr>
        <w:pStyle w:val="style220"/>
        <w:jc w:val="center"/>
      </w:pPr>
      <w:r>
        <w:rPr>
          <w:rFonts w:ascii="Arial" w:cs="Arial" w:hAnsi="Arial"/>
          <w:sz w:val="24"/>
          <w:szCs w:val="24"/>
          <w:lang w:eastAsia="es-VE" w:val="es-VE"/>
        </w:rPr>
      </w:r>
    </w:p>
    <w:p>
      <w:pPr>
        <w:pStyle w:val="style220"/>
        <w:jc w:val="center"/>
      </w:pPr>
      <w:r>
        <w:rPr>
          <w:lang w:eastAsia="es-VE" w:val="es-VE"/>
        </w:rPr>
        <w:drawing>
          <wp:inline distB="0" distL="0" distR="0" distT="0">
            <wp:extent cx="638175" cy="896620"/>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7"/>
                    <a:srcRect/>
                    <a:stretch>
                      <a:fillRect/>
                    </a:stretch>
                  </pic:blipFill>
                  <pic:spPr bwMode="auto">
                    <a:xfrm>
                      <a:off x="0" y="0"/>
                      <a:ext cx="638175" cy="896620"/>
                    </a:xfrm>
                    <a:prstGeom prst="rect">
                      <a:avLst/>
                    </a:prstGeom>
                    <a:noFill/>
                    <a:ln w="9525">
                      <a:noFill/>
                      <a:miter lim="800000"/>
                      <a:headEnd/>
                      <a:tailEnd/>
                    </a:ln>
                  </pic:spPr>
                </pic:pic>
              </a:graphicData>
            </a:graphic>
          </wp:inline>
        </w:drawing>
      </w:r>
    </w:p>
    <w:p>
      <w:pPr>
        <w:pStyle w:val="style220"/>
        <w:jc w:val="center"/>
      </w:pPr>
      <w:r>
        <w:rPr>
          <w:rFonts w:ascii="Times New Roman" w:cs="Times New Roman" w:hAnsi="Times New Roman"/>
          <w:sz w:val="24"/>
          <w:szCs w:val="24"/>
          <w:lang w:eastAsia="es-VE" w:val="es-ES"/>
        </w:rPr>
      </w:r>
    </w:p>
    <w:p>
      <w:pPr>
        <w:pStyle w:val="style0"/>
        <w:widowControl/>
        <w:spacing w:after="200" w:before="0" w:line="276" w:lineRule="auto"/>
      </w:pPr>
      <w:r>
        <w:rPr/>
        <w:drawing>
          <wp:inline distB="0" distL="0" distR="0" distT="0">
            <wp:extent cx="802640" cy="707390"/>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8"/>
                    <a:srcRect/>
                    <a:stretch>
                      <a:fillRect/>
                    </a:stretch>
                  </pic:blipFill>
                  <pic:spPr bwMode="auto">
                    <a:xfrm>
                      <a:off x="0" y="0"/>
                      <a:ext cx="802640" cy="707390"/>
                    </a:xfrm>
                    <a:prstGeom prst="rect">
                      <a:avLst/>
                    </a:prstGeom>
                    <a:noFill/>
                    <a:ln w="9525">
                      <a:noFill/>
                      <a:miter lim="800000"/>
                      <a:headEnd/>
                      <a:tailEnd/>
                    </a:ln>
                  </pic:spPr>
                </pic:pic>
              </a:graphicData>
            </a:graphic>
          </wp:inline>
        </w:drawing>
      </w:r>
    </w:p>
    <w:p>
      <w:pPr>
        <w:pStyle w:val="style0"/>
        <w:spacing w:line="240" w:lineRule="auto"/>
        <w:jc w:val="center"/>
      </w:pPr>
      <w:r>
        <w:rPr>
          <w:rFonts w:cs="Calibri"/>
          <w:lang w:eastAsia="es-VE" w:val="es-VE"/>
        </w:rPr>
        <w:t xml:space="preserve"> </w:t>
      </w:r>
      <w:r>
        <w:rPr>
          <w:rFonts w:ascii="Arial" w:cs="Arial" w:hAnsi="Arial"/>
          <w:b/>
          <w:sz w:val="24"/>
          <w:szCs w:val="24"/>
        </w:rPr>
        <w:t>ESTRATÉGIAS FINANCIERAS  -  OPERACIONALES  PARA LA REUTILIZACIÓN DE BIENES NACIONALES DEL INSTITUTO UNIVERSITARIO DE TECNOLOGÍA DE YARACUY COMO INSUMO PARA LA PRODUCCIÓN AUTOMOTRIZ Y LA CONSTRUCCIÓN CIVIL EN VENEZUELA</w:t>
      </w:r>
    </w:p>
    <w:p>
      <w:pPr>
        <w:pStyle w:val="style0"/>
        <w:spacing w:after="0" w:before="0" w:line="240" w:lineRule="auto"/>
        <w:jc w:val="both"/>
      </w:pPr>
      <w:r>
        <w:rPr>
          <w:rFonts w:cs="Calibri"/>
        </w:rPr>
        <w:t xml:space="preserve">                                                                  </w:t>
      </w:r>
      <w:r>
        <w:rPr/>
        <w:t>TUTOR: DR. MANUL EMILIO  MILLA PINO</w:t>
      </w:r>
    </w:p>
    <w:p>
      <w:pPr>
        <w:pStyle w:val="style0"/>
        <w:spacing w:after="0" w:before="0" w:line="240" w:lineRule="auto"/>
        <w:jc w:val="right"/>
      </w:pPr>
      <w:r>
        <w:rPr/>
        <w:t xml:space="preserve">AUTOR. </w:t>
      </w:r>
      <w:r>
        <w:rPr>
          <w:lang w:val="es-VE"/>
        </w:rPr>
        <w:t>Lcdo. Esp. Oddalys Margarita Mendoza Díaz</w:t>
      </w:r>
    </w:p>
    <w:p>
      <w:pPr>
        <w:pStyle w:val="style0"/>
        <w:spacing w:line="240" w:lineRule="auto"/>
        <w:jc w:val="center"/>
      </w:pPr>
      <w:r>
        <w:rPr>
          <w:b/>
        </w:rPr>
      </w:r>
    </w:p>
    <w:p>
      <w:pPr>
        <w:pStyle w:val="style0"/>
        <w:spacing w:line="240" w:lineRule="auto"/>
        <w:jc w:val="center"/>
      </w:pPr>
      <w:r>
        <w:rPr>
          <w:b/>
        </w:rPr>
        <w:t>RESUMEN</w:t>
      </w:r>
      <w:r>
        <w:rPr>
          <w:b/>
          <w:lang w:val="es-VE"/>
        </w:rPr>
        <w:t xml:space="preserve">  </w:t>
      </w:r>
    </w:p>
    <w:p>
      <w:pPr>
        <w:pStyle w:val="style0"/>
        <w:autoSpaceDE w:val="false"/>
        <w:spacing w:after="0" w:before="0" w:line="240" w:lineRule="auto"/>
        <w:jc w:val="both"/>
      </w:pPr>
      <w:r>
        <w:rPr>
          <w:rFonts w:ascii="Arial" w:cs="Arial" w:hAnsi="Arial"/>
          <w:szCs w:val="21"/>
        </w:rPr>
        <w:t>La presente investigación está enfocada a elaborar l</w:t>
      </w:r>
      <w:r>
        <w:rPr>
          <w:rFonts w:ascii="Arial" w:cs="Arial" w:hAnsi="Arial"/>
          <w:szCs w:val="21"/>
          <w:lang w:eastAsia="es-ES"/>
        </w:rPr>
        <w:t xml:space="preserve">as estrategias financieras – operacionales  como  alternativas trazadas en aras  de perfeccionar y optimizar los procesos de enajenación de los bienes nacionales en estado de obsolescencia, deterioro y corrosión que se encuentra en los espacios del </w:t>
      </w:r>
      <w:r>
        <w:rPr>
          <w:rFonts w:ascii="Arial" w:cs="Arial" w:hAnsi="Arial"/>
          <w:szCs w:val="21"/>
        </w:rPr>
        <w:t xml:space="preserve">  Instituto Universitario  de Tecnología del Estado Yaracuy, para que los mismos se utilicen como insumo y luego se reciclen  y lo transforme en otro metal para ser utilizados en la Construcción Civil y en  la producción automotriz. Este estudio está enmarcado en una </w:t>
      </w:r>
      <w:r>
        <w:rPr>
          <w:rFonts w:ascii="Arial" w:cs="Arial" w:hAnsi="Arial"/>
          <w:bCs/>
          <w:szCs w:val="21"/>
        </w:rPr>
        <w:t>investigación de campo con apoyo documental y de carácter  tipo exploratorio y factible</w:t>
      </w:r>
      <w:r>
        <w:rPr>
          <w:rFonts w:ascii="Arial" w:cs="Arial" w:hAnsi="Arial"/>
          <w:szCs w:val="21"/>
        </w:rPr>
        <w:t>,  la unidad de análisis está representada por el Departamento de Administración, teniendo como alcance la información sobre las chatarras, donde laboran 98 funcionarios de los cuales se tomo una muestra representativa 19 funcionarios. La técnica de recolección de datos utilizada fue la encuesta, aplicando como instrumentos de levantamiento de información la entrevista y un cuestionario estructurado técnicamente de la siguiente manera: dirigido a la muestra seleccionada con veinte (20) ítems estructurado en la escala de likert. Una vez recolectada y analizada la información, se llegó a la conclusión final de establecer la estrategias y  las políticas para los procesos  de enajenación de los bienes en etapa de deterioro, obsolescencias y corrosión, así como el aprovechamiento en el uso de los mismos  como materia prima para ser reciclados y transformado en un nuevo metal y que los mismos sean incorporados en la Producción Automotriz y a la Construcción Civil en Venezuela; donde actualmente el sector de la construcción civil por las políticas gubernamentales con la misión vivienda vive una situación difícil debido a la escasez del material ferroso y el abuso en  los altos costos entre otros</w:t>
      </w:r>
    </w:p>
    <w:p>
      <w:pPr>
        <w:pStyle w:val="style0"/>
        <w:jc w:val="both"/>
      </w:pPr>
      <w:r>
        <w:rPr>
          <w:rFonts w:ascii="Arial" w:cs="Arial" w:hAnsi="Arial"/>
          <w:color w:val="000000"/>
          <w:sz w:val="20"/>
          <w:szCs w:val="20"/>
        </w:rPr>
      </w:r>
    </w:p>
    <w:p>
      <w:pPr>
        <w:pStyle w:val="style0"/>
        <w:jc w:val="both"/>
      </w:pPr>
      <w:r>
        <w:rPr>
          <w:rFonts w:ascii="Arial" w:cs="Arial" w:hAnsi="Arial"/>
          <w:color w:val="000000"/>
          <w:sz w:val="20"/>
          <w:szCs w:val="20"/>
        </w:rPr>
        <w:t xml:space="preserve">Palabras claves: estrategias,  financieras,  operacionales,  planificación, procesos, bienes. </w:t>
      </w:r>
    </w:p>
    <w:p>
      <w:pPr>
        <w:pStyle w:val="style220"/>
        <w:jc w:val="center"/>
      </w:pPr>
      <w:r>
        <w:rPr>
          <w:rFonts w:ascii="Arial" w:cs="Arial" w:hAnsi="Arial"/>
          <w:sz w:val="24"/>
          <w:szCs w:val="24"/>
          <w:lang w:eastAsia="es-VE" w:val="es-ES"/>
        </w:rPr>
      </w:r>
    </w:p>
    <w:p>
      <w:pPr>
        <w:pStyle w:val="style196"/>
        <w:jc w:val="center"/>
      </w:pPr>
      <w:r>
        <w:rPr>
          <w:rFonts w:ascii="Arial" w:cs="Arial" w:hAnsi="Arial"/>
          <w:sz w:val="24"/>
          <w:szCs w:val="24"/>
          <w:lang w:val="es-VE"/>
        </w:rPr>
        <w:t>UNIVERSIDAD DE CARABOBO</w:t>
      </w:r>
    </w:p>
    <w:p>
      <w:pPr>
        <w:pStyle w:val="style196"/>
        <w:jc w:val="center"/>
      </w:pPr>
      <w:r>
        <w:rPr>
          <w:rFonts w:ascii="Arial" w:cs="Arial" w:hAnsi="Arial"/>
          <w:sz w:val="24"/>
          <w:szCs w:val="24"/>
          <w:lang w:val="es-VE"/>
        </w:rPr>
        <w:t>FACULTAD DE CIENCIAS ECONÓMICAS Y SOCIALES</w:t>
      </w:r>
    </w:p>
    <w:p>
      <w:pPr>
        <w:pStyle w:val="style196"/>
        <w:jc w:val="center"/>
      </w:pPr>
      <w:r>
        <w:rPr>
          <w:rFonts w:ascii="Arial" w:cs="Arial" w:hAnsi="Arial"/>
          <w:sz w:val="24"/>
          <w:szCs w:val="24"/>
          <w:lang w:val="es-VE"/>
        </w:rPr>
        <w:t>DIRECCIÓN DE POSTGRADO</w:t>
      </w:r>
    </w:p>
    <w:p>
      <w:pPr>
        <w:pStyle w:val="style196"/>
        <w:jc w:val="center"/>
      </w:pPr>
      <w:r>
        <w:rPr>
          <w:rFonts w:ascii="Arial" w:cs="Arial" w:hAnsi="Arial"/>
          <w:sz w:val="24"/>
          <w:szCs w:val="24"/>
          <w:lang w:val="es-VE"/>
        </w:rPr>
        <w:t>MAESTRÍA EN ADMINISTRACIÓN DE EMPRESAS: MENCIÓN FINANZAS</w:t>
      </w:r>
    </w:p>
    <w:p>
      <w:pPr>
        <w:pStyle w:val="style0"/>
        <w:jc w:val="center"/>
      </w:pPr>
      <w:r>
        <w:rPr>
          <w:rFonts w:ascii="Arial" w:cs="Arial" w:hAnsi="Arial"/>
          <w:sz w:val="24"/>
          <w:szCs w:val="24"/>
        </w:rPr>
      </w:r>
    </w:p>
    <w:p>
      <w:pPr>
        <w:pStyle w:val="style0"/>
        <w:spacing w:after="200" w:before="0"/>
      </w:pPr>
      <w:r>
        <w:rPr>
          <w:rFonts w:ascii="Arial" w:cs="Arial" w:hAnsi="Arial"/>
          <w:sz w:val="24"/>
          <w:szCs w:val="24"/>
        </w:rPr>
      </w:r>
    </w:p>
    <w:p>
      <w:pPr>
        <w:pStyle w:val="style0"/>
      </w:pPr>
      <w:r>
        <w:rPr>
          <w:rFonts w:ascii="Arial" w:cs="Arial" w:hAnsi="Arial"/>
          <w:sz w:val="24"/>
          <w:szCs w:val="24"/>
          <w:lang w:eastAsia="es-VE"/>
        </w:rPr>
      </w:r>
    </w:p>
    <w:p>
      <w:pPr>
        <w:pStyle w:val="style220"/>
        <w:jc w:val="center"/>
      </w:pPr>
      <w:r>
        <w:rPr>
          <w:rFonts w:ascii="Arial" w:cs="Arial" w:hAnsi="Arial"/>
          <w:sz w:val="24"/>
          <w:szCs w:val="24"/>
        </w:rPr>
      </w:r>
    </w:p>
    <w:p>
      <w:pPr>
        <w:pStyle w:val="style220"/>
        <w:jc w:val="center"/>
      </w:pPr>
      <w:r>
        <w:rPr>
          <w:rFonts w:ascii="Times New Roman" w:cs="Times New Roman" w:hAnsi="Times New Roman"/>
          <w:sz w:val="24"/>
          <w:szCs w:val="24"/>
          <w:lang w:eastAsia="es-VE" w:val="es-VE"/>
        </w:rPr>
      </w:r>
    </w:p>
    <w:p>
      <w:pPr>
        <w:pStyle w:val="style0"/>
        <w:widowControl/>
        <w:spacing w:after="200" w:before="0" w:line="276" w:lineRule="auto"/>
      </w:pPr>
      <w:r>
        <w:rPr/>
        <w:drawing>
          <wp:inline distB="0" distL="0" distR="0" distT="0">
            <wp:extent cx="802640" cy="707390"/>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9"/>
                    <a:srcRect/>
                    <a:stretch>
                      <a:fillRect/>
                    </a:stretch>
                  </pic:blipFill>
                  <pic:spPr bwMode="auto">
                    <a:xfrm>
                      <a:off x="0" y="0"/>
                      <a:ext cx="802640" cy="707390"/>
                    </a:xfrm>
                    <a:prstGeom prst="rect">
                      <a:avLst/>
                    </a:prstGeom>
                    <a:noFill/>
                    <a:ln w="9525">
                      <a:noFill/>
                      <a:miter lim="800000"/>
                      <a:headEnd/>
                      <a:tailEnd/>
                    </a:ln>
                  </pic:spPr>
                </pic:pic>
              </a:graphicData>
            </a:graphic>
          </wp:inline>
        </w:drawing>
      </w:r>
    </w:p>
    <w:p>
      <w:pPr>
        <w:pStyle w:val="style0"/>
        <w:spacing w:line="240" w:lineRule="auto"/>
        <w:jc w:val="center"/>
      </w:pPr>
      <w:r>
        <w:rPr>
          <w:lang w:eastAsia="es-VE" w:val="es-VE"/>
        </w:rPr>
      </w:r>
    </w:p>
    <w:p>
      <w:pPr>
        <w:pStyle w:val="style0"/>
        <w:spacing w:line="240" w:lineRule="auto"/>
        <w:jc w:val="center"/>
      </w:pPr>
      <w:r>
        <w:rPr>
          <w:rFonts w:cs="Calibri"/>
          <w:lang w:eastAsia="es-VE" w:val="es-VE"/>
        </w:rPr>
        <w:t xml:space="preserve"> </w:t>
      </w:r>
    </w:p>
    <w:p>
      <w:pPr>
        <w:pStyle w:val="style0"/>
        <w:spacing w:line="240" w:lineRule="auto"/>
        <w:jc w:val="center"/>
      </w:pPr>
      <w:r>
        <w:rPr>
          <w:rFonts w:ascii="Arial" w:cs="Arial" w:hAnsi="Arial"/>
          <w:b/>
          <w:sz w:val="24"/>
          <w:szCs w:val="24"/>
        </w:rPr>
        <w:t>ESTRATÉGIAS FINANCIERAS  -  OPERACIONALES  PARA LA REUTILIZACIÓN DE BIENES NACIONALES DEL INSTITUTO UNIVERSITARIO DE TECNOLOGÍA DE YARACUY COMO INSUMO PARA LA PRODUCCIÓN AUTOMOTRIZ Y LA CONSTRUCCIÓN CIVIL EN VENEZUELA</w:t>
      </w:r>
    </w:p>
    <w:p>
      <w:pPr>
        <w:pStyle w:val="style0"/>
        <w:spacing w:after="0" w:before="0" w:line="240" w:lineRule="auto"/>
        <w:jc w:val="both"/>
      </w:pPr>
      <w:r>
        <w:rPr>
          <w:rFonts w:cs="Calibri"/>
        </w:rPr>
        <w:t xml:space="preserve">                                                                  </w:t>
      </w:r>
      <w:r>
        <w:rPr/>
        <w:t>TUTOR: DR. MANUL EMILIO  MILLA PINO</w:t>
      </w:r>
    </w:p>
    <w:p>
      <w:pPr>
        <w:pStyle w:val="style0"/>
        <w:spacing w:after="0" w:before="0" w:line="240" w:lineRule="auto"/>
        <w:jc w:val="right"/>
      </w:pPr>
      <w:r>
        <w:rPr/>
        <w:t xml:space="preserve">AUTHOR. </w:t>
      </w:r>
      <w:r>
        <w:rPr>
          <w:lang w:val="es-VE"/>
        </w:rPr>
        <w:t>Lcdo. Esp. Oddalys Margarita Mendoza Díaz</w:t>
      </w:r>
    </w:p>
    <w:p>
      <w:pPr>
        <w:pStyle w:val="style0"/>
        <w:spacing w:line="240" w:lineRule="auto"/>
        <w:jc w:val="center"/>
      </w:pPr>
      <w:r>
        <w:rPr>
          <w:b/>
        </w:rPr>
      </w:r>
    </w:p>
    <w:p>
      <w:pPr>
        <w:pStyle w:val="style0"/>
        <w:spacing w:line="240" w:lineRule="auto"/>
        <w:jc w:val="center"/>
      </w:pPr>
      <w:r>
        <w:rPr>
          <w:b/>
          <w:lang w:val="en-US"/>
        </w:rPr>
        <w:t>ABSTRACT</w:t>
      </w:r>
    </w:p>
    <w:p>
      <w:pPr>
        <w:pStyle w:val="style0"/>
        <w:shd w:fill="FFFFFF" w:val="clear"/>
        <w:tabs>
          <w:tab w:leader="none" w:pos="916" w:val="left"/>
          <w:tab w:leader="none" w:pos="1832" w:val="left"/>
          <w:tab w:leader="none" w:pos="2748" w:val="left"/>
          <w:tab w:leader="none" w:pos="3664" w:val="left"/>
          <w:tab w:leader="none" w:pos="4580" w:val="left"/>
          <w:tab w:leader="none" w:pos="5496" w:val="left"/>
          <w:tab w:leader="none" w:pos="6412" w:val="left"/>
          <w:tab w:leader="none" w:pos="7328" w:val="left"/>
          <w:tab w:leader="none" w:pos="8244" w:val="left"/>
          <w:tab w:leader="none" w:pos="9160" w:val="left"/>
          <w:tab w:leader="none" w:pos="10076" w:val="left"/>
          <w:tab w:leader="none" w:pos="10992" w:val="left"/>
          <w:tab w:leader="none" w:pos="11908" w:val="left"/>
          <w:tab w:leader="none" w:pos="12824" w:val="left"/>
          <w:tab w:leader="none" w:pos="13740" w:val="left"/>
          <w:tab w:leader="none" w:pos="14656" w:val="left"/>
        </w:tabs>
        <w:spacing w:after="0" w:before="0" w:line="240" w:lineRule="auto"/>
        <w:jc w:val="both"/>
      </w:pPr>
      <w:r>
        <w:rPr>
          <w:rFonts w:ascii="inherit;Times New Roman" w:cs="Courier New" w:eastAsia="Times New Roman" w:hAnsi="inherit;Times New Roman"/>
          <w:color w:val="212121"/>
          <w:szCs w:val="20"/>
          <w:lang w:eastAsia="es-ES" w:val="en-US"/>
        </w:rPr>
        <w:t>This research is focused on developing financial strategies - operational as alternatives outlined in order to improve and optimize the processes of alienation of national assets in a state of obsolescence, deterioration and corrosion found in the spaces of the University Institute of Technology of the State Yaracuy, so that they are used as input and then recycled and processed in another metal for use in construction and automotive production. This study is framed in a field investigation with documentary support and exploratory and feasible type character, the unit of analysis is represented by the Department of Administration, with the scope information scrap, where they work 98 officials whom he took a representative sample of 19 officials. The data collection technique used was a survey, using as instruments of information gathering interview and technically structured questionnaire as follows: to the selected sample with twenty (20) structured Likert scale items. Once collected and analyzed the information, we reached the final conclusion to establish the strategies and policies for the process of disposition of assets in stage of deterioration, obsolescence and corrosion, as well as the progress in the use thereof as matter premium to be recycled and transformed into a new metal and that they are incorporated into the Automotive Production and Civil Construction in Venezuela; where currently the civil construction industry by government policies with housing mission lives a difficult situation due to the shortage of ferrous material and abuse in the high costs etc.</w:t>
      </w:r>
    </w:p>
    <w:p>
      <w:pPr>
        <w:pStyle w:val="style0"/>
        <w:shd w:fill="FFFFFF" w:val="clear"/>
        <w:tabs>
          <w:tab w:leader="none" w:pos="916" w:val="left"/>
          <w:tab w:leader="none" w:pos="1832" w:val="left"/>
          <w:tab w:leader="none" w:pos="2748" w:val="left"/>
          <w:tab w:leader="none" w:pos="3664" w:val="left"/>
          <w:tab w:leader="none" w:pos="4580" w:val="left"/>
          <w:tab w:leader="none" w:pos="5496" w:val="left"/>
          <w:tab w:leader="none" w:pos="6412" w:val="left"/>
          <w:tab w:leader="none" w:pos="7328" w:val="left"/>
          <w:tab w:leader="none" w:pos="8244" w:val="left"/>
          <w:tab w:leader="none" w:pos="9160" w:val="left"/>
          <w:tab w:leader="none" w:pos="10076" w:val="left"/>
          <w:tab w:leader="none" w:pos="10992" w:val="left"/>
          <w:tab w:leader="none" w:pos="11908" w:val="left"/>
          <w:tab w:leader="none" w:pos="12824" w:val="left"/>
          <w:tab w:leader="none" w:pos="13740" w:val="left"/>
          <w:tab w:leader="none" w:pos="14656" w:val="left"/>
        </w:tabs>
        <w:spacing w:after="0" w:before="0" w:line="240" w:lineRule="auto"/>
        <w:jc w:val="both"/>
      </w:pPr>
      <w:r>
        <w:rPr>
          <w:rFonts w:ascii="inherit;Times New Roman" w:cs="Courier New" w:eastAsia="Times New Roman" w:hAnsi="inherit;Times New Roman"/>
          <w:color w:val="212121"/>
          <w:szCs w:val="20"/>
          <w:lang w:eastAsia="es-ES" w:val="en-US"/>
        </w:rPr>
      </w:r>
    </w:p>
    <w:p>
      <w:pPr>
        <w:pStyle w:val="style0"/>
        <w:shd w:fill="FFFFFF" w:val="clear"/>
        <w:tabs>
          <w:tab w:leader="none" w:pos="916" w:val="left"/>
          <w:tab w:leader="none" w:pos="1832" w:val="left"/>
          <w:tab w:leader="none" w:pos="2748" w:val="left"/>
          <w:tab w:leader="none" w:pos="3664" w:val="left"/>
          <w:tab w:leader="none" w:pos="4580" w:val="left"/>
          <w:tab w:leader="none" w:pos="5496" w:val="left"/>
          <w:tab w:leader="none" w:pos="6412" w:val="left"/>
          <w:tab w:leader="none" w:pos="7328" w:val="left"/>
          <w:tab w:leader="none" w:pos="8244" w:val="left"/>
          <w:tab w:leader="none" w:pos="9160" w:val="left"/>
          <w:tab w:leader="none" w:pos="10076" w:val="left"/>
          <w:tab w:leader="none" w:pos="10992" w:val="left"/>
          <w:tab w:leader="none" w:pos="11908" w:val="left"/>
          <w:tab w:leader="none" w:pos="12824" w:val="left"/>
          <w:tab w:leader="none" w:pos="13740" w:val="left"/>
          <w:tab w:leader="none" w:pos="14656" w:val="left"/>
        </w:tabs>
        <w:spacing w:after="0" w:before="0" w:line="360" w:lineRule="auto"/>
        <w:jc w:val="center"/>
      </w:pPr>
      <w:r>
        <w:rPr>
          <w:sz w:val="24"/>
          <w:lang w:val="en-US"/>
        </w:rPr>
        <w:t>Keywords: strategy, financial, operational, planning, processes, goods.</w:t>
      </w:r>
    </w:p>
    <w:p>
      <w:pPr>
        <w:pStyle w:val="style0"/>
        <w:pageBreakBefore/>
        <w:shd w:fill="FFFFFF" w:val="clear"/>
        <w:tabs>
          <w:tab w:leader="none" w:pos="916" w:val="left"/>
          <w:tab w:leader="none" w:pos="1832" w:val="left"/>
          <w:tab w:leader="none" w:pos="2748" w:val="left"/>
          <w:tab w:leader="none" w:pos="3664" w:val="left"/>
          <w:tab w:leader="none" w:pos="4580" w:val="left"/>
          <w:tab w:leader="none" w:pos="5496" w:val="left"/>
          <w:tab w:leader="none" w:pos="6412" w:val="left"/>
          <w:tab w:leader="none" w:pos="7328" w:val="left"/>
          <w:tab w:leader="none" w:pos="8244" w:val="left"/>
          <w:tab w:leader="none" w:pos="9160" w:val="left"/>
          <w:tab w:leader="none" w:pos="10076" w:val="left"/>
          <w:tab w:leader="none" w:pos="10992" w:val="left"/>
          <w:tab w:leader="none" w:pos="11908" w:val="left"/>
          <w:tab w:leader="none" w:pos="12824" w:val="left"/>
          <w:tab w:leader="none" w:pos="13740" w:val="left"/>
          <w:tab w:leader="none" w:pos="14656" w:val="left"/>
        </w:tabs>
        <w:spacing w:after="0" w:before="0" w:line="360" w:lineRule="auto"/>
        <w:jc w:val="center"/>
      </w:pPr>
      <w:r>
        <w:rPr>
          <w:rFonts w:ascii="Arial" w:cs="Arial" w:eastAsia="Arial" w:hAnsi="Arial"/>
          <w:color w:val="000000"/>
          <w:lang w:val="en-US"/>
        </w:rPr>
        <w:t xml:space="preserve"> </w:t>
      </w:r>
    </w:p>
    <w:p>
      <w:pPr>
        <w:pStyle w:val="style1"/>
        <w:numPr>
          <w:ilvl w:val="0"/>
          <w:numId w:val="1"/>
        </w:numPr>
        <w:spacing w:line="360" w:lineRule="auto"/>
        <w:ind w:hanging="0" w:left="432" w:right="0"/>
        <w:jc w:val="center"/>
      </w:pPr>
      <w:r>
        <w:rPr>
          <w:rFonts w:ascii="Arial" w:cs="Arial" w:hAnsi="Arial"/>
          <w:color w:val="000000"/>
          <w:lang w:val="es-VE"/>
        </w:rPr>
        <w:t>INDICE GENERAL</w:t>
      </w:r>
    </w:p>
    <w:p>
      <w:pPr>
        <w:pStyle w:val="style0"/>
      </w:pPr>
      <w:r>
        <w:rPr>
          <w:lang w:val="es-VE"/>
        </w:rPr>
      </w:r>
    </w:p>
    <w:tbl>
      <w:tblPr>
        <w:jc w:val="left"/>
        <w:tblInd w:type="dxa" w:w="-108"/>
        <w:tblBorders/>
      </w:tblPr>
      <w:tblGrid>
        <w:gridCol w:w="7763"/>
        <w:gridCol w:w="650"/>
      </w:tblGrid>
      <w:tr>
        <w:trPr>
          <w:trHeight w:hRule="atLeast" w:val="201"/>
          <w:cantSplit w:val="false"/>
        </w:trPr>
        <w:tc>
          <w:tcPr>
            <w:tcW w:type="dxa" w:w="7763"/>
            <w:tcBorders/>
            <w:shd w:fill="auto" w:val="clear"/>
            <w:tcMar>
              <w:top w:type="dxa" w:w="0"/>
              <w:left w:type="dxa" w:w="108"/>
              <w:bottom w:type="dxa" w:w="0"/>
              <w:right w:type="dxa" w:w="108"/>
            </w:tcMar>
          </w:tcPr>
          <w:p>
            <w:pPr>
              <w:pStyle w:val="style0"/>
              <w:snapToGrid w:val="false"/>
              <w:spacing w:after="200" w:before="0" w:line="240" w:lineRule="auto"/>
            </w:pPr>
            <w:r>
              <w:rPr>
                <w:rFonts w:ascii="Arial" w:cs="Arial" w:hAnsi="Arial"/>
                <w:sz w:val="20"/>
                <w:szCs w:val="20"/>
              </w:rPr>
            </w:r>
          </w:p>
        </w:tc>
        <w:tc>
          <w:tcPr>
            <w:tcW w:type="dxa" w:w="650"/>
            <w:tcBorders/>
            <w:shd w:fill="auto" w:val="clear"/>
            <w:tcMar>
              <w:top w:type="dxa" w:w="0"/>
              <w:left w:type="dxa" w:w="108"/>
              <w:bottom w:type="dxa" w:w="0"/>
              <w:right w:type="dxa" w:w="108"/>
            </w:tcMar>
          </w:tcPr>
          <w:p>
            <w:pPr>
              <w:pStyle w:val="style0"/>
              <w:spacing w:after="200" w:before="0" w:line="240" w:lineRule="auto"/>
              <w:jc w:val="center"/>
            </w:pPr>
            <w:r>
              <w:rPr>
                <w:rFonts w:ascii="Arial" w:cs="Arial" w:hAnsi="Arial"/>
                <w:sz w:val="20"/>
                <w:szCs w:val="20"/>
              </w:rPr>
              <w:t>pp.</w:t>
            </w:r>
          </w:p>
        </w:tc>
      </w:tr>
      <w:tr>
        <w:trPr>
          <w:cantSplit w:val="false"/>
        </w:trPr>
        <w:tc>
          <w:tcPr>
            <w:tcW w:type="dxa" w:w="7763"/>
            <w:tcBorders/>
            <w:shd w:fill="auto" w:val="clear"/>
            <w:tcMar>
              <w:top w:type="dxa" w:w="0"/>
              <w:left w:type="dxa" w:w="108"/>
              <w:bottom w:type="dxa" w:w="0"/>
              <w:right w:type="dxa" w:w="108"/>
            </w:tcMar>
          </w:tcPr>
          <w:p>
            <w:pPr>
              <w:pStyle w:val="style0"/>
              <w:spacing w:after="200" w:before="0"/>
            </w:pPr>
            <w:r>
              <w:rPr>
                <w:rFonts w:ascii="Arial" w:cs="Arial" w:hAnsi="Arial"/>
                <w:sz w:val="20"/>
                <w:szCs w:val="20"/>
              </w:rPr>
              <w:t>INTRODUCCIÓN……………………………………………………………………………..</w:t>
            </w:r>
          </w:p>
        </w:tc>
        <w:tc>
          <w:tcPr>
            <w:tcW w:type="dxa" w:w="650"/>
            <w:tcBorders/>
            <w:shd w:fill="auto" w:val="clear"/>
            <w:tcMar>
              <w:top w:type="dxa" w:w="0"/>
              <w:left w:type="dxa" w:w="108"/>
              <w:bottom w:type="dxa" w:w="0"/>
              <w:right w:type="dxa" w:w="108"/>
            </w:tcMar>
          </w:tcPr>
          <w:p>
            <w:pPr>
              <w:pStyle w:val="style0"/>
              <w:spacing w:after="200" w:before="0" w:line="240" w:lineRule="auto"/>
              <w:jc w:val="right"/>
            </w:pPr>
            <w:r>
              <w:rPr>
                <w:rFonts w:ascii="Arial" w:cs="Arial" w:hAnsi="Arial"/>
                <w:sz w:val="20"/>
                <w:szCs w:val="20"/>
              </w:rPr>
              <w:t>20</w:t>
            </w:r>
          </w:p>
        </w:tc>
      </w:tr>
      <w:tr>
        <w:trPr>
          <w:cantSplit w:val="false"/>
        </w:trPr>
        <w:tc>
          <w:tcPr>
            <w:tcW w:type="dxa" w:w="7763"/>
            <w:tcBorders/>
            <w:shd w:fill="auto" w:val="clear"/>
            <w:tcMar>
              <w:top w:type="dxa" w:w="0"/>
              <w:left w:type="dxa" w:w="108"/>
              <w:bottom w:type="dxa" w:w="0"/>
              <w:right w:type="dxa" w:w="108"/>
            </w:tcMar>
          </w:tcPr>
          <w:p>
            <w:pPr>
              <w:pStyle w:val="style0"/>
              <w:snapToGrid w:val="false"/>
              <w:spacing w:after="200" w:before="0"/>
            </w:pPr>
            <w:r>
              <w:rPr>
                <w:rFonts w:ascii="Arial" w:cs="Arial" w:hAnsi="Arial"/>
                <w:sz w:val="20"/>
                <w:szCs w:val="20"/>
              </w:rPr>
            </w:r>
          </w:p>
        </w:tc>
        <w:tc>
          <w:tcPr>
            <w:tcW w:type="dxa" w:w="650"/>
            <w:tcBorders/>
            <w:shd w:fill="auto" w:val="clear"/>
            <w:tcMar>
              <w:top w:type="dxa" w:w="0"/>
              <w:left w:type="dxa" w:w="108"/>
              <w:bottom w:type="dxa" w:w="0"/>
              <w:right w:type="dxa" w:w="108"/>
            </w:tcMar>
          </w:tcPr>
          <w:p>
            <w:pPr>
              <w:pStyle w:val="style0"/>
              <w:snapToGrid w:val="false"/>
              <w:spacing w:after="200" w:before="0"/>
              <w:jc w:val="right"/>
            </w:pPr>
            <w:r>
              <w:rPr>
                <w:rFonts w:ascii="Arial" w:cs="Arial" w:hAnsi="Arial"/>
                <w:sz w:val="20"/>
                <w:szCs w:val="20"/>
              </w:rPr>
            </w:r>
          </w:p>
        </w:tc>
      </w:tr>
      <w:tr>
        <w:trPr>
          <w:cantSplit w:val="false"/>
        </w:trPr>
        <w:tc>
          <w:tcPr>
            <w:tcW w:type="dxa" w:w="7763"/>
            <w:tcBorders/>
            <w:shd w:fill="auto" w:val="clear"/>
            <w:tcMar>
              <w:top w:type="dxa" w:w="0"/>
              <w:left w:type="dxa" w:w="108"/>
              <w:bottom w:type="dxa" w:w="0"/>
              <w:right w:type="dxa" w:w="108"/>
            </w:tcMar>
          </w:tcPr>
          <w:p>
            <w:pPr>
              <w:pStyle w:val="style0"/>
              <w:spacing w:after="200" w:before="0"/>
            </w:pPr>
            <w:r>
              <w:rPr>
                <w:rFonts w:ascii="Arial" w:cs="Arial" w:hAnsi="Arial"/>
                <w:sz w:val="20"/>
                <w:szCs w:val="20"/>
              </w:rPr>
              <w:t>CAPITULO I……………………………………………………………………………….…..</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25</w:t>
            </w:r>
          </w:p>
        </w:tc>
      </w:tr>
      <w:tr>
        <w:trPr>
          <w:cantSplit w:val="false"/>
        </w:trPr>
        <w:tc>
          <w:tcPr>
            <w:tcW w:type="dxa" w:w="7763"/>
            <w:tcBorders/>
            <w:shd w:fill="auto" w:val="clear"/>
            <w:tcMar>
              <w:top w:type="dxa" w:w="0"/>
              <w:left w:type="dxa" w:w="108"/>
              <w:bottom w:type="dxa" w:w="0"/>
              <w:right w:type="dxa" w:w="108"/>
            </w:tcMar>
          </w:tcPr>
          <w:p>
            <w:pPr>
              <w:pStyle w:val="style0"/>
              <w:spacing w:after="200" w:before="0"/>
            </w:pPr>
            <w:r>
              <w:rPr>
                <w:rFonts w:ascii="Arial" w:cs="Arial" w:hAnsi="Arial"/>
                <w:sz w:val="20"/>
                <w:szCs w:val="20"/>
              </w:rPr>
              <w:t>1. EL PROBLEMA………………………………………………………………………….…</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25</w:t>
            </w:r>
          </w:p>
        </w:tc>
      </w:tr>
      <w:tr>
        <w:trPr>
          <w:cantSplit w:val="false"/>
        </w:trPr>
        <w:tc>
          <w:tcPr>
            <w:tcW w:type="dxa" w:w="7763"/>
            <w:tcBorders/>
            <w:shd w:fill="auto" w:val="clear"/>
            <w:tcMar>
              <w:top w:type="dxa" w:w="0"/>
              <w:left w:type="dxa" w:w="108"/>
              <w:bottom w:type="dxa" w:w="0"/>
              <w:right w:type="dxa" w:w="108"/>
            </w:tcMar>
          </w:tcPr>
          <w:p>
            <w:pPr>
              <w:pStyle w:val="style0"/>
              <w:spacing w:after="200" w:before="0"/>
            </w:pPr>
            <w:r>
              <w:rPr>
                <w:rFonts w:ascii="Arial" w:cs="Arial" w:eastAsia="Arial" w:hAnsi="Arial"/>
                <w:sz w:val="20"/>
                <w:szCs w:val="20"/>
              </w:rPr>
              <w:t xml:space="preserve">    </w:t>
            </w:r>
            <w:r>
              <w:rPr>
                <w:rFonts w:ascii="Arial" w:cs="Arial" w:hAnsi="Arial"/>
                <w:sz w:val="20"/>
                <w:szCs w:val="20"/>
              </w:rPr>
              <w:t>1.1. Planteamiento del Problema…………………………………………………...……</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45</w:t>
            </w:r>
          </w:p>
        </w:tc>
      </w:tr>
      <w:tr>
        <w:trPr>
          <w:cantSplit w:val="false"/>
        </w:trPr>
        <w:tc>
          <w:tcPr>
            <w:tcW w:type="dxa" w:w="7763"/>
            <w:tcBorders/>
            <w:shd w:fill="auto" w:val="clear"/>
            <w:tcMar>
              <w:top w:type="dxa" w:w="0"/>
              <w:left w:type="dxa" w:w="108"/>
              <w:bottom w:type="dxa" w:w="0"/>
              <w:right w:type="dxa" w:w="108"/>
            </w:tcMar>
          </w:tcPr>
          <w:p>
            <w:pPr>
              <w:pStyle w:val="style0"/>
              <w:spacing w:after="200" w:before="0"/>
            </w:pPr>
            <w:r>
              <w:rPr>
                <w:rFonts w:ascii="Arial" w:cs="Arial" w:eastAsia="Arial" w:hAnsi="Arial"/>
                <w:sz w:val="20"/>
                <w:szCs w:val="20"/>
              </w:rPr>
              <w:t xml:space="preserve">    </w:t>
            </w:r>
            <w:r>
              <w:rPr>
                <w:rFonts w:ascii="Arial" w:cs="Arial" w:hAnsi="Arial"/>
                <w:sz w:val="20"/>
                <w:szCs w:val="20"/>
              </w:rPr>
              <w:t>1.2. Objetivos de la Investigación………………………………………………………..</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40</w:t>
            </w:r>
          </w:p>
        </w:tc>
      </w:tr>
      <w:tr>
        <w:trPr>
          <w:cantSplit w:val="false"/>
        </w:trPr>
        <w:tc>
          <w:tcPr>
            <w:tcW w:type="dxa" w:w="7763"/>
            <w:tcBorders/>
            <w:shd w:fill="auto" w:val="clear"/>
            <w:tcMar>
              <w:top w:type="dxa" w:w="0"/>
              <w:left w:type="dxa" w:w="108"/>
              <w:bottom w:type="dxa" w:w="0"/>
              <w:right w:type="dxa" w:w="108"/>
            </w:tcMar>
          </w:tcPr>
          <w:p>
            <w:pPr>
              <w:pStyle w:val="style0"/>
              <w:spacing w:after="200" w:before="0"/>
            </w:pPr>
            <w:r>
              <w:rPr>
                <w:rFonts w:ascii="Arial" w:cs="Arial" w:eastAsia="Arial" w:hAnsi="Arial"/>
                <w:sz w:val="20"/>
                <w:szCs w:val="20"/>
              </w:rPr>
              <w:t xml:space="preserve">          </w:t>
            </w:r>
            <w:r>
              <w:rPr>
                <w:rFonts w:ascii="Arial" w:cs="Arial" w:hAnsi="Arial"/>
                <w:sz w:val="20"/>
                <w:szCs w:val="20"/>
              </w:rPr>
              <w:t>1.2.1. Objetivo General……………………………………………………….………</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40</w:t>
            </w:r>
          </w:p>
        </w:tc>
      </w:tr>
      <w:tr>
        <w:trPr>
          <w:cantSplit w:val="false"/>
        </w:trPr>
        <w:tc>
          <w:tcPr>
            <w:tcW w:type="dxa" w:w="7763"/>
            <w:tcBorders/>
            <w:shd w:fill="auto" w:val="clear"/>
            <w:tcMar>
              <w:top w:type="dxa" w:w="0"/>
              <w:left w:type="dxa" w:w="108"/>
              <w:bottom w:type="dxa" w:w="0"/>
              <w:right w:type="dxa" w:w="108"/>
            </w:tcMar>
          </w:tcPr>
          <w:p>
            <w:pPr>
              <w:pStyle w:val="style0"/>
              <w:spacing w:after="200" w:before="0"/>
            </w:pPr>
            <w:r>
              <w:rPr>
                <w:rFonts w:ascii="Arial" w:cs="Arial" w:eastAsia="Arial" w:hAnsi="Arial"/>
                <w:sz w:val="20"/>
                <w:szCs w:val="20"/>
              </w:rPr>
              <w:t xml:space="preserve">         </w:t>
            </w:r>
            <w:r>
              <w:rPr>
                <w:rFonts w:ascii="Arial" w:cs="Arial" w:hAnsi="Arial"/>
                <w:sz w:val="20"/>
                <w:szCs w:val="20"/>
              </w:rPr>
              <w:t>1.2.2. Objetivos Específicos……………………………………………….………….</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41</w:t>
            </w:r>
          </w:p>
        </w:tc>
      </w:tr>
      <w:tr>
        <w:trPr>
          <w:cantSplit w:val="false"/>
        </w:trPr>
        <w:tc>
          <w:tcPr>
            <w:tcW w:type="dxa" w:w="7763"/>
            <w:tcBorders/>
            <w:shd w:fill="auto" w:val="clear"/>
            <w:tcMar>
              <w:top w:type="dxa" w:w="0"/>
              <w:left w:type="dxa" w:w="108"/>
              <w:bottom w:type="dxa" w:w="0"/>
              <w:right w:type="dxa" w:w="108"/>
            </w:tcMar>
          </w:tcPr>
          <w:p>
            <w:pPr>
              <w:pStyle w:val="style218"/>
              <w:spacing w:after="0" w:before="0"/>
              <w:ind w:hanging="0" w:left="284" w:right="0"/>
            </w:pPr>
            <w:r>
              <w:rPr>
                <w:rFonts w:ascii="Arial" w:cs="Arial" w:hAnsi="Arial"/>
                <w:sz w:val="20"/>
                <w:szCs w:val="20"/>
              </w:rPr>
              <w:t>1.3. Justificación e Importancia de la Investigación……………………….….……….</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42</w:t>
            </w:r>
          </w:p>
        </w:tc>
      </w:tr>
      <w:tr>
        <w:trPr>
          <w:cantSplit w:val="false"/>
        </w:trPr>
        <w:tc>
          <w:tcPr>
            <w:tcW w:type="dxa" w:w="7763"/>
            <w:tcBorders/>
            <w:shd w:fill="auto" w:val="clear"/>
            <w:tcMar>
              <w:top w:type="dxa" w:w="0"/>
              <w:left w:type="dxa" w:w="108"/>
              <w:bottom w:type="dxa" w:w="0"/>
              <w:right w:type="dxa" w:w="108"/>
            </w:tcMar>
          </w:tcPr>
          <w:p>
            <w:pPr>
              <w:pStyle w:val="style0"/>
              <w:snapToGrid w:val="false"/>
              <w:spacing w:after="200" w:before="0"/>
            </w:pPr>
            <w:r>
              <w:rPr>
                <w:rFonts w:ascii="Arial" w:cs="Arial" w:hAnsi="Arial"/>
                <w:sz w:val="20"/>
                <w:szCs w:val="20"/>
              </w:rPr>
            </w:r>
          </w:p>
        </w:tc>
        <w:tc>
          <w:tcPr>
            <w:tcW w:type="dxa" w:w="650"/>
            <w:tcBorders/>
            <w:shd w:fill="auto" w:val="clear"/>
            <w:tcMar>
              <w:top w:type="dxa" w:w="0"/>
              <w:left w:type="dxa" w:w="108"/>
              <w:bottom w:type="dxa" w:w="0"/>
              <w:right w:type="dxa" w:w="108"/>
            </w:tcMar>
          </w:tcPr>
          <w:p>
            <w:pPr>
              <w:pStyle w:val="style0"/>
              <w:snapToGrid w:val="false"/>
              <w:spacing w:after="200" w:before="0"/>
              <w:jc w:val="right"/>
            </w:pPr>
            <w:r>
              <w:rPr>
                <w:rFonts w:ascii="Arial" w:cs="Arial" w:hAnsi="Arial"/>
                <w:sz w:val="20"/>
                <w:szCs w:val="20"/>
              </w:rPr>
            </w:r>
          </w:p>
        </w:tc>
      </w:tr>
      <w:tr>
        <w:trPr>
          <w:cantSplit w:val="false"/>
        </w:trPr>
        <w:tc>
          <w:tcPr>
            <w:tcW w:type="dxa" w:w="7763"/>
            <w:tcBorders/>
            <w:shd w:fill="auto" w:val="clear"/>
            <w:tcMar>
              <w:top w:type="dxa" w:w="0"/>
              <w:left w:type="dxa" w:w="108"/>
              <w:bottom w:type="dxa" w:w="0"/>
              <w:right w:type="dxa" w:w="108"/>
            </w:tcMar>
          </w:tcPr>
          <w:p>
            <w:pPr>
              <w:pStyle w:val="style0"/>
              <w:spacing w:after="200" w:before="0"/>
            </w:pPr>
            <w:r>
              <w:rPr>
                <w:rFonts w:ascii="Arial" w:cs="Arial" w:hAnsi="Arial"/>
                <w:sz w:val="20"/>
                <w:szCs w:val="20"/>
              </w:rPr>
              <w:t>CAPÍTULO II…………………………………………………………….…………………….</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48</w:t>
            </w:r>
          </w:p>
        </w:tc>
      </w:tr>
      <w:tr>
        <w:trPr>
          <w:cantSplit w:val="false"/>
        </w:trPr>
        <w:tc>
          <w:tcPr>
            <w:tcW w:type="dxa" w:w="7763"/>
            <w:tcBorders/>
            <w:shd w:fill="auto" w:val="clear"/>
            <w:tcMar>
              <w:top w:type="dxa" w:w="0"/>
              <w:left w:type="dxa" w:w="108"/>
              <w:bottom w:type="dxa" w:w="0"/>
              <w:right w:type="dxa" w:w="108"/>
            </w:tcMar>
          </w:tcPr>
          <w:p>
            <w:pPr>
              <w:pStyle w:val="style0"/>
              <w:spacing w:after="200" w:before="0"/>
            </w:pPr>
            <w:r>
              <w:rPr>
                <w:rFonts w:ascii="Arial" w:cs="Arial" w:hAnsi="Arial"/>
                <w:sz w:val="20"/>
                <w:szCs w:val="20"/>
              </w:rPr>
              <w:t>2. MARCO TEORICO REFERENCIAL………………………………………………..…...</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48</w:t>
            </w:r>
          </w:p>
        </w:tc>
      </w:tr>
      <w:tr>
        <w:trPr>
          <w:cantSplit w:val="false"/>
        </w:trPr>
        <w:tc>
          <w:tcPr>
            <w:tcW w:type="dxa" w:w="7763"/>
            <w:tcBorders/>
            <w:shd w:fill="auto" w:val="clear"/>
            <w:tcMar>
              <w:top w:type="dxa" w:w="0"/>
              <w:left w:type="dxa" w:w="108"/>
              <w:bottom w:type="dxa" w:w="0"/>
              <w:right w:type="dxa" w:w="108"/>
            </w:tcMar>
          </w:tcPr>
          <w:p>
            <w:pPr>
              <w:pStyle w:val="style0"/>
              <w:spacing w:after="200" w:before="0"/>
            </w:pPr>
            <w:r>
              <w:rPr>
                <w:rFonts w:ascii="Arial" w:cs="Arial" w:eastAsia="Arial" w:hAnsi="Arial"/>
                <w:sz w:val="20"/>
                <w:szCs w:val="20"/>
              </w:rPr>
              <w:t xml:space="preserve">     </w:t>
            </w:r>
            <w:r>
              <w:rPr>
                <w:rFonts w:ascii="Arial" w:cs="Arial" w:hAnsi="Arial"/>
                <w:sz w:val="20"/>
                <w:szCs w:val="20"/>
              </w:rPr>
              <w:t>2.1. Antecedentes de la Investigación……………………………………....................</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48</w:t>
            </w:r>
          </w:p>
        </w:tc>
      </w:tr>
      <w:tr>
        <w:trPr>
          <w:cantSplit w:val="false"/>
        </w:trPr>
        <w:tc>
          <w:tcPr>
            <w:tcW w:type="dxa" w:w="7763"/>
            <w:tcBorders/>
            <w:shd w:fill="auto" w:val="clear"/>
            <w:tcMar>
              <w:top w:type="dxa" w:w="0"/>
              <w:left w:type="dxa" w:w="108"/>
              <w:bottom w:type="dxa" w:w="0"/>
              <w:right w:type="dxa" w:w="108"/>
            </w:tcMar>
          </w:tcPr>
          <w:p>
            <w:pPr>
              <w:pStyle w:val="style218"/>
              <w:numPr>
                <w:ilvl w:val="1"/>
                <w:numId w:val="18"/>
              </w:numPr>
              <w:spacing w:after="0" w:before="0"/>
              <w:ind w:hanging="76" w:left="360" w:right="0"/>
            </w:pPr>
            <w:r>
              <w:rPr>
                <w:rFonts w:ascii="Arial" w:cs="Arial" w:hAnsi="Arial"/>
                <w:sz w:val="20"/>
                <w:szCs w:val="20"/>
              </w:rPr>
              <w:t>Bases Teóricas……………………………………………………………………..</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57</w:t>
            </w:r>
          </w:p>
        </w:tc>
      </w:tr>
      <w:tr>
        <w:trPr>
          <w:cantSplit w:val="false"/>
        </w:trPr>
        <w:tc>
          <w:tcPr>
            <w:tcW w:type="dxa" w:w="7763"/>
            <w:tcBorders/>
            <w:shd w:fill="auto" w:val="clear"/>
            <w:tcMar>
              <w:top w:type="dxa" w:w="0"/>
              <w:left w:type="dxa" w:w="108"/>
              <w:bottom w:type="dxa" w:w="0"/>
              <w:right w:type="dxa" w:w="108"/>
            </w:tcMar>
          </w:tcPr>
          <w:p>
            <w:pPr>
              <w:pStyle w:val="style218"/>
              <w:numPr>
                <w:ilvl w:val="2"/>
                <w:numId w:val="18"/>
              </w:numPr>
              <w:spacing w:after="0" w:before="0"/>
              <w:ind w:hanging="153" w:left="720" w:right="0"/>
            </w:pPr>
            <w:r>
              <w:rPr>
                <w:rFonts w:ascii="Arial" w:cs="Arial" w:hAnsi="Arial"/>
                <w:sz w:val="20"/>
                <w:szCs w:val="20"/>
              </w:rPr>
              <w:t xml:space="preserve">Conceptos  de </w:t>
            </w:r>
            <w:r>
              <w:rPr/>
              <w:t>Bienes Público…</w:t>
            </w:r>
            <w:r>
              <w:rPr>
                <w:rFonts w:ascii="Arial" w:cs="Arial" w:hAnsi="Arial"/>
                <w:sz w:val="20"/>
                <w:szCs w:val="20"/>
              </w:rPr>
              <w:t>…………………………………………</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lang w:val="es-VE"/>
              </w:rPr>
              <w:t>58</w:t>
            </w:r>
          </w:p>
        </w:tc>
      </w:tr>
      <w:tr>
        <w:trPr>
          <w:cantSplit w:val="false"/>
        </w:trPr>
        <w:tc>
          <w:tcPr>
            <w:tcW w:type="dxa" w:w="7763"/>
            <w:tcBorders/>
            <w:shd w:fill="auto" w:val="clear"/>
            <w:tcMar>
              <w:top w:type="dxa" w:w="0"/>
              <w:left w:type="dxa" w:w="108"/>
              <w:bottom w:type="dxa" w:w="0"/>
              <w:right w:type="dxa" w:w="108"/>
            </w:tcMar>
          </w:tcPr>
          <w:p>
            <w:pPr>
              <w:pStyle w:val="style0"/>
              <w:numPr>
                <w:ilvl w:val="3"/>
                <w:numId w:val="18"/>
              </w:numPr>
              <w:spacing w:after="0" w:before="0" w:line="240" w:lineRule="auto"/>
              <w:ind w:hanging="295" w:left="862" w:right="0"/>
            </w:pPr>
            <w:r>
              <w:rPr>
                <w:rFonts w:ascii="Arial" w:cs="Arial" w:hAnsi="Arial"/>
                <w:szCs w:val="24"/>
              </w:rPr>
              <w:t>Definición de Ciencia Ambientalista</w:t>
            </w:r>
            <w:r>
              <w:rPr>
                <w:rFonts w:ascii="Arial" w:cs="Arial" w:hAnsi="Arial"/>
                <w:sz w:val="24"/>
                <w:szCs w:val="24"/>
              </w:rPr>
              <w:t>………</w:t>
            </w:r>
            <w:r>
              <w:rPr>
                <w:rFonts w:ascii="Arial" w:cs="Arial" w:hAnsi="Arial"/>
              </w:rPr>
              <w:t>……………………</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59</w:t>
            </w:r>
          </w:p>
        </w:tc>
      </w:tr>
      <w:tr>
        <w:trPr>
          <w:cantSplit w:val="false"/>
        </w:trPr>
        <w:tc>
          <w:tcPr>
            <w:tcW w:type="dxa" w:w="7763"/>
            <w:tcBorders/>
            <w:shd w:fill="auto" w:val="clear"/>
            <w:tcMar>
              <w:top w:type="dxa" w:w="0"/>
              <w:left w:type="dxa" w:w="108"/>
              <w:bottom w:type="dxa" w:w="0"/>
              <w:right w:type="dxa" w:w="108"/>
            </w:tcMar>
          </w:tcPr>
          <w:p>
            <w:pPr>
              <w:pStyle w:val="style0"/>
              <w:numPr>
                <w:ilvl w:val="3"/>
                <w:numId w:val="18"/>
              </w:numPr>
              <w:spacing w:after="0" w:before="0" w:line="240" w:lineRule="auto"/>
              <w:ind w:hanging="295" w:left="862" w:right="0"/>
            </w:pPr>
            <w:r>
              <w:rPr>
                <w:rFonts w:ascii="Arial" w:cs="Arial" w:hAnsi="Arial"/>
                <w:sz w:val="20"/>
                <w:szCs w:val="20"/>
              </w:rPr>
              <w:t xml:space="preserve">Definiciones de </w:t>
            </w:r>
            <w:r>
              <w:rPr>
                <w:rFonts w:ascii="Arial" w:cs="Arial" w:eastAsia="Times New Roman" w:hAnsi="Arial"/>
                <w:color w:val="000000"/>
                <w:szCs w:val="24"/>
                <w:lang w:eastAsia="es-ES"/>
              </w:rPr>
              <w:t>Reciclaje……………………………………………</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63</w:t>
            </w:r>
          </w:p>
        </w:tc>
      </w:tr>
      <w:tr>
        <w:trPr>
          <w:cantSplit w:val="false"/>
        </w:trPr>
        <w:tc>
          <w:tcPr>
            <w:tcW w:type="dxa" w:w="7763"/>
            <w:tcBorders/>
            <w:shd w:fill="auto" w:val="clear"/>
            <w:tcMar>
              <w:top w:type="dxa" w:w="0"/>
              <w:left w:type="dxa" w:w="108"/>
              <w:bottom w:type="dxa" w:w="0"/>
              <w:right w:type="dxa" w:w="108"/>
            </w:tcMar>
          </w:tcPr>
          <w:p>
            <w:pPr>
              <w:pStyle w:val="style0"/>
              <w:numPr>
                <w:ilvl w:val="3"/>
                <w:numId w:val="18"/>
              </w:numPr>
              <w:spacing w:after="0" w:before="0" w:line="240" w:lineRule="auto"/>
              <w:ind w:hanging="295" w:left="862" w:right="0"/>
            </w:pPr>
            <w:r>
              <w:rPr>
                <w:rFonts w:ascii="Arial" w:cs="Arial" w:hAnsi="Arial"/>
                <w:color w:val="000000"/>
                <w:shd w:fill="FFFFFF" w:val="clear"/>
              </w:rPr>
              <w:t>Ventaja del reciclaje del metal,</w:t>
            </w:r>
            <w:r>
              <w:rPr>
                <w:rFonts w:ascii="Arial" w:cs="Arial" w:hAnsi="Arial"/>
              </w:rPr>
              <w:t>……</w:t>
            </w:r>
            <w:r>
              <w:rPr>
                <w:rFonts w:ascii="Arial" w:cs="Arial" w:hAnsi="Arial"/>
                <w:sz w:val="20"/>
                <w:szCs w:val="20"/>
              </w:rPr>
              <w:t>……………………………..…</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64</w:t>
            </w:r>
          </w:p>
        </w:tc>
      </w:tr>
      <w:tr>
        <w:trPr>
          <w:cantSplit w:val="false"/>
        </w:trPr>
        <w:tc>
          <w:tcPr>
            <w:tcW w:type="dxa" w:w="7763"/>
            <w:tcBorders/>
            <w:shd w:fill="auto" w:val="clear"/>
            <w:tcMar>
              <w:top w:type="dxa" w:w="0"/>
              <w:left w:type="dxa" w:w="108"/>
              <w:bottom w:type="dxa" w:w="0"/>
              <w:right w:type="dxa" w:w="108"/>
            </w:tcMar>
          </w:tcPr>
          <w:p>
            <w:pPr>
              <w:pStyle w:val="style218"/>
              <w:numPr>
                <w:ilvl w:val="3"/>
                <w:numId w:val="18"/>
              </w:numPr>
              <w:spacing w:after="0" w:before="0" w:line="240" w:lineRule="auto"/>
              <w:ind w:hanging="295" w:left="862" w:right="0"/>
            </w:pPr>
            <w:r>
              <w:rPr>
                <w:rFonts w:ascii="Arial" w:cs="Arial" w:hAnsi="Arial"/>
                <w:color w:val="000000"/>
                <w:szCs w:val="24"/>
                <w:lang w:eastAsia="es-ES"/>
              </w:rPr>
              <w:t>Proceso del reciclado…</w:t>
            </w:r>
            <w:r>
              <w:rPr>
                <w:rFonts w:ascii="Arial" w:cs="Arial" w:hAnsi="Arial"/>
                <w:sz w:val="20"/>
                <w:szCs w:val="20"/>
                <w:lang w:val="es-ES"/>
              </w:rPr>
              <w:t>…………………………………………..….</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67</w:t>
            </w:r>
          </w:p>
        </w:tc>
      </w:tr>
      <w:tr>
        <w:trPr>
          <w:cantSplit w:val="false"/>
        </w:trPr>
        <w:tc>
          <w:tcPr>
            <w:tcW w:type="dxa" w:w="7763"/>
            <w:tcBorders/>
            <w:shd w:fill="auto" w:val="clear"/>
            <w:tcMar>
              <w:top w:type="dxa" w:w="0"/>
              <w:left w:type="dxa" w:w="108"/>
              <w:bottom w:type="dxa" w:w="0"/>
              <w:right w:type="dxa" w:w="108"/>
            </w:tcMar>
          </w:tcPr>
          <w:p>
            <w:pPr>
              <w:pStyle w:val="style218"/>
              <w:numPr>
                <w:ilvl w:val="3"/>
                <w:numId w:val="18"/>
              </w:numPr>
              <w:spacing w:after="0" w:before="0" w:line="240" w:lineRule="auto"/>
              <w:ind w:hanging="295" w:left="862" w:right="0"/>
            </w:pPr>
            <w:r>
              <w:rPr>
                <w:rFonts w:ascii="Arial" w:cs="Arial" w:hAnsi="Arial"/>
                <w:color w:val="000000"/>
                <w:szCs w:val="24"/>
              </w:rPr>
              <w:t>Contenedores de Colores  utilizado  para el Reciclaje…</w:t>
            </w:r>
            <w:r>
              <w:rPr>
                <w:rFonts w:ascii="Arial" w:cs="Arial" w:hAnsi="Arial"/>
                <w:sz w:val="20"/>
                <w:szCs w:val="20"/>
              </w:rPr>
              <w:t>...........</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68</w:t>
            </w:r>
          </w:p>
        </w:tc>
      </w:tr>
      <w:tr>
        <w:trPr>
          <w:cantSplit w:val="false"/>
        </w:trPr>
        <w:tc>
          <w:tcPr>
            <w:tcW w:type="dxa" w:w="7763"/>
            <w:tcBorders/>
            <w:shd w:fill="auto" w:val="clear"/>
            <w:tcMar>
              <w:top w:type="dxa" w:w="0"/>
              <w:left w:type="dxa" w:w="108"/>
              <w:bottom w:type="dxa" w:w="0"/>
              <w:right w:type="dxa" w:w="108"/>
            </w:tcMar>
          </w:tcPr>
          <w:p>
            <w:pPr>
              <w:pStyle w:val="style218"/>
              <w:numPr>
                <w:ilvl w:val="3"/>
                <w:numId w:val="18"/>
              </w:numPr>
              <w:spacing w:after="0" w:before="0" w:line="240" w:lineRule="auto"/>
              <w:ind w:hanging="295" w:left="862" w:right="0"/>
            </w:pPr>
            <w:r>
              <w:rPr>
                <w:rFonts w:ascii="Arial" w:cs="Arial" w:hAnsi="Arial"/>
                <w:sz w:val="20"/>
                <w:szCs w:val="20"/>
                <w:lang w:val="es-ES"/>
              </w:rPr>
              <w:t xml:space="preserve">Definiciones de </w:t>
            </w:r>
            <w:r>
              <w:rPr>
                <w:rFonts w:ascii="Arial" w:cs="Arial" w:hAnsi="Arial"/>
                <w:color w:val="000000"/>
                <w:sz w:val="20"/>
                <w:shd w:fill="FFFFFF" w:val="clear"/>
              </w:rPr>
              <w:t>Reutilización</w:t>
            </w:r>
            <w:r>
              <w:rPr>
                <w:rFonts w:ascii="Arial" w:cs="Arial" w:hAnsi="Arial"/>
                <w:sz w:val="18"/>
                <w:szCs w:val="20"/>
                <w:lang w:val="es-ES"/>
              </w:rPr>
              <w:t>…</w:t>
            </w:r>
            <w:r>
              <w:rPr>
                <w:rFonts w:ascii="Arial" w:cs="Arial" w:hAnsi="Arial"/>
                <w:sz w:val="20"/>
                <w:szCs w:val="20"/>
                <w:lang w:val="es-ES"/>
              </w:rPr>
              <w:t>………………………………………….</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69</w:t>
            </w:r>
          </w:p>
        </w:tc>
      </w:tr>
      <w:tr>
        <w:trPr>
          <w:cantSplit w:val="false"/>
        </w:trPr>
        <w:tc>
          <w:tcPr>
            <w:tcW w:type="dxa" w:w="7763"/>
            <w:tcBorders/>
            <w:shd w:fill="auto" w:val="clear"/>
            <w:tcMar>
              <w:top w:type="dxa" w:w="0"/>
              <w:left w:type="dxa" w:w="108"/>
              <w:bottom w:type="dxa" w:w="0"/>
              <w:right w:type="dxa" w:w="108"/>
            </w:tcMar>
          </w:tcPr>
          <w:p>
            <w:pPr>
              <w:pStyle w:val="style218"/>
              <w:numPr>
                <w:ilvl w:val="3"/>
                <w:numId w:val="18"/>
              </w:numPr>
              <w:spacing w:after="0" w:before="0" w:line="240" w:lineRule="auto"/>
              <w:ind w:hanging="295" w:left="862" w:right="0"/>
            </w:pPr>
            <w:r>
              <w:rPr>
                <w:rFonts w:ascii="Arial" w:cs="Arial" w:hAnsi="Arial"/>
                <w:sz w:val="20"/>
                <w:szCs w:val="20"/>
                <w:lang w:val="es-ES"/>
              </w:rPr>
              <w:t>Reutilización de los Recursos…………………………………………..</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69</w:t>
            </w:r>
          </w:p>
        </w:tc>
      </w:tr>
      <w:tr>
        <w:trPr>
          <w:cantSplit w:val="false"/>
        </w:trPr>
        <w:tc>
          <w:tcPr>
            <w:tcW w:type="dxa" w:w="7763"/>
            <w:tcBorders/>
            <w:shd w:fill="auto" w:val="clear"/>
            <w:tcMar>
              <w:top w:type="dxa" w:w="0"/>
              <w:left w:type="dxa" w:w="108"/>
              <w:bottom w:type="dxa" w:w="0"/>
              <w:right w:type="dxa" w:w="108"/>
            </w:tcMar>
          </w:tcPr>
          <w:p>
            <w:pPr>
              <w:pStyle w:val="style218"/>
              <w:numPr>
                <w:ilvl w:val="3"/>
                <w:numId w:val="18"/>
              </w:numPr>
              <w:spacing w:after="0" w:before="0" w:line="240" w:lineRule="auto"/>
              <w:ind w:hanging="295" w:left="862" w:right="0"/>
            </w:pPr>
            <w:r>
              <w:rPr>
                <w:rFonts w:ascii="Arial" w:cs="Arial" w:hAnsi="Arial"/>
                <w:sz w:val="20"/>
                <w:szCs w:val="20"/>
              </w:rPr>
              <w:t>Tipos de Residuos………………………………………………………..</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71</w:t>
            </w:r>
          </w:p>
        </w:tc>
      </w:tr>
      <w:tr>
        <w:trPr>
          <w:cantSplit w:val="false"/>
        </w:trPr>
        <w:tc>
          <w:tcPr>
            <w:tcW w:type="dxa" w:w="7763"/>
            <w:tcBorders/>
            <w:shd w:fill="auto" w:val="clear"/>
            <w:tcMar>
              <w:top w:type="dxa" w:w="0"/>
              <w:left w:type="dxa" w:w="108"/>
              <w:bottom w:type="dxa" w:w="0"/>
              <w:right w:type="dxa" w:w="108"/>
            </w:tcMar>
          </w:tcPr>
          <w:p>
            <w:pPr>
              <w:pStyle w:val="style218"/>
              <w:numPr>
                <w:ilvl w:val="3"/>
                <w:numId w:val="18"/>
              </w:numPr>
              <w:spacing w:after="0" w:before="0" w:line="240" w:lineRule="auto"/>
              <w:ind w:hanging="295" w:left="862" w:right="0"/>
            </w:pPr>
            <w:r>
              <w:rPr>
                <w:rFonts w:ascii="Arial" w:cs="Arial" w:hAnsi="Arial"/>
                <w:sz w:val="20"/>
                <w:szCs w:val="20"/>
                <w:lang w:val="es-ES"/>
              </w:rPr>
              <w:t>Basura Tecnológica……………………………………………………….</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lang w:val="es-VE"/>
              </w:rPr>
              <w:t>73</w:t>
            </w:r>
          </w:p>
        </w:tc>
      </w:tr>
      <w:tr>
        <w:trPr>
          <w:cantSplit w:val="false"/>
        </w:trPr>
        <w:tc>
          <w:tcPr>
            <w:tcW w:type="dxa" w:w="7763"/>
            <w:tcBorders/>
            <w:shd w:fill="auto" w:val="clear"/>
            <w:tcMar>
              <w:top w:type="dxa" w:w="0"/>
              <w:left w:type="dxa" w:w="108"/>
              <w:bottom w:type="dxa" w:w="0"/>
              <w:right w:type="dxa" w:w="108"/>
            </w:tcMar>
          </w:tcPr>
          <w:p>
            <w:pPr>
              <w:pStyle w:val="style218"/>
              <w:numPr>
                <w:ilvl w:val="3"/>
                <w:numId w:val="18"/>
              </w:numPr>
              <w:spacing w:after="0" w:before="0" w:line="240" w:lineRule="auto"/>
              <w:ind w:hanging="295" w:left="862" w:right="0"/>
            </w:pPr>
            <w:r>
              <w:rPr>
                <w:rFonts w:ascii="Arial" w:cs="Arial" w:hAnsi="Arial"/>
                <w:sz w:val="20"/>
                <w:szCs w:val="20"/>
                <w:lang w:val="es-ES"/>
              </w:rPr>
              <w:t>Basura Espacial……………………………………………………………</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lang w:val="es-VE"/>
              </w:rPr>
              <w:t>73</w:t>
            </w:r>
          </w:p>
        </w:tc>
      </w:tr>
      <w:tr>
        <w:trPr>
          <w:cantSplit w:val="false"/>
        </w:trPr>
        <w:tc>
          <w:tcPr>
            <w:tcW w:type="dxa" w:w="7763"/>
            <w:tcBorders/>
            <w:shd w:fill="auto" w:val="clear"/>
            <w:tcMar>
              <w:top w:type="dxa" w:w="0"/>
              <w:left w:type="dxa" w:w="108"/>
              <w:bottom w:type="dxa" w:w="0"/>
              <w:right w:type="dxa" w:w="108"/>
            </w:tcMar>
          </w:tcPr>
          <w:p>
            <w:pPr>
              <w:pStyle w:val="style218"/>
              <w:numPr>
                <w:ilvl w:val="3"/>
                <w:numId w:val="18"/>
              </w:numPr>
              <w:spacing w:after="0" w:before="0" w:line="240" w:lineRule="auto"/>
              <w:ind w:hanging="295" w:left="862" w:right="0"/>
            </w:pPr>
            <w:r>
              <w:rPr>
                <w:rFonts w:ascii="Arial" w:cs="Arial" w:hAnsi="Arial"/>
                <w:sz w:val="20"/>
                <w:szCs w:val="20"/>
              </w:rPr>
              <w:t>Conceptos de Reducir:………………………………………………..….</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lang w:val="es-VE"/>
              </w:rPr>
              <w:t>74</w:t>
            </w:r>
          </w:p>
        </w:tc>
      </w:tr>
      <w:tr>
        <w:trPr>
          <w:cantSplit w:val="false"/>
        </w:trPr>
        <w:tc>
          <w:tcPr>
            <w:tcW w:type="dxa" w:w="7763"/>
            <w:tcBorders/>
            <w:shd w:fill="auto" w:val="clear"/>
            <w:tcMar>
              <w:top w:type="dxa" w:w="0"/>
              <w:left w:type="dxa" w:w="108"/>
              <w:bottom w:type="dxa" w:w="0"/>
              <w:right w:type="dxa" w:w="108"/>
            </w:tcMar>
          </w:tcPr>
          <w:p>
            <w:pPr>
              <w:pStyle w:val="style218"/>
              <w:numPr>
                <w:ilvl w:val="3"/>
                <w:numId w:val="18"/>
              </w:numPr>
              <w:spacing w:after="0" w:before="0" w:line="240" w:lineRule="auto"/>
              <w:ind w:hanging="295" w:left="862" w:right="0"/>
            </w:pPr>
            <w:r>
              <w:rPr>
                <w:rFonts w:ascii="Arial" w:cs="Arial" w:hAnsi="Arial"/>
                <w:sz w:val="20"/>
                <w:szCs w:val="20"/>
              </w:rPr>
              <w:t>Cadena de Reciclaje………………………………………………………</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lang w:val="es-VE"/>
              </w:rPr>
              <w:t>75</w:t>
            </w:r>
          </w:p>
        </w:tc>
      </w:tr>
      <w:tr>
        <w:trPr>
          <w:cantSplit w:val="false"/>
        </w:trPr>
        <w:tc>
          <w:tcPr>
            <w:tcW w:type="dxa" w:w="7763"/>
            <w:tcBorders/>
            <w:shd w:fill="auto" w:val="clear"/>
            <w:tcMar>
              <w:top w:type="dxa" w:w="0"/>
              <w:left w:type="dxa" w:w="108"/>
              <w:bottom w:type="dxa" w:w="0"/>
              <w:right w:type="dxa" w:w="108"/>
            </w:tcMar>
          </w:tcPr>
          <w:p>
            <w:pPr>
              <w:pStyle w:val="style0"/>
              <w:spacing w:after="0" w:before="0" w:line="240" w:lineRule="auto"/>
              <w:ind w:hanging="0" w:left="567" w:right="0"/>
            </w:pPr>
            <w:r>
              <w:rPr>
                <w:rFonts w:ascii="Arial" w:cs="Arial" w:hAnsi="Arial"/>
                <w:sz w:val="20"/>
                <w:szCs w:val="20"/>
              </w:rPr>
              <w:t>2.2.2.      Conceptos Básicos de Administración…………………………………..</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78</w:t>
            </w:r>
          </w:p>
        </w:tc>
      </w:tr>
      <w:tr>
        <w:trPr>
          <w:cantSplit w:val="false"/>
        </w:trPr>
        <w:tc>
          <w:tcPr>
            <w:tcW w:type="dxa" w:w="7763"/>
            <w:tcBorders/>
            <w:shd w:fill="auto" w:val="clear"/>
            <w:tcMar>
              <w:top w:type="dxa" w:w="0"/>
              <w:left w:type="dxa" w:w="108"/>
              <w:bottom w:type="dxa" w:w="0"/>
              <w:right w:type="dxa" w:w="108"/>
            </w:tcMar>
          </w:tcPr>
          <w:p>
            <w:pPr>
              <w:pStyle w:val="style0"/>
              <w:spacing w:after="0" w:before="0" w:line="240" w:lineRule="auto"/>
              <w:ind w:hanging="0" w:left="567" w:right="0"/>
            </w:pPr>
            <w:r>
              <w:rPr>
                <w:rFonts w:ascii="Arial" w:cs="Arial" w:hAnsi="Arial"/>
                <w:sz w:val="20"/>
                <w:szCs w:val="20"/>
              </w:rPr>
              <w:t xml:space="preserve">2.2.2.1.   </w:t>
            </w:r>
            <w:r>
              <w:rPr>
                <w:rFonts w:ascii="Arial" w:cs="Arial" w:hAnsi="Arial"/>
                <w:sz w:val="20"/>
              </w:rPr>
              <w:t>Principios son Universales de la Administración………………………..</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80</w:t>
            </w:r>
          </w:p>
        </w:tc>
      </w:tr>
      <w:tr>
        <w:trPr>
          <w:cantSplit w:val="false"/>
        </w:trPr>
        <w:tc>
          <w:tcPr>
            <w:tcW w:type="dxa" w:w="7763"/>
            <w:tcBorders/>
            <w:shd w:fill="auto" w:val="clear"/>
            <w:tcMar>
              <w:top w:type="dxa" w:w="0"/>
              <w:left w:type="dxa" w:w="108"/>
              <w:bottom w:type="dxa" w:w="0"/>
              <w:right w:type="dxa" w:w="108"/>
            </w:tcMar>
          </w:tcPr>
          <w:p>
            <w:pPr>
              <w:pStyle w:val="style0"/>
              <w:spacing w:after="0" w:before="0" w:line="240" w:lineRule="auto"/>
              <w:ind w:hanging="0" w:left="567" w:right="0"/>
            </w:pPr>
            <w:r>
              <w:rPr>
                <w:rFonts w:ascii="Arial" w:cs="Arial" w:hAnsi="Arial"/>
                <w:sz w:val="20"/>
                <w:szCs w:val="20"/>
              </w:rPr>
              <w:t>2.2.2.2.   Definición de Administración Pública………………………………….…</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82</w:t>
            </w:r>
          </w:p>
        </w:tc>
      </w:tr>
      <w:tr>
        <w:trPr>
          <w:cantSplit w:val="false"/>
        </w:trPr>
        <w:tc>
          <w:tcPr>
            <w:tcW w:type="dxa" w:w="7763"/>
            <w:tcBorders/>
            <w:shd w:fill="auto" w:val="clear"/>
            <w:tcMar>
              <w:top w:type="dxa" w:w="0"/>
              <w:left w:type="dxa" w:w="108"/>
              <w:bottom w:type="dxa" w:w="0"/>
              <w:right w:type="dxa" w:w="108"/>
            </w:tcMar>
          </w:tcPr>
          <w:p>
            <w:pPr>
              <w:pStyle w:val="style0"/>
              <w:spacing w:after="0" w:before="0" w:line="240" w:lineRule="auto"/>
              <w:ind w:hanging="0" w:left="567" w:right="0"/>
            </w:pPr>
            <w:r>
              <w:rPr>
                <w:rFonts w:ascii="Arial" w:cs="Arial" w:hAnsi="Arial"/>
                <w:sz w:val="20"/>
                <w:szCs w:val="20"/>
              </w:rPr>
              <w:t>2.2.2.3.   Principios Rectores de la Administración Pública………………………</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84</w:t>
            </w:r>
          </w:p>
        </w:tc>
      </w:tr>
      <w:tr>
        <w:trPr>
          <w:cantSplit w:val="false"/>
        </w:trPr>
        <w:tc>
          <w:tcPr>
            <w:tcW w:type="dxa" w:w="7763"/>
            <w:tcBorders/>
            <w:shd w:fill="auto" w:val="clear"/>
            <w:tcMar>
              <w:top w:type="dxa" w:w="0"/>
              <w:left w:type="dxa" w:w="108"/>
              <w:bottom w:type="dxa" w:w="0"/>
              <w:right w:type="dxa" w:w="108"/>
            </w:tcMar>
          </w:tcPr>
          <w:p>
            <w:pPr>
              <w:pStyle w:val="style0"/>
              <w:spacing w:after="0" w:before="0" w:line="240" w:lineRule="auto"/>
              <w:ind w:hanging="0" w:left="567" w:right="0"/>
            </w:pPr>
            <w:r>
              <w:rPr>
                <w:rFonts w:ascii="Arial" w:cs="Arial" w:hAnsi="Arial"/>
                <w:sz w:val="20"/>
                <w:szCs w:val="20"/>
              </w:rPr>
              <w:t>2.2.2.4.  División de  la Administración……………………………………………..</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89</w:t>
            </w:r>
          </w:p>
        </w:tc>
      </w:tr>
      <w:tr>
        <w:trPr>
          <w:cantSplit w:val="false"/>
        </w:trPr>
        <w:tc>
          <w:tcPr>
            <w:tcW w:type="dxa" w:w="7763"/>
            <w:tcBorders/>
            <w:shd w:fill="auto" w:val="clear"/>
            <w:tcMar>
              <w:top w:type="dxa" w:w="0"/>
              <w:left w:type="dxa" w:w="108"/>
              <w:bottom w:type="dxa" w:w="0"/>
              <w:right w:type="dxa" w:w="108"/>
            </w:tcMar>
          </w:tcPr>
          <w:p>
            <w:pPr>
              <w:pStyle w:val="style218"/>
              <w:numPr>
                <w:ilvl w:val="2"/>
                <w:numId w:val="38"/>
              </w:numPr>
              <w:spacing w:after="0" w:before="0" w:line="240" w:lineRule="auto"/>
              <w:ind w:hanging="153" w:left="720" w:right="0"/>
            </w:pPr>
            <w:r>
              <w:rPr>
                <w:rFonts w:ascii="Arial" w:cs="Arial" w:hAnsi="Arial"/>
                <w:sz w:val="20"/>
                <w:szCs w:val="20"/>
              </w:rPr>
              <w:t>Definiciones de Planificación Estratégicas……………………………</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91</w:t>
            </w:r>
          </w:p>
        </w:tc>
      </w:tr>
      <w:tr>
        <w:trPr>
          <w:cantSplit w:val="false"/>
        </w:trPr>
        <w:tc>
          <w:tcPr>
            <w:tcW w:type="dxa" w:w="7763"/>
            <w:tcBorders/>
            <w:shd w:fill="auto" w:val="clear"/>
            <w:tcMar>
              <w:top w:type="dxa" w:w="0"/>
              <w:left w:type="dxa" w:w="108"/>
              <w:bottom w:type="dxa" w:w="0"/>
              <w:right w:type="dxa" w:w="108"/>
            </w:tcMar>
          </w:tcPr>
          <w:p>
            <w:pPr>
              <w:pStyle w:val="style218"/>
              <w:numPr>
                <w:ilvl w:val="3"/>
                <w:numId w:val="22"/>
              </w:numPr>
              <w:spacing w:after="0" w:before="0" w:line="240" w:lineRule="auto"/>
              <w:ind w:hanging="295" w:left="862" w:right="0"/>
            </w:pPr>
            <w:r>
              <w:rPr>
                <w:rFonts w:ascii="Arial" w:cs="Arial" w:hAnsi="Arial"/>
                <w:sz w:val="20"/>
                <w:szCs w:val="20"/>
              </w:rPr>
              <w:t>Valores Estratégicos…………………………………………………….</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95</w:t>
            </w:r>
          </w:p>
        </w:tc>
      </w:tr>
      <w:tr>
        <w:trPr>
          <w:cantSplit w:val="false"/>
        </w:trPr>
        <w:tc>
          <w:tcPr>
            <w:tcW w:type="dxa" w:w="7763"/>
            <w:tcBorders/>
            <w:shd w:fill="auto" w:val="clear"/>
            <w:tcMar>
              <w:top w:type="dxa" w:w="0"/>
              <w:left w:type="dxa" w:w="108"/>
              <w:bottom w:type="dxa" w:w="0"/>
              <w:right w:type="dxa" w:w="108"/>
            </w:tcMar>
          </w:tcPr>
          <w:p>
            <w:pPr>
              <w:pStyle w:val="style218"/>
              <w:numPr>
                <w:ilvl w:val="3"/>
                <w:numId w:val="22"/>
              </w:numPr>
              <w:spacing w:after="0" w:before="0" w:line="240" w:lineRule="auto"/>
              <w:ind w:hanging="295" w:left="862" w:right="0"/>
            </w:pPr>
            <w:r>
              <w:rPr>
                <w:rFonts w:ascii="Arial" w:cs="Arial" w:hAnsi="Arial"/>
                <w:sz w:val="20"/>
                <w:szCs w:val="20"/>
              </w:rPr>
              <w:t>Estrategias Financieras…………………………………………………..</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96</w:t>
            </w:r>
          </w:p>
        </w:tc>
      </w:tr>
      <w:tr>
        <w:trPr>
          <w:cantSplit w:val="false"/>
        </w:trPr>
        <w:tc>
          <w:tcPr>
            <w:tcW w:type="dxa" w:w="7763"/>
            <w:tcBorders/>
            <w:shd w:fill="auto" w:val="clear"/>
            <w:tcMar>
              <w:top w:type="dxa" w:w="0"/>
              <w:left w:type="dxa" w:w="108"/>
              <w:bottom w:type="dxa" w:w="0"/>
              <w:right w:type="dxa" w:w="108"/>
            </w:tcMar>
          </w:tcPr>
          <w:p>
            <w:pPr>
              <w:pStyle w:val="style218"/>
              <w:numPr>
                <w:ilvl w:val="3"/>
                <w:numId w:val="22"/>
              </w:numPr>
              <w:spacing w:after="0" w:before="0" w:line="240" w:lineRule="auto"/>
              <w:ind w:hanging="295" w:left="862" w:right="0"/>
            </w:pPr>
            <w:r>
              <w:rPr>
                <w:rFonts w:ascii="Arial" w:cs="Arial" w:hAnsi="Arial"/>
                <w:sz w:val="20"/>
                <w:szCs w:val="20"/>
              </w:rPr>
              <w:t>Estrategias Operacionales……………………………………………….</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98</w:t>
            </w:r>
          </w:p>
        </w:tc>
      </w:tr>
      <w:tr>
        <w:trPr>
          <w:cantSplit w:val="false"/>
        </w:trPr>
        <w:tc>
          <w:tcPr>
            <w:tcW w:type="dxa" w:w="7763"/>
            <w:tcBorders/>
            <w:shd w:fill="auto" w:val="clear"/>
            <w:tcMar>
              <w:top w:type="dxa" w:w="0"/>
              <w:left w:type="dxa" w:w="108"/>
              <w:bottom w:type="dxa" w:w="0"/>
              <w:right w:type="dxa" w:w="108"/>
            </w:tcMar>
          </w:tcPr>
          <w:p>
            <w:pPr>
              <w:pStyle w:val="style218"/>
              <w:numPr>
                <w:ilvl w:val="3"/>
                <w:numId w:val="22"/>
              </w:numPr>
              <w:spacing w:after="0" w:before="0" w:line="240" w:lineRule="auto"/>
              <w:ind w:hanging="295" w:left="862" w:right="0"/>
            </w:pPr>
            <w:r>
              <w:rPr>
                <w:rFonts w:ascii="Arial" w:cs="Arial" w:hAnsi="Arial"/>
                <w:sz w:val="20"/>
                <w:szCs w:val="20"/>
              </w:rPr>
              <w:t>Análisis Estratégicos………………………………………………………</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99</w:t>
            </w:r>
          </w:p>
        </w:tc>
      </w:tr>
      <w:tr>
        <w:trPr>
          <w:cantSplit w:val="false"/>
        </w:trPr>
        <w:tc>
          <w:tcPr>
            <w:tcW w:type="dxa" w:w="7763"/>
            <w:tcBorders/>
            <w:shd w:fill="auto" w:val="clear"/>
            <w:tcMar>
              <w:top w:type="dxa" w:w="0"/>
              <w:left w:type="dxa" w:w="108"/>
              <w:bottom w:type="dxa" w:w="0"/>
              <w:right w:type="dxa" w:w="108"/>
            </w:tcMar>
          </w:tcPr>
          <w:p>
            <w:pPr>
              <w:pStyle w:val="style218"/>
              <w:numPr>
                <w:ilvl w:val="3"/>
                <w:numId w:val="22"/>
              </w:numPr>
              <w:spacing w:after="0" w:before="0" w:line="240" w:lineRule="auto"/>
              <w:ind w:hanging="295" w:left="862" w:right="0"/>
            </w:pPr>
            <w:r>
              <w:rPr>
                <w:rFonts w:ascii="Arial" w:cs="Arial" w:hAnsi="Arial"/>
                <w:sz w:val="20"/>
                <w:szCs w:val="20"/>
              </w:rPr>
              <w:t>Lineamientos para establecer Estrategias……………………………..</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100</w:t>
            </w:r>
          </w:p>
        </w:tc>
      </w:tr>
      <w:tr>
        <w:trPr>
          <w:cantSplit w:val="false"/>
        </w:trPr>
        <w:tc>
          <w:tcPr>
            <w:tcW w:type="dxa" w:w="7763"/>
            <w:tcBorders/>
            <w:shd w:fill="auto" w:val="clear"/>
            <w:tcMar>
              <w:top w:type="dxa" w:w="0"/>
              <w:left w:type="dxa" w:w="108"/>
              <w:bottom w:type="dxa" w:w="0"/>
              <w:right w:type="dxa" w:w="108"/>
            </w:tcMar>
          </w:tcPr>
          <w:p>
            <w:pPr>
              <w:pStyle w:val="style218"/>
              <w:numPr>
                <w:ilvl w:val="3"/>
                <w:numId w:val="22"/>
              </w:numPr>
              <w:spacing w:after="0" w:before="0" w:line="240" w:lineRule="auto"/>
              <w:ind w:hanging="295" w:left="862" w:right="0"/>
            </w:pPr>
            <w:r>
              <w:rPr>
                <w:rFonts w:ascii="Arial" w:cs="Arial" w:hAnsi="Arial"/>
                <w:sz w:val="20"/>
                <w:szCs w:val="20"/>
              </w:rPr>
              <w:t>Formulación de Estrategias………………………………………………</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101</w:t>
            </w:r>
          </w:p>
        </w:tc>
      </w:tr>
      <w:tr>
        <w:trPr>
          <w:cantSplit w:val="false"/>
        </w:trPr>
        <w:tc>
          <w:tcPr>
            <w:tcW w:type="dxa" w:w="7763"/>
            <w:tcBorders/>
            <w:shd w:fill="auto" w:val="clear"/>
            <w:tcMar>
              <w:top w:type="dxa" w:w="0"/>
              <w:left w:type="dxa" w:w="108"/>
              <w:bottom w:type="dxa" w:w="0"/>
              <w:right w:type="dxa" w:w="108"/>
            </w:tcMar>
          </w:tcPr>
          <w:p>
            <w:pPr>
              <w:pStyle w:val="style218"/>
              <w:numPr>
                <w:ilvl w:val="3"/>
                <w:numId w:val="22"/>
              </w:numPr>
              <w:spacing w:after="0" w:before="0" w:line="240" w:lineRule="auto"/>
              <w:ind w:hanging="295" w:left="862" w:right="0"/>
            </w:pPr>
            <w:r>
              <w:rPr>
                <w:rFonts w:ascii="Arial" w:cs="Arial" w:hAnsi="Arial"/>
                <w:sz w:val="20"/>
                <w:szCs w:val="20"/>
              </w:rPr>
              <w:t>Proceso de Formulación de Estrategias………………………………...</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102</w:t>
            </w:r>
          </w:p>
        </w:tc>
      </w:tr>
      <w:tr>
        <w:trPr>
          <w:cantSplit w:val="false"/>
        </w:trPr>
        <w:tc>
          <w:tcPr>
            <w:tcW w:type="dxa" w:w="7763"/>
            <w:tcBorders/>
            <w:shd w:fill="auto" w:val="clear"/>
            <w:tcMar>
              <w:top w:type="dxa" w:w="0"/>
              <w:left w:type="dxa" w:w="108"/>
              <w:bottom w:type="dxa" w:w="0"/>
              <w:right w:type="dxa" w:w="108"/>
            </w:tcMar>
          </w:tcPr>
          <w:p>
            <w:pPr>
              <w:pStyle w:val="style218"/>
              <w:numPr>
                <w:ilvl w:val="2"/>
                <w:numId w:val="22"/>
              </w:numPr>
              <w:spacing w:after="0" w:before="0" w:line="240" w:lineRule="auto"/>
              <w:ind w:hanging="153" w:left="720" w:right="0"/>
            </w:pPr>
            <w:r>
              <w:rPr>
                <w:rFonts w:ascii="Arial" w:cs="Arial" w:hAnsi="Arial"/>
                <w:sz w:val="20"/>
                <w:szCs w:val="20"/>
              </w:rPr>
              <w:t>Gerencia Financieras……………………………………………………..</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103</w:t>
            </w:r>
          </w:p>
        </w:tc>
      </w:tr>
      <w:tr>
        <w:trPr>
          <w:cantSplit w:val="false"/>
        </w:trPr>
        <w:tc>
          <w:tcPr>
            <w:tcW w:type="dxa" w:w="7763"/>
            <w:tcBorders/>
            <w:shd w:fill="auto" w:val="clear"/>
            <w:tcMar>
              <w:top w:type="dxa" w:w="0"/>
              <w:left w:type="dxa" w:w="108"/>
              <w:bottom w:type="dxa" w:w="0"/>
              <w:right w:type="dxa" w:w="108"/>
            </w:tcMar>
          </w:tcPr>
          <w:p>
            <w:pPr>
              <w:pStyle w:val="style218"/>
              <w:numPr>
                <w:ilvl w:val="3"/>
                <w:numId w:val="22"/>
              </w:numPr>
              <w:spacing w:after="0" w:before="0" w:line="240" w:lineRule="auto"/>
              <w:ind w:hanging="295" w:left="862" w:right="0"/>
            </w:pPr>
            <w:r>
              <w:rPr>
                <w:rFonts w:ascii="Arial" w:cs="Arial" w:hAnsi="Arial"/>
                <w:sz w:val="20"/>
                <w:szCs w:val="20"/>
              </w:rPr>
              <w:t>Funciones de la Gerencia Financiera…………………………………..</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104</w:t>
            </w:r>
          </w:p>
        </w:tc>
      </w:tr>
      <w:tr>
        <w:trPr>
          <w:cantSplit w:val="false"/>
        </w:trPr>
        <w:tc>
          <w:tcPr>
            <w:tcW w:type="dxa" w:w="7763"/>
            <w:tcBorders/>
            <w:shd w:fill="auto" w:val="clear"/>
            <w:tcMar>
              <w:top w:type="dxa" w:w="0"/>
              <w:left w:type="dxa" w:w="108"/>
              <w:bottom w:type="dxa" w:w="0"/>
              <w:right w:type="dxa" w:w="108"/>
            </w:tcMar>
          </w:tcPr>
          <w:p>
            <w:pPr>
              <w:pStyle w:val="style218"/>
              <w:numPr>
                <w:ilvl w:val="3"/>
                <w:numId w:val="22"/>
              </w:numPr>
              <w:spacing w:after="0" w:before="0" w:line="240" w:lineRule="auto"/>
              <w:ind w:hanging="295" w:left="862" w:right="0"/>
            </w:pPr>
            <w:r>
              <w:rPr>
                <w:rFonts w:ascii="Arial" w:cs="Arial" w:hAnsi="Arial"/>
                <w:sz w:val="20"/>
                <w:szCs w:val="20"/>
              </w:rPr>
              <w:t>Objetivos de la Gerencia Financiera……………………………………</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105</w:t>
            </w:r>
          </w:p>
        </w:tc>
      </w:tr>
      <w:tr>
        <w:trPr>
          <w:cantSplit w:val="false"/>
        </w:trPr>
        <w:tc>
          <w:tcPr>
            <w:tcW w:type="dxa" w:w="7763"/>
            <w:tcBorders/>
            <w:shd w:fill="auto" w:val="clear"/>
            <w:tcMar>
              <w:top w:type="dxa" w:w="0"/>
              <w:left w:type="dxa" w:w="108"/>
              <w:bottom w:type="dxa" w:w="0"/>
              <w:right w:type="dxa" w:w="108"/>
            </w:tcMar>
          </w:tcPr>
          <w:p>
            <w:pPr>
              <w:pStyle w:val="style218"/>
              <w:numPr>
                <w:ilvl w:val="2"/>
                <w:numId w:val="22"/>
              </w:numPr>
              <w:spacing w:after="0" w:before="0" w:line="240" w:lineRule="auto"/>
              <w:ind w:hanging="153" w:left="720" w:right="0"/>
            </w:pPr>
            <w:r>
              <w:rPr>
                <w:rFonts w:ascii="Arial" w:cs="Arial" w:hAnsi="Arial"/>
                <w:sz w:val="20"/>
                <w:szCs w:val="20"/>
              </w:rPr>
              <w:t>Estrategias de Comercialización………………………………………..</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110</w:t>
            </w:r>
          </w:p>
        </w:tc>
      </w:tr>
      <w:tr>
        <w:trPr>
          <w:cantSplit w:val="false"/>
        </w:trPr>
        <w:tc>
          <w:tcPr>
            <w:tcW w:type="dxa" w:w="7763"/>
            <w:tcBorders/>
            <w:shd w:fill="auto" w:val="clear"/>
            <w:tcMar>
              <w:top w:type="dxa" w:w="0"/>
              <w:left w:type="dxa" w:w="108"/>
              <w:bottom w:type="dxa" w:w="0"/>
              <w:right w:type="dxa" w:w="108"/>
            </w:tcMar>
          </w:tcPr>
          <w:p>
            <w:pPr>
              <w:pStyle w:val="style218"/>
              <w:numPr>
                <w:ilvl w:val="2"/>
                <w:numId w:val="22"/>
              </w:numPr>
              <w:spacing w:after="0" w:before="0" w:line="240" w:lineRule="auto"/>
              <w:ind w:hanging="153" w:left="720" w:right="0"/>
            </w:pPr>
            <w:r>
              <w:rPr>
                <w:rFonts w:ascii="Arial" w:cs="Arial" w:hAnsi="Arial"/>
                <w:sz w:val="20"/>
                <w:szCs w:val="20"/>
              </w:rPr>
              <w:t>Definiciones de Ecoeficiencia……………………………………………</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112</w:t>
            </w:r>
          </w:p>
        </w:tc>
      </w:tr>
      <w:tr>
        <w:trPr>
          <w:cantSplit w:val="false"/>
        </w:trPr>
        <w:tc>
          <w:tcPr>
            <w:tcW w:type="dxa" w:w="7763"/>
            <w:tcBorders/>
            <w:shd w:fill="auto" w:val="clear"/>
            <w:tcMar>
              <w:top w:type="dxa" w:w="0"/>
              <w:left w:type="dxa" w:w="108"/>
              <w:bottom w:type="dxa" w:w="0"/>
              <w:right w:type="dxa" w:w="108"/>
            </w:tcMar>
          </w:tcPr>
          <w:p>
            <w:pPr>
              <w:pStyle w:val="style218"/>
              <w:numPr>
                <w:ilvl w:val="3"/>
                <w:numId w:val="22"/>
              </w:numPr>
              <w:spacing w:after="0" w:before="0" w:line="240" w:lineRule="auto"/>
              <w:ind w:hanging="295" w:left="862" w:right="0"/>
            </w:pPr>
            <w:r>
              <w:rPr>
                <w:rFonts w:ascii="Arial" w:cs="Arial" w:hAnsi="Arial"/>
                <w:sz w:val="20"/>
                <w:szCs w:val="20"/>
              </w:rPr>
              <w:t>Beneficios de la Ecoeficiencia…………………………………………..</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114</w:t>
            </w:r>
          </w:p>
        </w:tc>
      </w:tr>
      <w:tr>
        <w:trPr>
          <w:cantSplit w:val="false"/>
        </w:trPr>
        <w:tc>
          <w:tcPr>
            <w:tcW w:type="dxa" w:w="7763"/>
            <w:tcBorders/>
            <w:shd w:fill="auto" w:val="clear"/>
            <w:tcMar>
              <w:top w:type="dxa" w:w="0"/>
              <w:left w:type="dxa" w:w="108"/>
              <w:bottom w:type="dxa" w:w="0"/>
              <w:right w:type="dxa" w:w="108"/>
            </w:tcMar>
          </w:tcPr>
          <w:p>
            <w:pPr>
              <w:pStyle w:val="style218"/>
              <w:numPr>
                <w:ilvl w:val="3"/>
                <w:numId w:val="22"/>
              </w:numPr>
              <w:spacing w:after="0" w:before="0" w:line="240" w:lineRule="auto"/>
              <w:ind w:hanging="295" w:left="862" w:right="0"/>
            </w:pPr>
            <w:r>
              <w:rPr>
                <w:rFonts w:ascii="Arial" w:cs="Arial" w:hAnsi="Arial"/>
                <w:sz w:val="20"/>
                <w:szCs w:val="20"/>
              </w:rPr>
              <w:t>Técnicas Ecoeficiencia…………………………………………………..</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115</w:t>
            </w:r>
          </w:p>
        </w:tc>
      </w:tr>
      <w:tr>
        <w:trPr>
          <w:cantSplit w:val="false"/>
        </w:trPr>
        <w:tc>
          <w:tcPr>
            <w:tcW w:type="dxa" w:w="7763"/>
            <w:tcBorders/>
            <w:shd w:fill="auto" w:val="clear"/>
            <w:tcMar>
              <w:top w:type="dxa" w:w="0"/>
              <w:left w:type="dxa" w:w="108"/>
              <w:bottom w:type="dxa" w:w="0"/>
              <w:right w:type="dxa" w:w="108"/>
            </w:tcMar>
          </w:tcPr>
          <w:p>
            <w:pPr>
              <w:pStyle w:val="style218"/>
              <w:numPr>
                <w:ilvl w:val="3"/>
                <w:numId w:val="22"/>
              </w:numPr>
              <w:spacing w:after="0" w:before="0" w:line="240" w:lineRule="auto"/>
              <w:ind w:hanging="295" w:left="862" w:right="0"/>
            </w:pPr>
            <w:r>
              <w:rPr>
                <w:rFonts w:ascii="Arial" w:cs="Arial" w:hAnsi="Arial"/>
                <w:sz w:val="20"/>
                <w:szCs w:val="20"/>
              </w:rPr>
              <w:t>Ecoeficiencia Comportamiento Empresarial Responsable….………..</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117</w:t>
            </w:r>
          </w:p>
        </w:tc>
      </w:tr>
      <w:tr>
        <w:trPr>
          <w:cantSplit w:val="false"/>
        </w:trPr>
        <w:tc>
          <w:tcPr>
            <w:tcW w:type="dxa" w:w="7763"/>
            <w:tcBorders/>
            <w:shd w:fill="auto" w:val="clear"/>
            <w:tcMar>
              <w:top w:type="dxa" w:w="0"/>
              <w:left w:type="dxa" w:w="108"/>
              <w:bottom w:type="dxa" w:w="0"/>
              <w:right w:type="dxa" w:w="108"/>
            </w:tcMar>
          </w:tcPr>
          <w:p>
            <w:pPr>
              <w:pStyle w:val="style218"/>
              <w:numPr>
                <w:ilvl w:val="2"/>
                <w:numId w:val="22"/>
              </w:numPr>
              <w:spacing w:after="0" w:before="0" w:line="240" w:lineRule="auto"/>
              <w:ind w:hanging="153" w:left="720" w:right="0"/>
            </w:pPr>
            <w:r>
              <w:rPr>
                <w:rFonts w:ascii="Arial" w:cs="Arial" w:hAnsi="Arial"/>
                <w:sz w:val="20"/>
                <w:szCs w:val="20"/>
              </w:rPr>
              <w:t>Beneficios de la Responsabilidad Social Ambiental…………………..</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118</w:t>
            </w:r>
          </w:p>
        </w:tc>
      </w:tr>
      <w:tr>
        <w:trPr>
          <w:cantSplit w:val="false"/>
        </w:trPr>
        <w:tc>
          <w:tcPr>
            <w:tcW w:type="dxa" w:w="7763"/>
            <w:tcBorders/>
            <w:shd w:fill="auto" w:val="clear"/>
            <w:tcMar>
              <w:top w:type="dxa" w:w="0"/>
              <w:left w:type="dxa" w:w="108"/>
              <w:bottom w:type="dxa" w:w="0"/>
              <w:right w:type="dxa" w:w="108"/>
            </w:tcMar>
          </w:tcPr>
          <w:p>
            <w:pPr>
              <w:pStyle w:val="style218"/>
              <w:numPr>
                <w:ilvl w:val="1"/>
                <w:numId w:val="22"/>
              </w:numPr>
              <w:spacing w:after="0" w:before="0"/>
              <w:ind w:hanging="76" w:left="360" w:right="0"/>
            </w:pPr>
            <w:r>
              <w:rPr>
                <w:rFonts w:ascii="Arial" w:cs="Arial" w:eastAsia="Arial" w:hAnsi="Arial"/>
                <w:sz w:val="20"/>
                <w:szCs w:val="20"/>
              </w:rPr>
              <w:t xml:space="preserve"> …</w:t>
            </w:r>
            <w:r>
              <w:rPr>
                <w:rFonts w:ascii="Arial" w:cs="Arial" w:hAnsi="Arial"/>
                <w:sz w:val="20"/>
                <w:szCs w:val="20"/>
              </w:rPr>
              <w:t>Bases Legales…………………………………………………………………..</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119</w:t>
            </w:r>
          </w:p>
        </w:tc>
      </w:tr>
      <w:tr>
        <w:trPr>
          <w:cantSplit w:val="false"/>
        </w:trPr>
        <w:tc>
          <w:tcPr>
            <w:tcW w:type="dxa" w:w="7763"/>
            <w:tcBorders/>
            <w:shd w:fill="auto" w:val="clear"/>
            <w:tcMar>
              <w:top w:type="dxa" w:w="0"/>
              <w:left w:type="dxa" w:w="108"/>
              <w:bottom w:type="dxa" w:w="0"/>
              <w:right w:type="dxa" w:w="108"/>
            </w:tcMar>
          </w:tcPr>
          <w:p>
            <w:pPr>
              <w:pStyle w:val="style218"/>
              <w:numPr>
                <w:ilvl w:val="1"/>
                <w:numId w:val="22"/>
              </w:numPr>
              <w:spacing w:after="0" w:before="0"/>
              <w:ind w:hanging="76" w:left="360" w:right="0"/>
            </w:pPr>
            <w:r>
              <w:rPr>
                <w:rFonts w:ascii="Arial" w:cs="Arial" w:hAnsi="Arial"/>
                <w:sz w:val="20"/>
                <w:szCs w:val="20"/>
              </w:rPr>
              <w:t>Definición de Términos Básicos………………………………………………….</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139</w:t>
            </w:r>
          </w:p>
        </w:tc>
      </w:tr>
      <w:tr>
        <w:trPr>
          <w:cantSplit w:val="false"/>
        </w:trPr>
        <w:tc>
          <w:tcPr>
            <w:tcW w:type="dxa" w:w="7763"/>
            <w:tcBorders/>
            <w:shd w:fill="auto" w:val="clear"/>
            <w:tcMar>
              <w:top w:type="dxa" w:w="0"/>
              <w:left w:type="dxa" w:w="108"/>
              <w:bottom w:type="dxa" w:w="0"/>
              <w:right w:type="dxa" w:w="108"/>
            </w:tcMar>
          </w:tcPr>
          <w:p>
            <w:pPr>
              <w:pStyle w:val="style0"/>
              <w:snapToGrid w:val="false"/>
              <w:spacing w:after="200" w:before="0"/>
            </w:pPr>
            <w:r>
              <w:rPr>
                <w:rFonts w:ascii="Arial" w:cs="Arial" w:hAnsi="Arial"/>
                <w:sz w:val="20"/>
                <w:szCs w:val="20"/>
              </w:rPr>
            </w:r>
          </w:p>
        </w:tc>
        <w:tc>
          <w:tcPr>
            <w:tcW w:type="dxa" w:w="650"/>
            <w:tcBorders/>
            <w:shd w:fill="auto" w:val="clear"/>
            <w:tcMar>
              <w:top w:type="dxa" w:w="0"/>
              <w:left w:type="dxa" w:w="108"/>
              <w:bottom w:type="dxa" w:w="0"/>
              <w:right w:type="dxa" w:w="108"/>
            </w:tcMar>
          </w:tcPr>
          <w:p>
            <w:pPr>
              <w:pStyle w:val="style0"/>
              <w:snapToGrid w:val="false"/>
              <w:spacing w:after="200" w:before="0"/>
              <w:jc w:val="right"/>
            </w:pPr>
            <w:r>
              <w:rPr>
                <w:rFonts w:ascii="Arial" w:cs="Arial" w:hAnsi="Arial"/>
                <w:sz w:val="20"/>
                <w:szCs w:val="20"/>
              </w:rPr>
            </w:r>
          </w:p>
        </w:tc>
      </w:tr>
      <w:tr>
        <w:trPr>
          <w:cantSplit w:val="false"/>
        </w:trPr>
        <w:tc>
          <w:tcPr>
            <w:tcW w:type="dxa" w:w="7763"/>
            <w:tcBorders/>
            <w:shd w:fill="auto" w:val="clear"/>
            <w:tcMar>
              <w:top w:type="dxa" w:w="0"/>
              <w:left w:type="dxa" w:w="108"/>
              <w:bottom w:type="dxa" w:w="0"/>
              <w:right w:type="dxa" w:w="108"/>
            </w:tcMar>
          </w:tcPr>
          <w:p>
            <w:pPr>
              <w:pStyle w:val="style0"/>
              <w:spacing w:after="200" w:before="0"/>
            </w:pPr>
            <w:r>
              <w:rPr>
                <w:rFonts w:ascii="Arial" w:cs="Arial" w:hAnsi="Arial"/>
                <w:sz w:val="20"/>
                <w:szCs w:val="20"/>
              </w:rPr>
              <w:t>CAPÍTULO III………………………………………………………………………………....</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143</w:t>
            </w:r>
          </w:p>
        </w:tc>
      </w:tr>
      <w:tr>
        <w:trPr>
          <w:cantSplit w:val="false"/>
        </w:trPr>
        <w:tc>
          <w:tcPr>
            <w:tcW w:type="dxa" w:w="7763"/>
            <w:tcBorders/>
            <w:shd w:fill="auto" w:val="clear"/>
            <w:tcMar>
              <w:top w:type="dxa" w:w="0"/>
              <w:left w:type="dxa" w:w="108"/>
              <w:bottom w:type="dxa" w:w="0"/>
              <w:right w:type="dxa" w:w="108"/>
            </w:tcMar>
          </w:tcPr>
          <w:p>
            <w:pPr>
              <w:pStyle w:val="style0"/>
              <w:spacing w:after="200" w:before="0"/>
            </w:pPr>
            <w:r>
              <w:rPr>
                <w:rFonts w:ascii="Arial" w:cs="Arial" w:hAnsi="Arial"/>
                <w:sz w:val="20"/>
                <w:szCs w:val="20"/>
              </w:rPr>
              <w:t>3. MARCO METODOLOGICO………………………………………………………………</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143</w:t>
            </w:r>
          </w:p>
        </w:tc>
      </w:tr>
      <w:tr>
        <w:trPr>
          <w:cantSplit w:val="false"/>
        </w:trPr>
        <w:tc>
          <w:tcPr>
            <w:tcW w:type="dxa" w:w="7763"/>
            <w:tcBorders/>
            <w:shd w:fill="auto" w:val="clear"/>
            <w:tcMar>
              <w:top w:type="dxa" w:w="0"/>
              <w:left w:type="dxa" w:w="108"/>
              <w:bottom w:type="dxa" w:w="0"/>
              <w:right w:type="dxa" w:w="108"/>
            </w:tcMar>
          </w:tcPr>
          <w:p>
            <w:pPr>
              <w:pStyle w:val="style218"/>
              <w:numPr>
                <w:ilvl w:val="1"/>
                <w:numId w:val="53"/>
              </w:numPr>
              <w:spacing w:after="0" w:before="0" w:line="240" w:lineRule="auto"/>
              <w:ind w:hanging="76" w:left="360" w:right="0"/>
            </w:pPr>
            <w:r>
              <w:rPr>
                <w:rFonts w:ascii="Arial" w:cs="Arial" w:hAnsi="Arial"/>
                <w:sz w:val="20"/>
                <w:szCs w:val="20"/>
              </w:rPr>
              <w:t>Tipo de Investigación……………………………………………………………….</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143</w:t>
            </w:r>
          </w:p>
        </w:tc>
      </w:tr>
      <w:tr>
        <w:trPr>
          <w:cantSplit w:val="false"/>
        </w:trPr>
        <w:tc>
          <w:tcPr>
            <w:tcW w:type="dxa" w:w="7763"/>
            <w:tcBorders/>
            <w:shd w:fill="auto" w:val="clear"/>
            <w:tcMar>
              <w:top w:type="dxa" w:w="0"/>
              <w:left w:type="dxa" w:w="108"/>
              <w:bottom w:type="dxa" w:w="0"/>
              <w:right w:type="dxa" w:w="108"/>
            </w:tcMar>
          </w:tcPr>
          <w:p>
            <w:pPr>
              <w:pStyle w:val="style218"/>
              <w:numPr>
                <w:ilvl w:val="1"/>
                <w:numId w:val="53"/>
              </w:numPr>
              <w:spacing w:after="0" w:before="0" w:line="240" w:lineRule="auto"/>
              <w:ind w:hanging="76" w:left="360" w:right="0"/>
            </w:pPr>
            <w:r>
              <w:rPr>
                <w:rFonts w:ascii="Arial" w:cs="Arial" w:hAnsi="Arial"/>
                <w:sz w:val="20"/>
                <w:szCs w:val="20"/>
              </w:rPr>
              <w:t>Nivel  de Investigación………………………………………………………….......</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145</w:t>
            </w:r>
          </w:p>
        </w:tc>
      </w:tr>
      <w:tr>
        <w:trPr>
          <w:cantSplit w:val="false"/>
        </w:trPr>
        <w:tc>
          <w:tcPr>
            <w:tcW w:type="dxa" w:w="7763"/>
            <w:tcBorders/>
            <w:shd w:fill="auto" w:val="clear"/>
            <w:tcMar>
              <w:top w:type="dxa" w:w="0"/>
              <w:left w:type="dxa" w:w="108"/>
              <w:bottom w:type="dxa" w:w="0"/>
              <w:right w:type="dxa" w:w="108"/>
            </w:tcMar>
          </w:tcPr>
          <w:p>
            <w:pPr>
              <w:pStyle w:val="style218"/>
              <w:numPr>
                <w:ilvl w:val="1"/>
                <w:numId w:val="53"/>
              </w:numPr>
              <w:spacing w:after="0" w:before="0" w:line="240" w:lineRule="auto"/>
              <w:ind w:hanging="76" w:left="360" w:right="0"/>
            </w:pPr>
            <w:r>
              <w:rPr>
                <w:rFonts w:ascii="Arial" w:cs="Arial" w:hAnsi="Arial"/>
                <w:sz w:val="20"/>
                <w:szCs w:val="20"/>
              </w:rPr>
              <w:t>Población y Muestra………………………………………………………………...</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146</w:t>
            </w:r>
          </w:p>
        </w:tc>
      </w:tr>
      <w:tr>
        <w:trPr>
          <w:cantSplit w:val="false"/>
        </w:trPr>
        <w:tc>
          <w:tcPr>
            <w:tcW w:type="dxa" w:w="7763"/>
            <w:tcBorders/>
            <w:shd w:fill="auto" w:val="clear"/>
            <w:tcMar>
              <w:top w:type="dxa" w:w="0"/>
              <w:left w:type="dxa" w:w="108"/>
              <w:bottom w:type="dxa" w:w="0"/>
              <w:right w:type="dxa" w:w="108"/>
            </w:tcMar>
          </w:tcPr>
          <w:p>
            <w:pPr>
              <w:pStyle w:val="style218"/>
              <w:numPr>
                <w:ilvl w:val="1"/>
                <w:numId w:val="53"/>
              </w:numPr>
              <w:spacing w:after="0" w:before="0" w:line="240" w:lineRule="auto"/>
              <w:ind w:hanging="76" w:left="360" w:right="0"/>
            </w:pPr>
            <w:r>
              <w:rPr>
                <w:rFonts w:ascii="Arial" w:cs="Arial" w:hAnsi="Arial"/>
                <w:sz w:val="20"/>
                <w:szCs w:val="20"/>
              </w:rPr>
              <w:t>Técnicas de Recolección de Información…………………………………..…….</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148</w:t>
            </w:r>
          </w:p>
        </w:tc>
      </w:tr>
      <w:tr>
        <w:trPr>
          <w:cantSplit w:val="false"/>
        </w:trPr>
        <w:tc>
          <w:tcPr>
            <w:tcW w:type="dxa" w:w="7763"/>
            <w:tcBorders/>
            <w:shd w:fill="auto" w:val="clear"/>
            <w:tcMar>
              <w:top w:type="dxa" w:w="0"/>
              <w:left w:type="dxa" w:w="108"/>
              <w:bottom w:type="dxa" w:w="0"/>
              <w:right w:type="dxa" w:w="108"/>
            </w:tcMar>
          </w:tcPr>
          <w:p>
            <w:pPr>
              <w:pStyle w:val="style0"/>
              <w:numPr>
                <w:ilvl w:val="1"/>
                <w:numId w:val="53"/>
              </w:numPr>
              <w:spacing w:after="0" w:before="0" w:line="240" w:lineRule="auto"/>
              <w:ind w:hanging="0" w:left="284" w:right="0"/>
            </w:pPr>
            <w:r>
              <w:rPr>
                <w:rFonts w:ascii="Arial" w:cs="Arial" w:hAnsi="Arial"/>
                <w:sz w:val="20"/>
                <w:szCs w:val="20"/>
              </w:rPr>
              <w:t>Confiabilidad y validez de la información………………………………….……..</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153</w:t>
            </w:r>
          </w:p>
        </w:tc>
      </w:tr>
      <w:tr>
        <w:trPr>
          <w:cantSplit w:val="false"/>
        </w:trPr>
        <w:tc>
          <w:tcPr>
            <w:tcW w:type="dxa" w:w="7763"/>
            <w:tcBorders/>
            <w:shd w:fill="auto" w:val="clear"/>
            <w:tcMar>
              <w:top w:type="dxa" w:w="0"/>
              <w:left w:type="dxa" w:w="108"/>
              <w:bottom w:type="dxa" w:w="0"/>
              <w:right w:type="dxa" w:w="108"/>
            </w:tcMar>
          </w:tcPr>
          <w:p>
            <w:pPr>
              <w:pStyle w:val="style0"/>
              <w:snapToGrid w:val="false"/>
              <w:spacing w:after="200" w:before="0" w:line="240" w:lineRule="auto"/>
            </w:pPr>
            <w:r>
              <w:rPr>
                <w:rFonts w:ascii="Arial" w:cs="Arial" w:hAnsi="Arial"/>
                <w:sz w:val="20"/>
                <w:szCs w:val="20"/>
              </w:rPr>
            </w:r>
          </w:p>
        </w:tc>
        <w:tc>
          <w:tcPr>
            <w:tcW w:type="dxa" w:w="650"/>
            <w:tcBorders/>
            <w:shd w:fill="auto" w:val="clear"/>
            <w:tcMar>
              <w:top w:type="dxa" w:w="0"/>
              <w:left w:type="dxa" w:w="108"/>
              <w:bottom w:type="dxa" w:w="0"/>
              <w:right w:type="dxa" w:w="108"/>
            </w:tcMar>
          </w:tcPr>
          <w:p>
            <w:pPr>
              <w:pStyle w:val="style0"/>
              <w:snapToGrid w:val="false"/>
              <w:spacing w:after="200" w:before="0"/>
              <w:jc w:val="right"/>
            </w:pPr>
            <w:r>
              <w:rPr>
                <w:rFonts w:ascii="Arial" w:cs="Arial" w:hAnsi="Arial"/>
                <w:sz w:val="20"/>
                <w:szCs w:val="20"/>
              </w:rPr>
            </w:r>
          </w:p>
        </w:tc>
      </w:tr>
      <w:tr>
        <w:trPr>
          <w:cantSplit w:val="false"/>
        </w:trPr>
        <w:tc>
          <w:tcPr>
            <w:tcW w:type="dxa" w:w="7763"/>
            <w:tcBorders/>
            <w:shd w:fill="auto" w:val="clear"/>
            <w:tcMar>
              <w:top w:type="dxa" w:w="0"/>
              <w:left w:type="dxa" w:w="108"/>
              <w:bottom w:type="dxa" w:w="0"/>
              <w:right w:type="dxa" w:w="108"/>
            </w:tcMar>
          </w:tcPr>
          <w:p>
            <w:pPr>
              <w:pStyle w:val="style0"/>
              <w:spacing w:after="200" w:before="0"/>
            </w:pPr>
            <w:r>
              <w:rPr>
                <w:rFonts w:ascii="Arial" w:cs="Arial" w:hAnsi="Arial"/>
                <w:sz w:val="20"/>
                <w:szCs w:val="20"/>
              </w:rPr>
              <w:t>CAPÍTULO IV…………………………………………………………………………….…...</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156</w:t>
            </w:r>
          </w:p>
        </w:tc>
      </w:tr>
      <w:tr>
        <w:trPr>
          <w:cantSplit w:val="false"/>
        </w:trPr>
        <w:tc>
          <w:tcPr>
            <w:tcW w:type="dxa" w:w="7763"/>
            <w:tcBorders/>
            <w:shd w:fill="auto" w:val="clear"/>
            <w:tcMar>
              <w:top w:type="dxa" w:w="0"/>
              <w:left w:type="dxa" w:w="108"/>
              <w:bottom w:type="dxa" w:w="0"/>
              <w:right w:type="dxa" w:w="108"/>
            </w:tcMar>
          </w:tcPr>
          <w:p>
            <w:pPr>
              <w:pStyle w:val="style0"/>
              <w:spacing w:after="200" w:before="0"/>
            </w:pPr>
            <w:r>
              <w:rPr>
                <w:rFonts w:ascii="Arial" w:cs="Arial" w:hAnsi="Arial"/>
                <w:sz w:val="20"/>
                <w:szCs w:val="20"/>
              </w:rPr>
              <w:t>4.ANALISIS DE LOS RESULTADOS………………………………………………………</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158</w:t>
            </w:r>
          </w:p>
        </w:tc>
      </w:tr>
      <w:tr>
        <w:trPr>
          <w:cantSplit w:val="false"/>
        </w:trPr>
        <w:tc>
          <w:tcPr>
            <w:tcW w:type="dxa" w:w="7763"/>
            <w:tcBorders/>
            <w:shd w:fill="auto" w:val="clear"/>
            <w:tcMar>
              <w:top w:type="dxa" w:w="0"/>
              <w:left w:type="dxa" w:w="108"/>
              <w:bottom w:type="dxa" w:w="0"/>
              <w:right w:type="dxa" w:w="108"/>
            </w:tcMar>
          </w:tcPr>
          <w:p>
            <w:pPr>
              <w:pStyle w:val="style218"/>
              <w:numPr>
                <w:ilvl w:val="1"/>
                <w:numId w:val="14"/>
              </w:numPr>
              <w:spacing w:after="0" w:before="0" w:line="240" w:lineRule="auto"/>
              <w:ind w:hanging="76" w:left="360" w:right="0"/>
            </w:pPr>
            <w:r>
              <w:rPr>
                <w:rFonts w:ascii="Arial" w:cs="Arial" w:hAnsi="Arial"/>
                <w:sz w:val="20"/>
                <w:szCs w:val="20"/>
              </w:rPr>
              <w:t>Análisis cuestionario………………………………………………………………...</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159</w:t>
            </w:r>
          </w:p>
        </w:tc>
      </w:tr>
      <w:tr>
        <w:trPr>
          <w:cantSplit w:val="false"/>
        </w:trPr>
        <w:tc>
          <w:tcPr>
            <w:tcW w:type="dxa" w:w="7763"/>
            <w:tcBorders/>
            <w:shd w:fill="auto" w:val="clear"/>
            <w:tcMar>
              <w:top w:type="dxa" w:w="0"/>
              <w:left w:type="dxa" w:w="108"/>
              <w:bottom w:type="dxa" w:w="0"/>
              <w:right w:type="dxa" w:w="108"/>
            </w:tcMar>
          </w:tcPr>
          <w:p>
            <w:pPr>
              <w:pStyle w:val="style218"/>
              <w:numPr>
                <w:ilvl w:val="1"/>
                <w:numId w:val="14"/>
              </w:numPr>
              <w:spacing w:after="0" w:before="0" w:line="240" w:lineRule="auto"/>
              <w:ind w:hanging="283" w:left="567" w:right="0"/>
              <w:jc w:val="both"/>
            </w:pPr>
            <w:r>
              <w:rPr>
                <w:rFonts w:ascii="Arial" w:cs="Arial" w:hAnsi="Arial"/>
                <w:color w:val="000000"/>
                <w:sz w:val="18"/>
                <w:szCs w:val="20"/>
              </w:rPr>
              <w:t xml:space="preserve">Diagnostico sobre estado actual de los bienes de dominio público </w:t>
            </w:r>
            <w:r>
              <w:rPr>
                <w:rFonts w:ascii="Arial" w:cs="Arial" w:hAnsi="Arial"/>
                <w:bCs/>
                <w:color w:val="000000"/>
                <w:sz w:val="18"/>
                <w:szCs w:val="20"/>
              </w:rPr>
              <w:t xml:space="preserve">en Etapa de Deterioro, </w:t>
            </w:r>
            <w:r>
              <w:rPr>
                <w:rFonts w:ascii="Arial" w:cs="Arial" w:hAnsi="Arial"/>
                <w:color w:val="000000"/>
                <w:sz w:val="18"/>
                <w:szCs w:val="20"/>
              </w:rPr>
              <w:t xml:space="preserve">Obsolescencia y  Corrosión </w:t>
            </w:r>
            <w:r>
              <w:rPr>
                <w:rFonts w:ascii="Arial" w:cs="Arial" w:hAnsi="Arial"/>
                <w:bCs/>
                <w:color w:val="000000"/>
                <w:sz w:val="18"/>
                <w:szCs w:val="20"/>
              </w:rPr>
              <w:t>del Instituto Universitario de Tecnología del Estado  Yaracuy, se puede señalar:</w:t>
            </w:r>
            <w:r>
              <w:rPr>
                <w:rFonts w:ascii="Arial" w:cs="Arial" w:hAnsi="Arial"/>
                <w:sz w:val="18"/>
                <w:szCs w:val="20"/>
              </w:rPr>
              <w:t>…………………………………………………………...</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204</w:t>
            </w:r>
          </w:p>
        </w:tc>
      </w:tr>
      <w:tr>
        <w:trPr>
          <w:cantSplit w:val="false"/>
        </w:trPr>
        <w:tc>
          <w:tcPr>
            <w:tcW w:type="dxa" w:w="7763"/>
            <w:tcBorders/>
            <w:shd w:fill="auto" w:val="clear"/>
            <w:tcMar>
              <w:top w:type="dxa" w:w="0"/>
              <w:left w:type="dxa" w:w="108"/>
              <w:bottom w:type="dxa" w:w="0"/>
              <w:right w:type="dxa" w:w="108"/>
            </w:tcMar>
          </w:tcPr>
          <w:p>
            <w:pPr>
              <w:pStyle w:val="style218"/>
              <w:numPr>
                <w:ilvl w:val="1"/>
                <w:numId w:val="14"/>
              </w:numPr>
              <w:spacing w:after="0" w:before="0" w:line="240" w:lineRule="auto"/>
              <w:ind w:hanging="283" w:left="567" w:right="0"/>
              <w:jc w:val="both"/>
            </w:pPr>
            <w:r>
              <w:rPr>
                <w:rFonts w:ascii="Arial" w:cs="Arial" w:hAnsi="Arial"/>
                <w:color w:val="000000"/>
                <w:sz w:val="18"/>
                <w:szCs w:val="18"/>
              </w:rPr>
              <w:t xml:space="preserve">Identificación  los Bienes Nacionales </w:t>
            </w:r>
            <w:r>
              <w:rPr>
                <w:rFonts w:ascii="Arial" w:cs="Arial" w:hAnsi="Arial"/>
                <w:bCs/>
                <w:color w:val="000000"/>
                <w:sz w:val="18"/>
                <w:szCs w:val="18"/>
              </w:rPr>
              <w:t xml:space="preserve">en Etapa de Deterioro, </w:t>
            </w:r>
            <w:r>
              <w:rPr>
                <w:rFonts w:ascii="Arial" w:cs="Arial" w:hAnsi="Arial"/>
                <w:color w:val="000000"/>
                <w:sz w:val="18"/>
                <w:szCs w:val="18"/>
              </w:rPr>
              <w:t xml:space="preserve">Obsolescencia y  Corrosión </w:t>
            </w:r>
            <w:r>
              <w:rPr>
                <w:rFonts w:ascii="Arial" w:cs="Arial" w:hAnsi="Arial"/>
                <w:bCs/>
                <w:color w:val="000000"/>
                <w:sz w:val="18"/>
                <w:szCs w:val="18"/>
              </w:rPr>
              <w:t>del Instituto Universitario de Tecnología del Estado  Yaracuy</w:t>
            </w:r>
            <w:r>
              <w:rPr>
                <w:rFonts w:ascii="Arial" w:cs="Arial" w:hAnsi="Arial"/>
                <w:sz w:val="20"/>
                <w:szCs w:val="20"/>
                <w:lang w:val="es-ES"/>
              </w:rPr>
              <w:t>………….….</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209</w:t>
            </w:r>
          </w:p>
        </w:tc>
      </w:tr>
      <w:tr>
        <w:trPr>
          <w:cantSplit w:val="false"/>
        </w:trPr>
        <w:tc>
          <w:tcPr>
            <w:tcW w:type="dxa" w:w="7763"/>
            <w:tcBorders/>
            <w:shd w:fill="auto" w:val="clear"/>
            <w:tcMar>
              <w:top w:type="dxa" w:w="0"/>
              <w:left w:type="dxa" w:w="108"/>
              <w:bottom w:type="dxa" w:w="0"/>
              <w:right w:type="dxa" w:w="108"/>
            </w:tcMar>
          </w:tcPr>
          <w:p>
            <w:pPr>
              <w:pStyle w:val="style0"/>
              <w:numPr>
                <w:ilvl w:val="1"/>
                <w:numId w:val="14"/>
              </w:numPr>
              <w:spacing w:after="0" w:before="0" w:line="240" w:lineRule="auto"/>
              <w:ind w:hanging="283" w:left="567" w:right="0"/>
              <w:jc w:val="both"/>
            </w:pPr>
            <w:r>
              <w:rPr>
                <w:rFonts w:ascii="Arial" w:cs="Arial" w:hAnsi="Arial"/>
                <w:bCs/>
                <w:color w:val="000000"/>
                <w:sz w:val="18"/>
                <w:szCs w:val="18"/>
              </w:rPr>
              <w:t xml:space="preserve">Describir los procedimientos para la desincorporación de los </w:t>
            </w:r>
            <w:r>
              <w:rPr>
                <w:rFonts w:ascii="Arial" w:cs="Arial" w:hAnsi="Arial"/>
                <w:color w:val="000000"/>
                <w:sz w:val="18"/>
                <w:szCs w:val="18"/>
                <w:lang w:val="es-VE"/>
              </w:rPr>
              <w:t>los bienes nacionales</w:t>
            </w:r>
            <w:r>
              <w:rPr>
                <w:rFonts w:ascii="Arial" w:cs="Arial" w:hAnsi="Arial"/>
                <w:bCs/>
                <w:color w:val="000000"/>
                <w:sz w:val="18"/>
                <w:szCs w:val="18"/>
              </w:rPr>
              <w:t xml:space="preserve"> en Etapa de Deterioro, </w:t>
            </w:r>
            <w:r>
              <w:rPr>
                <w:rFonts w:ascii="Arial" w:cs="Arial" w:hAnsi="Arial"/>
                <w:color w:val="000000"/>
                <w:sz w:val="18"/>
                <w:szCs w:val="18"/>
              </w:rPr>
              <w:t xml:space="preserve">Obsolescencia y  Corrosión </w:t>
            </w:r>
            <w:r>
              <w:rPr>
                <w:rFonts w:ascii="Arial" w:cs="Arial" w:hAnsi="Arial"/>
                <w:bCs/>
                <w:color w:val="000000"/>
                <w:sz w:val="18"/>
                <w:szCs w:val="18"/>
              </w:rPr>
              <w:t xml:space="preserve">del Instituto Universitario de Tecnología de Estado Yaracuy a través de la enajenación, permuta o </w:t>
            </w:r>
            <w:r>
              <w:rPr>
                <w:rFonts w:ascii="Arial" w:cs="Arial" w:hAnsi="Arial"/>
                <w:bCs/>
                <w:color w:val="000000"/>
                <w:sz w:val="16"/>
                <w:szCs w:val="18"/>
              </w:rPr>
              <w:t>donación</w:t>
            </w:r>
            <w:r>
              <w:rPr>
                <w:rFonts w:ascii="Arial" w:cs="Arial" w:hAnsi="Arial"/>
                <w:sz w:val="16"/>
                <w:szCs w:val="18"/>
              </w:rPr>
              <w:t>)</w:t>
            </w:r>
            <w:r>
              <w:rPr>
                <w:rFonts w:ascii="Arial" w:cs="Arial" w:hAnsi="Arial"/>
                <w:sz w:val="18"/>
                <w:szCs w:val="18"/>
              </w:rPr>
              <w:t>…………………………………………………………………………………………...</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210</w:t>
            </w:r>
          </w:p>
        </w:tc>
      </w:tr>
      <w:tr>
        <w:trPr>
          <w:cantSplit w:val="false"/>
        </w:trPr>
        <w:tc>
          <w:tcPr>
            <w:tcW w:type="dxa" w:w="7763"/>
            <w:tcBorders/>
            <w:shd w:fill="auto" w:val="clear"/>
            <w:tcMar>
              <w:top w:type="dxa" w:w="0"/>
              <w:left w:type="dxa" w:w="108"/>
              <w:bottom w:type="dxa" w:w="0"/>
              <w:right w:type="dxa" w:w="108"/>
            </w:tcMar>
          </w:tcPr>
          <w:p>
            <w:pPr>
              <w:pStyle w:val="style0"/>
              <w:snapToGrid w:val="false"/>
              <w:spacing w:after="200" w:before="0"/>
            </w:pPr>
            <w:r>
              <w:rPr>
                <w:rFonts w:ascii="Arial" w:cs="Arial" w:hAnsi="Arial"/>
                <w:sz w:val="20"/>
                <w:szCs w:val="20"/>
              </w:rPr>
            </w:r>
          </w:p>
        </w:tc>
        <w:tc>
          <w:tcPr>
            <w:tcW w:type="dxa" w:w="650"/>
            <w:tcBorders/>
            <w:shd w:fill="auto" w:val="clear"/>
            <w:tcMar>
              <w:top w:type="dxa" w:w="0"/>
              <w:left w:type="dxa" w:w="108"/>
              <w:bottom w:type="dxa" w:w="0"/>
              <w:right w:type="dxa" w:w="108"/>
            </w:tcMar>
          </w:tcPr>
          <w:p>
            <w:pPr>
              <w:pStyle w:val="style0"/>
              <w:snapToGrid w:val="false"/>
              <w:spacing w:after="200" w:before="0"/>
              <w:jc w:val="right"/>
            </w:pPr>
            <w:r>
              <w:rPr>
                <w:rFonts w:ascii="Arial" w:cs="Arial" w:hAnsi="Arial"/>
                <w:sz w:val="20"/>
                <w:szCs w:val="20"/>
              </w:rPr>
            </w:r>
          </w:p>
        </w:tc>
      </w:tr>
      <w:tr>
        <w:trPr>
          <w:cantSplit w:val="false"/>
        </w:trPr>
        <w:tc>
          <w:tcPr>
            <w:tcW w:type="dxa" w:w="7763"/>
            <w:tcBorders/>
            <w:shd w:fill="auto" w:val="clear"/>
            <w:tcMar>
              <w:top w:type="dxa" w:w="0"/>
              <w:left w:type="dxa" w:w="108"/>
              <w:bottom w:type="dxa" w:w="0"/>
              <w:right w:type="dxa" w:w="108"/>
            </w:tcMar>
          </w:tcPr>
          <w:p>
            <w:pPr>
              <w:pStyle w:val="style0"/>
              <w:spacing w:after="200" w:before="0"/>
            </w:pPr>
            <w:r>
              <w:rPr>
                <w:rFonts w:ascii="Arial" w:cs="Arial" w:hAnsi="Arial"/>
                <w:sz w:val="20"/>
                <w:szCs w:val="20"/>
              </w:rPr>
              <w:t>CAPÍTULO V…………………………………………………………………………….……</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221</w:t>
            </w:r>
          </w:p>
        </w:tc>
      </w:tr>
      <w:tr>
        <w:trPr>
          <w:cantSplit w:val="false"/>
        </w:trPr>
        <w:tc>
          <w:tcPr>
            <w:tcW w:type="dxa" w:w="7763"/>
            <w:tcBorders/>
            <w:shd w:fill="auto" w:val="clear"/>
            <w:tcMar>
              <w:top w:type="dxa" w:w="0"/>
              <w:left w:type="dxa" w:w="108"/>
              <w:bottom w:type="dxa" w:w="0"/>
              <w:right w:type="dxa" w:w="108"/>
            </w:tcMar>
          </w:tcPr>
          <w:p>
            <w:pPr>
              <w:pStyle w:val="style199"/>
              <w:autoSpaceDE w:val="false"/>
              <w:spacing w:after="200" w:before="0" w:line="360" w:lineRule="auto"/>
              <w:ind w:hanging="283" w:left="567" w:right="0"/>
              <w:jc w:val="both"/>
            </w:pPr>
            <w:r>
              <w:rPr>
                <w:rFonts w:ascii="Arial" w:cs="Arial" w:hAnsi="Arial"/>
                <w:sz w:val="20"/>
                <w:szCs w:val="20"/>
              </w:rPr>
              <w:t xml:space="preserve">5.  LA PROPUESTA: </w:t>
            </w:r>
            <w:r>
              <w:rPr>
                <w:rFonts w:ascii="Arial" w:cs="Arial" w:hAnsi="Arial"/>
                <w:color w:val="000000"/>
                <w:sz w:val="18"/>
                <w:szCs w:val="18"/>
                <w:lang w:val="es-VE"/>
              </w:rPr>
              <w:t>Estrategias Financieras – Operacionales  para la gestión de la desincorporación de los bienes nacionales en estado de corrosión, obsoletos y en deterioro   del Instituto Universitario de Tecnología de Estado  Yaracuy…………………………………………….</w:t>
            </w:r>
            <w:r>
              <w:rPr>
                <w:rFonts w:ascii="Arial" w:cs="Arial" w:hAnsi="Arial"/>
                <w:sz w:val="20"/>
                <w:szCs w:val="20"/>
              </w:rPr>
              <w:t>………………………………………...</w:t>
            </w:r>
          </w:p>
        </w:tc>
        <w:tc>
          <w:tcPr>
            <w:tcW w:type="dxa" w:w="650"/>
            <w:tcBorders/>
            <w:shd w:fill="auto" w:val="clear"/>
            <w:tcMar>
              <w:top w:type="dxa" w:w="0"/>
              <w:left w:type="dxa" w:w="108"/>
              <w:bottom w:type="dxa" w:w="0"/>
              <w:right w:type="dxa" w:w="108"/>
            </w:tcMar>
          </w:tcPr>
          <w:p>
            <w:pPr>
              <w:pStyle w:val="style0"/>
              <w:snapToGrid w:val="false"/>
              <w:jc w:val="right"/>
            </w:pPr>
            <w:r>
              <w:rPr>
                <w:rFonts w:ascii="Arial" w:cs="Arial" w:hAnsi="Arial"/>
                <w:sz w:val="20"/>
                <w:szCs w:val="20"/>
              </w:rPr>
            </w:r>
          </w:p>
          <w:p>
            <w:pPr>
              <w:pStyle w:val="style0"/>
              <w:jc w:val="right"/>
            </w:pPr>
            <w:r>
              <w:rPr>
                <w:rFonts w:ascii="Arial" w:cs="Arial" w:hAnsi="Arial"/>
                <w:sz w:val="20"/>
                <w:szCs w:val="20"/>
              </w:rPr>
            </w:r>
          </w:p>
          <w:p>
            <w:pPr>
              <w:pStyle w:val="style0"/>
              <w:spacing w:after="200" w:before="0"/>
              <w:jc w:val="right"/>
            </w:pPr>
            <w:r>
              <w:rPr>
                <w:rFonts w:ascii="Arial" w:cs="Arial" w:hAnsi="Arial"/>
                <w:sz w:val="20"/>
                <w:szCs w:val="20"/>
              </w:rPr>
              <w:t>221</w:t>
            </w:r>
          </w:p>
        </w:tc>
      </w:tr>
      <w:tr>
        <w:trPr>
          <w:cantSplit w:val="false"/>
        </w:trPr>
        <w:tc>
          <w:tcPr>
            <w:tcW w:type="dxa" w:w="7763"/>
            <w:tcBorders/>
            <w:shd w:fill="auto" w:val="clear"/>
            <w:tcMar>
              <w:top w:type="dxa" w:w="0"/>
              <w:left w:type="dxa" w:w="108"/>
              <w:bottom w:type="dxa" w:w="0"/>
              <w:right w:type="dxa" w:w="108"/>
            </w:tcMar>
          </w:tcPr>
          <w:p>
            <w:pPr>
              <w:pStyle w:val="style0"/>
              <w:spacing w:after="200" w:before="0"/>
              <w:ind w:hanging="0" w:left="284" w:right="0"/>
            </w:pPr>
            <w:r>
              <w:rPr>
                <w:rFonts w:ascii="Arial" w:cs="Arial" w:hAnsi="Arial"/>
                <w:sz w:val="20"/>
                <w:szCs w:val="20"/>
              </w:rPr>
              <w:t>5.1. Introducción a la propuesta………………………………………………………...</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221</w:t>
            </w:r>
          </w:p>
        </w:tc>
      </w:tr>
      <w:tr>
        <w:trPr>
          <w:cantSplit w:val="false"/>
        </w:trPr>
        <w:tc>
          <w:tcPr>
            <w:tcW w:type="dxa" w:w="7763"/>
            <w:tcBorders/>
            <w:shd w:fill="auto" w:val="clear"/>
            <w:tcMar>
              <w:top w:type="dxa" w:w="0"/>
              <w:left w:type="dxa" w:w="108"/>
              <w:bottom w:type="dxa" w:w="0"/>
              <w:right w:type="dxa" w:w="108"/>
            </w:tcMar>
          </w:tcPr>
          <w:p>
            <w:pPr>
              <w:pStyle w:val="style0"/>
              <w:spacing w:after="200" w:before="0"/>
              <w:ind w:hanging="0" w:left="284" w:right="0"/>
            </w:pPr>
            <w:r>
              <w:rPr>
                <w:rFonts w:ascii="Arial" w:cs="Arial" w:hAnsi="Arial"/>
                <w:sz w:val="20"/>
                <w:szCs w:val="20"/>
              </w:rPr>
              <w:t>5.2. Objetivos de la propuesta…………………………………………………………..</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223</w:t>
            </w:r>
          </w:p>
        </w:tc>
      </w:tr>
      <w:tr>
        <w:trPr>
          <w:cantSplit w:val="false"/>
        </w:trPr>
        <w:tc>
          <w:tcPr>
            <w:tcW w:type="dxa" w:w="7763"/>
            <w:tcBorders/>
            <w:shd w:fill="auto" w:val="clear"/>
            <w:tcMar>
              <w:top w:type="dxa" w:w="0"/>
              <w:left w:type="dxa" w:w="108"/>
              <w:bottom w:type="dxa" w:w="0"/>
              <w:right w:type="dxa" w:w="108"/>
            </w:tcMar>
          </w:tcPr>
          <w:p>
            <w:pPr>
              <w:pStyle w:val="style0"/>
              <w:spacing w:after="200" w:before="0"/>
              <w:ind w:hanging="142" w:left="709" w:right="0"/>
            </w:pPr>
            <w:r>
              <w:rPr>
                <w:rFonts w:ascii="Arial" w:cs="Arial" w:hAnsi="Arial"/>
                <w:sz w:val="20"/>
                <w:szCs w:val="20"/>
              </w:rPr>
              <w:t>5.2.1. Objetivo General……………………………………………………………….</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223</w:t>
            </w:r>
          </w:p>
        </w:tc>
      </w:tr>
      <w:tr>
        <w:trPr>
          <w:cantSplit w:val="false"/>
        </w:trPr>
        <w:tc>
          <w:tcPr>
            <w:tcW w:type="dxa" w:w="7763"/>
            <w:tcBorders/>
            <w:shd w:fill="auto" w:val="clear"/>
            <w:tcMar>
              <w:top w:type="dxa" w:w="0"/>
              <w:left w:type="dxa" w:w="108"/>
              <w:bottom w:type="dxa" w:w="0"/>
              <w:right w:type="dxa" w:w="108"/>
            </w:tcMar>
          </w:tcPr>
          <w:p>
            <w:pPr>
              <w:pStyle w:val="style0"/>
              <w:spacing w:after="200" w:before="0"/>
              <w:ind w:hanging="142" w:left="709" w:right="0"/>
            </w:pPr>
            <w:r>
              <w:rPr>
                <w:rFonts w:ascii="Arial" w:cs="Arial" w:hAnsi="Arial"/>
                <w:sz w:val="20"/>
                <w:szCs w:val="20"/>
              </w:rPr>
              <w:t>5.2.2. Objetivos específicos…………………………………………………………..</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223</w:t>
            </w:r>
          </w:p>
        </w:tc>
      </w:tr>
      <w:tr>
        <w:trPr>
          <w:cantSplit w:val="false"/>
        </w:trPr>
        <w:tc>
          <w:tcPr>
            <w:tcW w:type="dxa" w:w="7763"/>
            <w:tcBorders/>
            <w:shd w:fill="auto" w:val="clear"/>
            <w:tcMar>
              <w:top w:type="dxa" w:w="0"/>
              <w:left w:type="dxa" w:w="108"/>
              <w:bottom w:type="dxa" w:w="0"/>
              <w:right w:type="dxa" w:w="108"/>
            </w:tcMar>
          </w:tcPr>
          <w:p>
            <w:pPr>
              <w:pStyle w:val="style0"/>
              <w:spacing w:after="200" w:before="0"/>
              <w:ind w:hanging="0" w:left="284" w:right="0"/>
            </w:pPr>
            <w:r>
              <w:rPr>
                <w:rFonts w:ascii="Arial" w:cs="Arial" w:hAnsi="Arial"/>
                <w:sz w:val="20"/>
                <w:szCs w:val="20"/>
              </w:rPr>
              <w:t>5.3. Justificación de la propuesta………………………………………………………..</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224</w:t>
            </w:r>
          </w:p>
        </w:tc>
      </w:tr>
      <w:tr>
        <w:trPr>
          <w:cantSplit w:val="false"/>
        </w:trPr>
        <w:tc>
          <w:tcPr>
            <w:tcW w:type="dxa" w:w="7763"/>
            <w:tcBorders/>
            <w:shd w:fill="auto" w:val="clear"/>
            <w:tcMar>
              <w:top w:type="dxa" w:w="0"/>
              <w:left w:type="dxa" w:w="108"/>
              <w:bottom w:type="dxa" w:w="0"/>
              <w:right w:type="dxa" w:w="108"/>
            </w:tcMar>
          </w:tcPr>
          <w:p>
            <w:pPr>
              <w:pStyle w:val="style0"/>
              <w:spacing w:after="200" w:before="0"/>
              <w:ind w:hanging="0" w:left="284" w:right="0"/>
            </w:pPr>
            <w:r>
              <w:rPr>
                <w:rFonts w:ascii="Arial" w:cs="Arial" w:hAnsi="Arial"/>
                <w:sz w:val="20"/>
                <w:szCs w:val="20"/>
              </w:rPr>
              <w:t>5.4. Alcance de la propuesta…………………………………………………………….</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226</w:t>
            </w:r>
          </w:p>
        </w:tc>
      </w:tr>
      <w:tr>
        <w:trPr>
          <w:cantSplit w:val="false"/>
        </w:trPr>
        <w:tc>
          <w:tcPr>
            <w:tcW w:type="dxa" w:w="7763"/>
            <w:tcBorders/>
            <w:shd w:fill="auto" w:val="clear"/>
            <w:tcMar>
              <w:top w:type="dxa" w:w="0"/>
              <w:left w:type="dxa" w:w="108"/>
              <w:bottom w:type="dxa" w:w="0"/>
              <w:right w:type="dxa" w:w="108"/>
            </w:tcMar>
          </w:tcPr>
          <w:p>
            <w:pPr>
              <w:pStyle w:val="style0"/>
              <w:spacing w:after="200" w:before="0"/>
              <w:ind w:hanging="0" w:left="284" w:right="0"/>
            </w:pPr>
            <w:r>
              <w:rPr>
                <w:rFonts w:ascii="Arial" w:cs="Arial" w:hAnsi="Arial"/>
                <w:sz w:val="20"/>
                <w:szCs w:val="20"/>
              </w:rPr>
              <w:t>5.5. Factibilidad de la propuesta…………………………………………………..……</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226</w:t>
            </w:r>
          </w:p>
        </w:tc>
      </w:tr>
      <w:tr>
        <w:trPr>
          <w:cantSplit w:val="false"/>
        </w:trPr>
        <w:tc>
          <w:tcPr>
            <w:tcW w:type="dxa" w:w="7763"/>
            <w:tcBorders/>
            <w:shd w:fill="auto" w:val="clear"/>
            <w:tcMar>
              <w:top w:type="dxa" w:w="0"/>
              <w:left w:type="dxa" w:w="108"/>
              <w:bottom w:type="dxa" w:w="0"/>
              <w:right w:type="dxa" w:w="108"/>
            </w:tcMar>
          </w:tcPr>
          <w:p>
            <w:pPr>
              <w:pStyle w:val="style0"/>
              <w:spacing w:after="200" w:before="0"/>
              <w:ind w:hanging="142" w:left="709" w:right="0"/>
            </w:pPr>
            <w:r>
              <w:rPr>
                <w:rFonts w:ascii="Arial" w:cs="Arial" w:hAnsi="Arial"/>
                <w:sz w:val="20"/>
                <w:szCs w:val="20"/>
              </w:rPr>
              <w:t>5.5.1. Factibilidad Operativa……………………………………………………..…...</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227</w:t>
            </w:r>
          </w:p>
        </w:tc>
      </w:tr>
      <w:tr>
        <w:trPr>
          <w:cantSplit w:val="false"/>
        </w:trPr>
        <w:tc>
          <w:tcPr>
            <w:tcW w:type="dxa" w:w="7763"/>
            <w:tcBorders/>
            <w:shd w:fill="auto" w:val="clear"/>
            <w:tcMar>
              <w:top w:type="dxa" w:w="0"/>
              <w:left w:type="dxa" w:w="108"/>
              <w:bottom w:type="dxa" w:w="0"/>
              <w:right w:type="dxa" w:w="108"/>
            </w:tcMar>
          </w:tcPr>
          <w:p>
            <w:pPr>
              <w:pStyle w:val="style0"/>
              <w:spacing w:after="200" w:before="0"/>
              <w:ind w:hanging="142" w:left="709" w:right="0"/>
            </w:pPr>
            <w:r>
              <w:rPr>
                <w:rFonts w:ascii="Arial" w:cs="Arial" w:hAnsi="Arial"/>
                <w:sz w:val="20"/>
                <w:szCs w:val="20"/>
              </w:rPr>
              <w:t>5.5.2. Factibilidad técnico- ……..………………………………………………..….</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229</w:t>
            </w:r>
          </w:p>
        </w:tc>
      </w:tr>
      <w:tr>
        <w:trPr>
          <w:cantSplit w:val="false"/>
        </w:trPr>
        <w:tc>
          <w:tcPr>
            <w:tcW w:type="dxa" w:w="7763"/>
            <w:tcBorders/>
            <w:shd w:fill="auto" w:val="clear"/>
            <w:tcMar>
              <w:top w:type="dxa" w:w="0"/>
              <w:left w:type="dxa" w:w="108"/>
              <w:bottom w:type="dxa" w:w="0"/>
              <w:right w:type="dxa" w:w="108"/>
            </w:tcMar>
          </w:tcPr>
          <w:p>
            <w:pPr>
              <w:pStyle w:val="style0"/>
              <w:spacing w:after="200" w:before="0"/>
              <w:ind w:hanging="142" w:left="709" w:right="0"/>
            </w:pPr>
            <w:r>
              <w:rPr>
                <w:rFonts w:ascii="Arial" w:cs="Arial" w:hAnsi="Arial"/>
                <w:sz w:val="20"/>
                <w:szCs w:val="20"/>
              </w:rPr>
              <w:t>5.5.3. Factibilidad Económica………………………………………………………..</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229</w:t>
            </w:r>
          </w:p>
        </w:tc>
      </w:tr>
      <w:tr>
        <w:trPr>
          <w:cantSplit w:val="false"/>
        </w:trPr>
        <w:tc>
          <w:tcPr>
            <w:tcW w:type="dxa" w:w="7763"/>
            <w:tcBorders/>
            <w:shd w:fill="auto" w:val="clear"/>
            <w:tcMar>
              <w:top w:type="dxa" w:w="0"/>
              <w:left w:type="dxa" w:w="108"/>
              <w:bottom w:type="dxa" w:w="0"/>
              <w:right w:type="dxa" w:w="108"/>
            </w:tcMar>
          </w:tcPr>
          <w:p>
            <w:pPr>
              <w:pStyle w:val="style0"/>
              <w:spacing w:after="200" w:before="0"/>
              <w:ind w:hanging="0" w:left="284" w:right="0"/>
            </w:pPr>
            <w:r>
              <w:rPr>
                <w:rFonts w:ascii="Arial" w:cs="Arial" w:hAnsi="Arial"/>
                <w:sz w:val="20"/>
                <w:szCs w:val="20"/>
              </w:rPr>
              <w:t>5.6. Desarrollo de la propuesta………………………………………..………………..</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230</w:t>
            </w:r>
          </w:p>
        </w:tc>
      </w:tr>
      <w:tr>
        <w:trPr>
          <w:cantSplit w:val="false"/>
        </w:trPr>
        <w:tc>
          <w:tcPr>
            <w:tcW w:type="dxa" w:w="7763"/>
            <w:tcBorders/>
            <w:shd w:fill="auto" w:val="clear"/>
            <w:tcMar>
              <w:top w:type="dxa" w:w="0"/>
              <w:left w:type="dxa" w:w="108"/>
              <w:bottom w:type="dxa" w:w="0"/>
              <w:right w:type="dxa" w:w="108"/>
            </w:tcMar>
          </w:tcPr>
          <w:p>
            <w:pPr>
              <w:pStyle w:val="style197"/>
              <w:spacing w:after="0" w:before="0" w:line="360" w:lineRule="auto"/>
              <w:ind w:hanging="0" w:left="284" w:right="0"/>
              <w:jc w:val="both"/>
            </w:pPr>
            <w:r>
              <w:rPr>
                <w:rFonts w:ascii="Arial" w:cs="Arial" w:hAnsi="Arial"/>
                <w:sz w:val="20"/>
                <w:szCs w:val="20"/>
              </w:rPr>
              <w:t xml:space="preserve">5.6.1. </w:t>
            </w:r>
            <w:r>
              <w:rPr>
                <w:rFonts w:ascii="Arial" w:cs="Arial" w:hAnsi="Arial"/>
                <w:color w:val="000000"/>
                <w:sz w:val="20"/>
              </w:rPr>
              <w:t>Misión, Visión, Objetivos Institucionales y Cultura Organizacional del Instituto Universitario de Tecnología de Yaracuy.</w:t>
            </w:r>
            <w:r>
              <w:rPr>
                <w:rFonts w:ascii="Arial" w:cs="Arial" w:hAnsi="Arial"/>
                <w:sz w:val="20"/>
                <w:szCs w:val="20"/>
              </w:rPr>
              <w:t>……………….…………………….</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230</w:t>
            </w:r>
          </w:p>
        </w:tc>
      </w:tr>
      <w:tr>
        <w:trPr>
          <w:cantSplit w:val="false"/>
        </w:trPr>
        <w:tc>
          <w:tcPr>
            <w:tcW w:type="dxa" w:w="7763"/>
            <w:tcBorders/>
            <w:shd w:fill="auto" w:val="clear"/>
            <w:tcMar>
              <w:top w:type="dxa" w:w="0"/>
              <w:left w:type="dxa" w:w="108"/>
              <w:bottom w:type="dxa" w:w="0"/>
              <w:right w:type="dxa" w:w="108"/>
            </w:tcMar>
          </w:tcPr>
          <w:p>
            <w:pPr>
              <w:pStyle w:val="style0"/>
              <w:spacing w:after="200" w:before="0"/>
              <w:ind w:hanging="142" w:left="709" w:right="0"/>
            </w:pPr>
            <w:r>
              <w:rPr>
                <w:rFonts w:ascii="Arial" w:cs="Arial" w:hAnsi="Arial"/>
                <w:sz w:val="20"/>
                <w:szCs w:val="20"/>
              </w:rPr>
              <w:t>5.6.1.1 Políticas Generales………………………………………………….……….</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232</w:t>
            </w:r>
          </w:p>
        </w:tc>
      </w:tr>
      <w:tr>
        <w:trPr>
          <w:cantSplit w:val="false"/>
        </w:trPr>
        <w:tc>
          <w:tcPr>
            <w:tcW w:type="dxa" w:w="7763"/>
            <w:tcBorders/>
            <w:shd w:fill="auto" w:val="clear"/>
            <w:tcMar>
              <w:top w:type="dxa" w:w="0"/>
              <w:left w:type="dxa" w:w="108"/>
              <w:bottom w:type="dxa" w:w="0"/>
              <w:right w:type="dxa" w:w="108"/>
            </w:tcMar>
          </w:tcPr>
          <w:p>
            <w:pPr>
              <w:pStyle w:val="style0"/>
              <w:spacing w:after="200" w:before="0"/>
              <w:ind w:hanging="142" w:left="709" w:right="0"/>
            </w:pPr>
            <w:r>
              <w:rPr>
                <w:rFonts w:ascii="Arial" w:cs="Arial" w:hAnsi="Arial"/>
                <w:sz w:val="20"/>
                <w:szCs w:val="20"/>
              </w:rPr>
              <w:t>5.6.2.  Valores…………………………………………………………………………</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233</w:t>
            </w:r>
          </w:p>
        </w:tc>
      </w:tr>
      <w:tr>
        <w:trPr>
          <w:cantSplit w:val="false"/>
        </w:trPr>
        <w:tc>
          <w:tcPr>
            <w:tcW w:type="dxa" w:w="7763"/>
            <w:tcBorders/>
            <w:shd w:fill="auto" w:val="clear"/>
            <w:tcMar>
              <w:top w:type="dxa" w:w="0"/>
              <w:left w:type="dxa" w:w="108"/>
              <w:bottom w:type="dxa" w:w="0"/>
              <w:right w:type="dxa" w:w="108"/>
            </w:tcMar>
          </w:tcPr>
          <w:p>
            <w:pPr>
              <w:pStyle w:val="style0"/>
              <w:spacing w:after="200" w:before="0"/>
              <w:ind w:hanging="142" w:left="709" w:right="0"/>
            </w:pPr>
            <w:r>
              <w:rPr>
                <w:rFonts w:ascii="Arial" w:cs="Arial" w:hAnsi="Arial"/>
                <w:sz w:val="20"/>
                <w:szCs w:val="20"/>
              </w:rPr>
              <w:t>5.6.3. Condiciones Sociales………………………………………………………….</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234</w:t>
            </w:r>
          </w:p>
        </w:tc>
      </w:tr>
      <w:tr>
        <w:trPr>
          <w:cantSplit w:val="false"/>
        </w:trPr>
        <w:tc>
          <w:tcPr>
            <w:tcW w:type="dxa" w:w="7763"/>
            <w:tcBorders/>
            <w:shd w:fill="auto" w:val="clear"/>
            <w:tcMar>
              <w:top w:type="dxa" w:w="0"/>
              <w:left w:type="dxa" w:w="108"/>
              <w:bottom w:type="dxa" w:w="0"/>
              <w:right w:type="dxa" w:w="108"/>
            </w:tcMar>
          </w:tcPr>
          <w:p>
            <w:pPr>
              <w:pStyle w:val="style197"/>
              <w:spacing w:after="0" w:before="0" w:line="360" w:lineRule="auto"/>
              <w:ind w:hanging="567" w:left="1134" w:right="0"/>
              <w:jc w:val="both"/>
            </w:pPr>
            <w:r>
              <w:rPr>
                <w:rFonts w:ascii="Arial" w:cs="Arial" w:hAnsi="Arial"/>
                <w:sz w:val="20"/>
                <w:szCs w:val="20"/>
              </w:rPr>
              <w:t xml:space="preserve">5.6.4. </w:t>
            </w:r>
            <w:r>
              <w:rPr>
                <w:rFonts w:ascii="Arial" w:cs="Arial" w:hAnsi="Arial"/>
                <w:color w:val="000000"/>
                <w:sz w:val="20"/>
                <w:szCs w:val="20"/>
              </w:rPr>
              <w:t>Misión y Visión de de la Oficina de Bienes Públicos del Instituto Universitario de Tecnología de Yaracuy…………………………………….</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242</w:t>
            </w:r>
          </w:p>
        </w:tc>
      </w:tr>
      <w:tr>
        <w:trPr>
          <w:cantSplit w:val="false"/>
        </w:trPr>
        <w:tc>
          <w:tcPr>
            <w:tcW w:type="dxa" w:w="7763"/>
            <w:tcBorders/>
            <w:shd w:fill="auto" w:val="clear"/>
            <w:tcMar>
              <w:top w:type="dxa" w:w="0"/>
              <w:left w:type="dxa" w:w="108"/>
              <w:bottom w:type="dxa" w:w="0"/>
              <w:right w:type="dxa" w:w="108"/>
            </w:tcMar>
          </w:tcPr>
          <w:p>
            <w:pPr>
              <w:pStyle w:val="style0"/>
              <w:spacing w:after="200" w:before="0"/>
              <w:ind w:hanging="567" w:left="1134" w:right="0"/>
            </w:pPr>
            <w:r>
              <w:rPr>
                <w:rFonts w:ascii="Arial" w:cs="Arial" w:hAnsi="Arial"/>
                <w:sz w:val="20"/>
                <w:szCs w:val="20"/>
              </w:rPr>
              <w:t xml:space="preserve">5.6.5. Funciones del personal involucrados en los procesos……………………..  </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243</w:t>
            </w:r>
          </w:p>
        </w:tc>
      </w:tr>
      <w:tr>
        <w:trPr>
          <w:cantSplit w:val="false"/>
        </w:trPr>
        <w:tc>
          <w:tcPr>
            <w:tcW w:type="dxa" w:w="7763"/>
            <w:tcBorders/>
            <w:shd w:fill="auto" w:val="clear"/>
            <w:tcMar>
              <w:top w:type="dxa" w:w="0"/>
              <w:left w:type="dxa" w:w="108"/>
              <w:bottom w:type="dxa" w:w="0"/>
              <w:right w:type="dxa" w:w="108"/>
            </w:tcMar>
          </w:tcPr>
          <w:p>
            <w:pPr>
              <w:pStyle w:val="style0"/>
              <w:spacing w:after="200" w:before="0"/>
              <w:ind w:hanging="142" w:left="709" w:right="0"/>
            </w:pPr>
            <w:r>
              <w:rPr>
                <w:rFonts w:ascii="Arial" w:cs="Arial" w:hAnsi="Arial"/>
                <w:sz w:val="20"/>
                <w:szCs w:val="20"/>
              </w:rPr>
              <w:t>5.6.6. Funciones del personal de  Bienes Públicos…………………………..……</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243</w:t>
            </w:r>
          </w:p>
        </w:tc>
      </w:tr>
      <w:tr>
        <w:trPr>
          <w:cantSplit w:val="false"/>
        </w:trPr>
        <w:tc>
          <w:tcPr>
            <w:tcW w:type="dxa" w:w="7763"/>
            <w:tcBorders/>
            <w:shd w:fill="auto" w:val="clear"/>
            <w:tcMar>
              <w:top w:type="dxa" w:w="0"/>
              <w:left w:type="dxa" w:w="108"/>
              <w:bottom w:type="dxa" w:w="0"/>
              <w:right w:type="dxa" w:w="108"/>
            </w:tcMar>
          </w:tcPr>
          <w:p>
            <w:pPr>
              <w:pStyle w:val="style0"/>
              <w:spacing w:after="200" w:before="0"/>
              <w:ind w:hanging="142" w:left="709" w:right="0"/>
            </w:pPr>
            <w:r>
              <w:rPr>
                <w:rFonts w:ascii="Arial" w:cs="Arial" w:hAnsi="Arial"/>
                <w:sz w:val="20"/>
                <w:szCs w:val="20"/>
              </w:rPr>
              <w:t>5.6.7. Funciones de la Comisión de Contrataciones Pública…………………..…</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244</w:t>
            </w:r>
          </w:p>
        </w:tc>
      </w:tr>
      <w:tr>
        <w:trPr>
          <w:cantSplit w:val="false"/>
        </w:trPr>
        <w:tc>
          <w:tcPr>
            <w:tcW w:type="dxa" w:w="7763"/>
            <w:tcBorders/>
            <w:shd w:fill="auto" w:val="clear"/>
            <w:tcMar>
              <w:top w:type="dxa" w:w="0"/>
              <w:left w:type="dxa" w:w="108"/>
              <w:bottom w:type="dxa" w:w="0"/>
              <w:right w:type="dxa" w:w="108"/>
            </w:tcMar>
          </w:tcPr>
          <w:p>
            <w:pPr>
              <w:pStyle w:val="style0"/>
              <w:spacing w:after="200" w:before="0"/>
              <w:ind w:hanging="567" w:left="1134" w:right="0"/>
              <w:jc w:val="both"/>
            </w:pPr>
            <w:r>
              <w:rPr>
                <w:rFonts w:ascii="Arial" w:cs="Arial" w:hAnsi="Arial"/>
                <w:sz w:val="20"/>
                <w:szCs w:val="20"/>
              </w:rPr>
              <w:t>5.6.8. Matriz DOFA y necesidades de mejora en el proceso  de enajenación de bienes en etapa de deterioro, obsolescencia y corrosión……………...</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245</w:t>
            </w:r>
          </w:p>
        </w:tc>
      </w:tr>
      <w:tr>
        <w:trPr>
          <w:cantSplit w:val="false"/>
        </w:trPr>
        <w:tc>
          <w:tcPr>
            <w:tcW w:type="dxa" w:w="7763"/>
            <w:tcBorders/>
            <w:shd w:fill="auto" w:val="clear"/>
            <w:tcMar>
              <w:top w:type="dxa" w:w="0"/>
              <w:left w:type="dxa" w:w="108"/>
              <w:bottom w:type="dxa" w:w="0"/>
              <w:right w:type="dxa" w:w="108"/>
            </w:tcMar>
          </w:tcPr>
          <w:p>
            <w:pPr>
              <w:pStyle w:val="style0"/>
              <w:spacing w:after="200" w:before="0"/>
              <w:ind w:hanging="567" w:left="1134" w:right="0"/>
            </w:pPr>
            <w:r>
              <w:rPr>
                <w:rFonts w:ascii="Arial" w:cs="Arial" w:hAnsi="Arial"/>
                <w:sz w:val="20"/>
                <w:szCs w:val="20"/>
              </w:rPr>
              <w:t>5.6.9.  Estrategias Operacionales………………………………………………..…</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248</w:t>
            </w:r>
          </w:p>
        </w:tc>
      </w:tr>
      <w:tr>
        <w:trPr>
          <w:cantSplit w:val="false"/>
        </w:trPr>
        <w:tc>
          <w:tcPr>
            <w:tcW w:type="dxa" w:w="7763"/>
            <w:tcBorders/>
            <w:shd w:fill="auto" w:val="clear"/>
            <w:tcMar>
              <w:top w:type="dxa" w:w="0"/>
              <w:left w:type="dxa" w:w="108"/>
              <w:bottom w:type="dxa" w:w="0"/>
              <w:right w:type="dxa" w:w="108"/>
            </w:tcMar>
          </w:tcPr>
          <w:p>
            <w:pPr>
              <w:pStyle w:val="style0"/>
              <w:spacing w:after="200" w:before="0"/>
              <w:ind w:hanging="142" w:left="709" w:right="0"/>
            </w:pPr>
            <w:r>
              <w:rPr>
                <w:rFonts w:ascii="Arial" w:cs="Arial" w:hAnsi="Arial"/>
                <w:sz w:val="20"/>
                <w:szCs w:val="20"/>
              </w:rPr>
              <w:t>5.6.10. Estrategias Financieras……………………………………………………..</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250</w:t>
            </w:r>
          </w:p>
        </w:tc>
      </w:tr>
      <w:tr>
        <w:trPr>
          <w:cantSplit w:val="false"/>
        </w:trPr>
        <w:tc>
          <w:tcPr>
            <w:tcW w:type="dxa" w:w="7763"/>
            <w:tcBorders/>
            <w:shd w:fill="auto" w:val="clear"/>
            <w:tcMar>
              <w:top w:type="dxa" w:w="0"/>
              <w:left w:type="dxa" w:w="108"/>
              <w:bottom w:type="dxa" w:w="0"/>
              <w:right w:type="dxa" w:w="108"/>
            </w:tcMar>
          </w:tcPr>
          <w:p>
            <w:pPr>
              <w:pStyle w:val="style0"/>
              <w:snapToGrid w:val="false"/>
              <w:spacing w:after="200" w:before="0"/>
            </w:pPr>
            <w:r>
              <w:rPr>
                <w:rFonts w:ascii="Arial" w:cs="Arial" w:hAnsi="Arial"/>
                <w:sz w:val="20"/>
                <w:szCs w:val="20"/>
              </w:rPr>
            </w:r>
          </w:p>
        </w:tc>
        <w:tc>
          <w:tcPr>
            <w:tcW w:type="dxa" w:w="650"/>
            <w:tcBorders/>
            <w:shd w:fill="auto" w:val="clear"/>
            <w:tcMar>
              <w:top w:type="dxa" w:w="0"/>
              <w:left w:type="dxa" w:w="108"/>
              <w:bottom w:type="dxa" w:w="0"/>
              <w:right w:type="dxa" w:w="108"/>
            </w:tcMar>
          </w:tcPr>
          <w:p>
            <w:pPr>
              <w:pStyle w:val="style0"/>
              <w:snapToGrid w:val="false"/>
              <w:spacing w:after="200" w:before="0"/>
              <w:jc w:val="right"/>
            </w:pPr>
            <w:r>
              <w:rPr>
                <w:rFonts w:ascii="Arial" w:cs="Arial" w:hAnsi="Arial"/>
                <w:sz w:val="20"/>
                <w:szCs w:val="20"/>
              </w:rPr>
            </w:r>
          </w:p>
        </w:tc>
      </w:tr>
      <w:tr>
        <w:trPr>
          <w:cantSplit w:val="false"/>
        </w:trPr>
        <w:tc>
          <w:tcPr>
            <w:tcW w:type="dxa" w:w="7763"/>
            <w:tcBorders/>
            <w:shd w:fill="auto" w:val="clear"/>
            <w:tcMar>
              <w:top w:type="dxa" w:w="0"/>
              <w:left w:type="dxa" w:w="108"/>
              <w:bottom w:type="dxa" w:w="0"/>
              <w:right w:type="dxa" w:w="108"/>
            </w:tcMar>
          </w:tcPr>
          <w:p>
            <w:pPr>
              <w:pStyle w:val="style0"/>
              <w:spacing w:after="200" w:before="0"/>
            </w:pPr>
            <w:r>
              <w:rPr>
                <w:rFonts w:ascii="Arial" w:cs="Arial" w:hAnsi="Arial"/>
                <w:sz w:val="20"/>
                <w:szCs w:val="20"/>
              </w:rPr>
              <w:t>6. CONCLUSIONES………………………………………………………………………….</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253</w:t>
            </w:r>
          </w:p>
        </w:tc>
      </w:tr>
      <w:tr>
        <w:trPr>
          <w:cantSplit w:val="false"/>
        </w:trPr>
        <w:tc>
          <w:tcPr>
            <w:tcW w:type="dxa" w:w="7763"/>
            <w:tcBorders/>
            <w:shd w:fill="auto" w:val="clear"/>
            <w:tcMar>
              <w:top w:type="dxa" w:w="0"/>
              <w:left w:type="dxa" w:w="108"/>
              <w:bottom w:type="dxa" w:w="0"/>
              <w:right w:type="dxa" w:w="108"/>
            </w:tcMar>
          </w:tcPr>
          <w:p>
            <w:pPr>
              <w:pStyle w:val="style0"/>
              <w:spacing w:after="200" w:before="0"/>
            </w:pPr>
            <w:r>
              <w:rPr>
                <w:rFonts w:ascii="Arial" w:cs="Arial" w:hAnsi="Arial"/>
                <w:sz w:val="20"/>
                <w:szCs w:val="20"/>
              </w:rPr>
              <w:t>7. RECOMENDACIONES……………………………………………………………………</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256</w:t>
            </w:r>
          </w:p>
        </w:tc>
      </w:tr>
      <w:tr>
        <w:trPr>
          <w:cantSplit w:val="false"/>
        </w:trPr>
        <w:tc>
          <w:tcPr>
            <w:tcW w:type="dxa" w:w="7763"/>
            <w:tcBorders/>
            <w:shd w:fill="auto" w:val="clear"/>
            <w:tcMar>
              <w:top w:type="dxa" w:w="0"/>
              <w:left w:type="dxa" w:w="108"/>
              <w:bottom w:type="dxa" w:w="0"/>
              <w:right w:type="dxa" w:w="108"/>
            </w:tcMar>
          </w:tcPr>
          <w:p>
            <w:pPr>
              <w:pStyle w:val="style0"/>
              <w:spacing w:after="200" w:before="0"/>
            </w:pPr>
            <w:r>
              <w:rPr>
                <w:rFonts w:ascii="Arial" w:cs="Arial" w:hAnsi="Arial"/>
                <w:sz w:val="20"/>
                <w:szCs w:val="20"/>
              </w:rPr>
              <w:t>7. BIBLIOGRAFÍA Y REFERENCIAS……………………………………………………..</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 xml:space="preserve">259 </w:t>
            </w:r>
          </w:p>
        </w:tc>
      </w:tr>
      <w:tr>
        <w:trPr>
          <w:cantSplit w:val="false"/>
        </w:trPr>
        <w:tc>
          <w:tcPr>
            <w:tcW w:type="dxa" w:w="7763"/>
            <w:tcBorders/>
            <w:shd w:fill="auto" w:val="clear"/>
            <w:tcMar>
              <w:top w:type="dxa" w:w="0"/>
              <w:left w:type="dxa" w:w="108"/>
              <w:bottom w:type="dxa" w:w="0"/>
              <w:right w:type="dxa" w:w="108"/>
            </w:tcMar>
          </w:tcPr>
          <w:p>
            <w:pPr>
              <w:pStyle w:val="style0"/>
              <w:spacing w:after="200" w:before="0"/>
            </w:pPr>
            <w:r>
              <w:rPr>
                <w:rFonts w:ascii="Arial" w:cs="Arial" w:hAnsi="Arial"/>
                <w:sz w:val="20"/>
                <w:szCs w:val="20"/>
              </w:rPr>
              <w:t>8. ANEXOS…………………………………………………………………………………….</w:t>
            </w:r>
          </w:p>
        </w:tc>
        <w:tc>
          <w:tcPr>
            <w:tcW w:type="dxa" w:w="650"/>
            <w:tcBorders/>
            <w:shd w:fill="auto" w:val="clear"/>
            <w:tcMar>
              <w:top w:type="dxa" w:w="0"/>
              <w:left w:type="dxa" w:w="108"/>
              <w:bottom w:type="dxa" w:w="0"/>
              <w:right w:type="dxa" w:w="108"/>
            </w:tcMar>
          </w:tcPr>
          <w:p>
            <w:pPr>
              <w:pStyle w:val="style0"/>
              <w:spacing w:after="200" w:before="0"/>
              <w:jc w:val="right"/>
            </w:pPr>
            <w:r>
              <w:rPr>
                <w:rFonts w:ascii="Arial" w:cs="Arial" w:hAnsi="Arial"/>
                <w:sz w:val="20"/>
                <w:szCs w:val="20"/>
              </w:rPr>
              <w:t>265</w:t>
            </w:r>
          </w:p>
        </w:tc>
      </w:tr>
      <w:tr>
        <w:trPr>
          <w:cantSplit w:val="false"/>
        </w:trPr>
        <w:tc>
          <w:tcPr>
            <w:tcW w:type="dxa" w:w="7763"/>
            <w:tcBorders/>
            <w:shd w:fill="auto" w:val="clear"/>
            <w:tcMar>
              <w:top w:type="dxa" w:w="0"/>
              <w:left w:type="dxa" w:w="108"/>
              <w:bottom w:type="dxa" w:w="0"/>
              <w:right w:type="dxa" w:w="108"/>
            </w:tcMar>
          </w:tcPr>
          <w:p>
            <w:pPr>
              <w:pStyle w:val="style0"/>
              <w:snapToGrid w:val="false"/>
              <w:spacing w:after="200" w:before="0"/>
            </w:pPr>
            <w:r>
              <w:rPr>
                <w:rFonts w:ascii="Arial" w:cs="Arial" w:hAnsi="Arial"/>
                <w:sz w:val="20"/>
                <w:szCs w:val="20"/>
              </w:rPr>
            </w:r>
          </w:p>
        </w:tc>
        <w:tc>
          <w:tcPr>
            <w:tcW w:type="dxa" w:w="650"/>
            <w:tcBorders/>
            <w:shd w:fill="auto" w:val="clear"/>
            <w:tcMar>
              <w:top w:type="dxa" w:w="0"/>
              <w:left w:type="dxa" w:w="108"/>
              <w:bottom w:type="dxa" w:w="0"/>
              <w:right w:type="dxa" w:w="108"/>
            </w:tcMar>
          </w:tcPr>
          <w:p>
            <w:pPr>
              <w:pStyle w:val="style0"/>
              <w:snapToGrid w:val="false"/>
              <w:spacing w:after="200" w:before="0"/>
              <w:jc w:val="center"/>
            </w:pPr>
            <w:r>
              <w:rPr>
                <w:rFonts w:ascii="Arial" w:cs="Arial" w:hAnsi="Arial"/>
                <w:b/>
                <w:sz w:val="20"/>
                <w:szCs w:val="20"/>
              </w:rPr>
            </w:r>
          </w:p>
        </w:tc>
      </w:tr>
      <w:tr>
        <w:trPr>
          <w:cantSplit w:val="false"/>
        </w:trPr>
        <w:tc>
          <w:tcPr>
            <w:tcW w:type="dxa" w:w="7763"/>
            <w:tcBorders/>
            <w:shd w:fill="auto" w:val="clear"/>
            <w:tcMar>
              <w:top w:type="dxa" w:w="0"/>
              <w:left w:type="dxa" w:w="108"/>
              <w:bottom w:type="dxa" w:w="0"/>
              <w:right w:type="dxa" w:w="108"/>
            </w:tcMar>
          </w:tcPr>
          <w:p>
            <w:pPr>
              <w:pStyle w:val="style0"/>
              <w:snapToGrid w:val="false"/>
              <w:spacing w:after="200" w:before="0"/>
            </w:pPr>
            <w:r>
              <w:rPr>
                <w:rFonts w:ascii="Arial" w:cs="Arial" w:hAnsi="Arial"/>
                <w:sz w:val="20"/>
                <w:szCs w:val="20"/>
              </w:rPr>
            </w:r>
          </w:p>
        </w:tc>
        <w:tc>
          <w:tcPr>
            <w:tcW w:type="dxa" w:w="650"/>
            <w:tcBorders/>
            <w:shd w:fill="auto" w:val="clear"/>
            <w:tcMar>
              <w:top w:type="dxa" w:w="0"/>
              <w:left w:type="dxa" w:w="108"/>
              <w:bottom w:type="dxa" w:w="0"/>
              <w:right w:type="dxa" w:w="108"/>
            </w:tcMar>
          </w:tcPr>
          <w:p>
            <w:pPr>
              <w:pStyle w:val="style0"/>
              <w:snapToGrid w:val="false"/>
              <w:spacing w:after="200" w:before="0"/>
              <w:jc w:val="center"/>
            </w:pPr>
            <w:r>
              <w:rPr>
                <w:rFonts w:ascii="Arial" w:cs="Arial" w:hAnsi="Arial"/>
                <w:b/>
                <w:sz w:val="20"/>
                <w:szCs w:val="20"/>
              </w:rPr>
            </w:r>
          </w:p>
        </w:tc>
      </w:tr>
      <w:tr>
        <w:trPr>
          <w:cantSplit w:val="false"/>
        </w:trPr>
        <w:tc>
          <w:tcPr>
            <w:tcW w:type="dxa" w:w="7763"/>
            <w:tcBorders/>
            <w:shd w:fill="auto" w:val="clear"/>
            <w:tcMar>
              <w:top w:type="dxa" w:w="0"/>
              <w:left w:type="dxa" w:w="108"/>
              <w:bottom w:type="dxa" w:w="0"/>
              <w:right w:type="dxa" w:w="108"/>
            </w:tcMar>
          </w:tcPr>
          <w:p>
            <w:pPr>
              <w:pStyle w:val="style0"/>
              <w:snapToGrid w:val="false"/>
              <w:spacing w:after="200" w:before="0"/>
            </w:pPr>
            <w:r>
              <w:rPr>
                <w:rFonts w:ascii="Arial" w:cs="Arial" w:hAnsi="Arial"/>
                <w:sz w:val="20"/>
                <w:szCs w:val="20"/>
              </w:rPr>
            </w:r>
          </w:p>
        </w:tc>
        <w:tc>
          <w:tcPr>
            <w:tcW w:type="dxa" w:w="650"/>
            <w:tcBorders/>
            <w:shd w:fill="auto" w:val="clear"/>
            <w:tcMar>
              <w:top w:type="dxa" w:w="0"/>
              <w:left w:type="dxa" w:w="108"/>
              <w:bottom w:type="dxa" w:w="0"/>
              <w:right w:type="dxa" w:w="108"/>
            </w:tcMar>
          </w:tcPr>
          <w:p>
            <w:pPr>
              <w:pStyle w:val="style0"/>
              <w:snapToGrid w:val="false"/>
              <w:spacing w:after="200" w:before="0"/>
              <w:jc w:val="center"/>
            </w:pPr>
            <w:r>
              <w:rPr>
                <w:rFonts w:ascii="Arial" w:cs="Arial" w:hAnsi="Arial"/>
                <w:b/>
                <w:sz w:val="20"/>
                <w:szCs w:val="20"/>
              </w:rPr>
            </w:r>
          </w:p>
        </w:tc>
      </w:tr>
      <w:tr>
        <w:trPr>
          <w:cantSplit w:val="false"/>
        </w:trPr>
        <w:tc>
          <w:tcPr>
            <w:tcW w:type="dxa" w:w="7763"/>
            <w:tcBorders/>
            <w:shd w:fill="auto" w:val="clear"/>
            <w:tcMar>
              <w:top w:type="dxa" w:w="0"/>
              <w:left w:type="dxa" w:w="108"/>
              <w:bottom w:type="dxa" w:w="0"/>
              <w:right w:type="dxa" w:w="108"/>
            </w:tcMar>
          </w:tcPr>
          <w:p>
            <w:pPr>
              <w:pStyle w:val="style0"/>
              <w:snapToGrid w:val="false"/>
              <w:spacing w:after="200" w:before="0"/>
            </w:pPr>
            <w:r>
              <w:rPr>
                <w:rFonts w:ascii="Arial" w:cs="Arial" w:hAnsi="Arial"/>
                <w:sz w:val="20"/>
                <w:szCs w:val="20"/>
              </w:rPr>
            </w:r>
          </w:p>
        </w:tc>
        <w:tc>
          <w:tcPr>
            <w:tcW w:type="dxa" w:w="650"/>
            <w:tcBorders/>
            <w:shd w:fill="auto" w:val="clear"/>
            <w:tcMar>
              <w:top w:type="dxa" w:w="0"/>
              <w:left w:type="dxa" w:w="108"/>
              <w:bottom w:type="dxa" w:w="0"/>
              <w:right w:type="dxa" w:w="108"/>
            </w:tcMar>
          </w:tcPr>
          <w:p>
            <w:pPr>
              <w:pStyle w:val="style0"/>
              <w:snapToGrid w:val="false"/>
              <w:spacing w:after="200" w:before="0"/>
              <w:jc w:val="center"/>
            </w:pPr>
            <w:r>
              <w:rPr>
                <w:rFonts w:ascii="Arial" w:cs="Arial" w:hAnsi="Arial"/>
                <w:b/>
                <w:sz w:val="20"/>
                <w:szCs w:val="20"/>
              </w:rPr>
            </w:r>
          </w:p>
        </w:tc>
      </w:tr>
      <w:tr>
        <w:trPr>
          <w:cantSplit w:val="false"/>
        </w:trPr>
        <w:tc>
          <w:tcPr>
            <w:tcW w:type="dxa" w:w="7763"/>
            <w:tcBorders/>
            <w:shd w:fill="auto" w:val="clear"/>
            <w:tcMar>
              <w:top w:type="dxa" w:w="0"/>
              <w:left w:type="dxa" w:w="108"/>
              <w:bottom w:type="dxa" w:w="0"/>
              <w:right w:type="dxa" w:w="108"/>
            </w:tcMar>
          </w:tcPr>
          <w:p>
            <w:pPr>
              <w:pStyle w:val="style0"/>
              <w:snapToGrid w:val="false"/>
              <w:spacing w:after="200" w:before="0"/>
            </w:pPr>
            <w:r>
              <w:rPr>
                <w:rFonts w:ascii="Arial" w:cs="Arial" w:hAnsi="Arial"/>
                <w:sz w:val="20"/>
                <w:szCs w:val="20"/>
              </w:rPr>
            </w:r>
          </w:p>
        </w:tc>
        <w:tc>
          <w:tcPr>
            <w:tcW w:type="dxa" w:w="650"/>
            <w:tcBorders/>
            <w:shd w:fill="auto" w:val="clear"/>
            <w:tcMar>
              <w:top w:type="dxa" w:w="0"/>
              <w:left w:type="dxa" w:w="108"/>
              <w:bottom w:type="dxa" w:w="0"/>
              <w:right w:type="dxa" w:w="108"/>
            </w:tcMar>
          </w:tcPr>
          <w:p>
            <w:pPr>
              <w:pStyle w:val="style0"/>
              <w:snapToGrid w:val="false"/>
              <w:spacing w:after="200" w:before="0"/>
              <w:jc w:val="center"/>
            </w:pPr>
            <w:r>
              <w:rPr>
                <w:rFonts w:ascii="Arial" w:cs="Arial" w:hAnsi="Arial"/>
                <w:b/>
                <w:sz w:val="20"/>
                <w:szCs w:val="20"/>
              </w:rPr>
            </w:r>
          </w:p>
        </w:tc>
      </w:tr>
      <w:tr>
        <w:trPr>
          <w:cantSplit w:val="false"/>
        </w:trPr>
        <w:tc>
          <w:tcPr>
            <w:tcW w:type="dxa" w:w="7763"/>
            <w:tcBorders/>
            <w:shd w:fill="auto" w:val="clear"/>
            <w:tcMar>
              <w:top w:type="dxa" w:w="0"/>
              <w:left w:type="dxa" w:w="108"/>
              <w:bottom w:type="dxa" w:w="0"/>
              <w:right w:type="dxa" w:w="108"/>
            </w:tcMar>
          </w:tcPr>
          <w:p>
            <w:pPr>
              <w:pStyle w:val="style0"/>
              <w:snapToGrid w:val="false"/>
              <w:spacing w:after="200" w:before="0"/>
            </w:pPr>
            <w:r>
              <w:rPr>
                <w:rFonts w:ascii="Arial" w:cs="Arial" w:hAnsi="Arial"/>
                <w:sz w:val="20"/>
                <w:szCs w:val="20"/>
              </w:rPr>
            </w:r>
          </w:p>
        </w:tc>
        <w:tc>
          <w:tcPr>
            <w:tcW w:type="dxa" w:w="650"/>
            <w:tcBorders/>
            <w:shd w:fill="auto" w:val="clear"/>
            <w:tcMar>
              <w:top w:type="dxa" w:w="0"/>
              <w:left w:type="dxa" w:w="108"/>
              <w:bottom w:type="dxa" w:w="0"/>
              <w:right w:type="dxa" w:w="108"/>
            </w:tcMar>
          </w:tcPr>
          <w:p>
            <w:pPr>
              <w:pStyle w:val="style0"/>
              <w:snapToGrid w:val="false"/>
              <w:spacing w:after="200" w:before="0"/>
              <w:jc w:val="center"/>
            </w:pPr>
            <w:r>
              <w:rPr>
                <w:rFonts w:ascii="Arial" w:cs="Arial" w:hAnsi="Arial"/>
                <w:b/>
                <w:sz w:val="20"/>
                <w:szCs w:val="20"/>
              </w:rPr>
            </w:r>
          </w:p>
        </w:tc>
      </w:tr>
      <w:tr>
        <w:trPr>
          <w:cantSplit w:val="false"/>
        </w:trPr>
        <w:tc>
          <w:tcPr>
            <w:tcW w:type="dxa" w:w="7763"/>
            <w:tcBorders/>
            <w:shd w:fill="auto" w:val="clear"/>
            <w:tcMar>
              <w:top w:type="dxa" w:w="0"/>
              <w:left w:type="dxa" w:w="108"/>
              <w:bottom w:type="dxa" w:w="0"/>
              <w:right w:type="dxa" w:w="108"/>
            </w:tcMar>
          </w:tcPr>
          <w:p>
            <w:pPr>
              <w:pStyle w:val="style0"/>
              <w:snapToGrid w:val="false"/>
              <w:spacing w:after="200" w:before="0"/>
            </w:pPr>
            <w:r>
              <w:rPr>
                <w:rFonts w:ascii="Arial" w:cs="Arial" w:hAnsi="Arial"/>
                <w:sz w:val="20"/>
                <w:szCs w:val="20"/>
              </w:rPr>
            </w:r>
          </w:p>
        </w:tc>
        <w:tc>
          <w:tcPr>
            <w:tcW w:type="dxa" w:w="650"/>
            <w:tcBorders/>
            <w:shd w:fill="auto" w:val="clear"/>
            <w:tcMar>
              <w:top w:type="dxa" w:w="0"/>
              <w:left w:type="dxa" w:w="108"/>
              <w:bottom w:type="dxa" w:w="0"/>
              <w:right w:type="dxa" w:w="108"/>
            </w:tcMar>
          </w:tcPr>
          <w:p>
            <w:pPr>
              <w:pStyle w:val="style0"/>
              <w:snapToGrid w:val="false"/>
              <w:spacing w:after="200" w:before="0"/>
              <w:jc w:val="center"/>
            </w:pPr>
            <w:r>
              <w:rPr>
                <w:rFonts w:ascii="Arial" w:cs="Arial" w:hAnsi="Arial"/>
                <w:b/>
                <w:sz w:val="20"/>
                <w:szCs w:val="20"/>
              </w:rPr>
            </w:r>
          </w:p>
        </w:tc>
      </w:tr>
      <w:tr>
        <w:trPr>
          <w:cantSplit w:val="false"/>
        </w:trPr>
        <w:tc>
          <w:tcPr>
            <w:tcW w:type="dxa" w:w="7763"/>
            <w:tcBorders/>
            <w:shd w:fill="auto" w:val="clear"/>
            <w:tcMar>
              <w:top w:type="dxa" w:w="0"/>
              <w:left w:type="dxa" w:w="108"/>
              <w:bottom w:type="dxa" w:w="0"/>
              <w:right w:type="dxa" w:w="108"/>
            </w:tcMar>
          </w:tcPr>
          <w:p>
            <w:pPr>
              <w:pStyle w:val="style0"/>
              <w:snapToGrid w:val="false"/>
              <w:spacing w:after="200" w:before="0"/>
            </w:pPr>
            <w:r>
              <w:rPr>
                <w:rFonts w:ascii="Arial" w:cs="Arial" w:hAnsi="Arial"/>
                <w:sz w:val="20"/>
                <w:szCs w:val="20"/>
              </w:rPr>
            </w:r>
          </w:p>
        </w:tc>
        <w:tc>
          <w:tcPr>
            <w:tcW w:type="dxa" w:w="650"/>
            <w:tcBorders/>
            <w:shd w:fill="auto" w:val="clear"/>
            <w:tcMar>
              <w:top w:type="dxa" w:w="0"/>
              <w:left w:type="dxa" w:w="108"/>
              <w:bottom w:type="dxa" w:w="0"/>
              <w:right w:type="dxa" w:w="108"/>
            </w:tcMar>
          </w:tcPr>
          <w:p>
            <w:pPr>
              <w:pStyle w:val="style0"/>
              <w:snapToGrid w:val="false"/>
              <w:spacing w:after="200" w:before="0"/>
              <w:jc w:val="center"/>
            </w:pPr>
            <w:r>
              <w:rPr>
                <w:rFonts w:ascii="Arial" w:cs="Arial" w:hAnsi="Arial"/>
                <w:b/>
                <w:sz w:val="20"/>
                <w:szCs w:val="20"/>
              </w:rPr>
            </w:r>
          </w:p>
        </w:tc>
      </w:tr>
      <w:tr>
        <w:trPr>
          <w:cantSplit w:val="false"/>
        </w:trPr>
        <w:tc>
          <w:tcPr>
            <w:tcW w:type="dxa" w:w="7763"/>
            <w:tcBorders/>
            <w:shd w:fill="auto" w:val="clear"/>
            <w:tcMar>
              <w:top w:type="dxa" w:w="0"/>
              <w:left w:type="dxa" w:w="108"/>
              <w:bottom w:type="dxa" w:w="0"/>
              <w:right w:type="dxa" w:w="108"/>
            </w:tcMar>
          </w:tcPr>
          <w:p>
            <w:pPr>
              <w:pStyle w:val="style0"/>
              <w:snapToGrid w:val="false"/>
              <w:spacing w:after="200" w:before="0"/>
            </w:pPr>
            <w:r>
              <w:rPr>
                <w:rFonts w:ascii="Arial" w:cs="Arial" w:hAnsi="Arial"/>
                <w:sz w:val="20"/>
                <w:szCs w:val="20"/>
              </w:rPr>
            </w:r>
          </w:p>
        </w:tc>
        <w:tc>
          <w:tcPr>
            <w:tcW w:type="dxa" w:w="650"/>
            <w:tcBorders/>
            <w:shd w:fill="auto" w:val="clear"/>
            <w:tcMar>
              <w:top w:type="dxa" w:w="0"/>
              <w:left w:type="dxa" w:w="108"/>
              <w:bottom w:type="dxa" w:w="0"/>
              <w:right w:type="dxa" w:w="108"/>
            </w:tcMar>
          </w:tcPr>
          <w:p>
            <w:pPr>
              <w:pStyle w:val="style0"/>
              <w:snapToGrid w:val="false"/>
              <w:spacing w:after="200" w:before="0"/>
              <w:jc w:val="center"/>
            </w:pPr>
            <w:r>
              <w:rPr>
                <w:rFonts w:ascii="Arial" w:cs="Arial" w:hAnsi="Arial"/>
                <w:b/>
                <w:sz w:val="20"/>
                <w:szCs w:val="20"/>
              </w:rPr>
            </w:r>
          </w:p>
        </w:tc>
      </w:tr>
      <w:tr>
        <w:trPr>
          <w:cantSplit w:val="false"/>
        </w:trPr>
        <w:tc>
          <w:tcPr>
            <w:tcW w:type="dxa" w:w="7763"/>
            <w:tcBorders/>
            <w:shd w:fill="auto" w:val="clear"/>
            <w:tcMar>
              <w:top w:type="dxa" w:w="0"/>
              <w:left w:type="dxa" w:w="108"/>
              <w:bottom w:type="dxa" w:w="0"/>
              <w:right w:type="dxa" w:w="108"/>
            </w:tcMar>
          </w:tcPr>
          <w:p>
            <w:pPr>
              <w:pStyle w:val="style0"/>
              <w:snapToGrid w:val="false"/>
              <w:spacing w:after="200" w:before="0"/>
            </w:pPr>
            <w:r>
              <w:rPr>
                <w:rFonts w:ascii="Arial" w:cs="Arial" w:hAnsi="Arial"/>
                <w:sz w:val="20"/>
                <w:szCs w:val="20"/>
              </w:rPr>
            </w:r>
          </w:p>
        </w:tc>
        <w:tc>
          <w:tcPr>
            <w:tcW w:type="dxa" w:w="650"/>
            <w:tcBorders/>
            <w:shd w:fill="auto" w:val="clear"/>
            <w:tcMar>
              <w:top w:type="dxa" w:w="0"/>
              <w:left w:type="dxa" w:w="108"/>
              <w:bottom w:type="dxa" w:w="0"/>
              <w:right w:type="dxa" w:w="108"/>
            </w:tcMar>
          </w:tcPr>
          <w:p>
            <w:pPr>
              <w:pStyle w:val="style0"/>
              <w:snapToGrid w:val="false"/>
              <w:spacing w:after="200" w:before="0"/>
              <w:jc w:val="center"/>
            </w:pPr>
            <w:r>
              <w:rPr>
                <w:rFonts w:ascii="Arial" w:cs="Arial" w:hAnsi="Arial"/>
                <w:b/>
                <w:sz w:val="20"/>
                <w:szCs w:val="20"/>
              </w:rPr>
            </w:r>
          </w:p>
        </w:tc>
      </w:tr>
    </w:tbl>
    <w:p>
      <w:pPr>
        <w:pStyle w:val="style190"/>
        <w:spacing w:line="360" w:lineRule="auto"/>
        <w:jc w:val="center"/>
      </w:pPr>
      <w:r>
        <w:rPr>
          <w:rFonts w:ascii="Arial" w:cs="Arial" w:hAnsi="Arial"/>
        </w:rPr>
      </w:r>
    </w:p>
    <w:p>
      <w:pPr>
        <w:pStyle w:val="style0"/>
        <w:pageBreakBefore/>
        <w:jc w:val="center"/>
      </w:pPr>
      <w:r>
        <w:rPr>
          <w:b/>
          <w:sz w:val="24"/>
        </w:rPr>
        <w:t>INDICE DE FIGURAS</w:t>
      </w:r>
    </w:p>
    <w:p>
      <w:pPr>
        <w:pStyle w:val="style0"/>
        <w:jc w:val="center"/>
      </w:pPr>
      <w:r>
        <w:rPr>
          <w:b/>
        </w:rPr>
      </w:r>
    </w:p>
    <w:p>
      <w:pPr>
        <w:pStyle w:val="style0"/>
        <w:jc w:val="center"/>
      </w:pPr>
      <w:r>
        <w:rPr>
          <w:b/>
        </w:rPr>
      </w:r>
    </w:p>
    <w:tbl>
      <w:tblPr>
        <w:jc w:val="left"/>
        <w:tblInd w:type="dxa" w:w="-108"/>
        <w:tblBorders/>
      </w:tblPr>
      <w:tblGrid>
        <w:gridCol w:w="7621"/>
        <w:gridCol w:w="792"/>
      </w:tblGrid>
      <w:tr>
        <w:trPr>
          <w:trHeight w:hRule="atLeast" w:val="448"/>
          <w:cantSplit w:val="false"/>
        </w:trPr>
        <w:tc>
          <w:tcPr>
            <w:tcW w:type="dxa" w:w="7621"/>
            <w:tcBorders/>
            <w:shd w:fill="auto" w:val="clear"/>
            <w:tcMar>
              <w:top w:type="dxa" w:w="0"/>
              <w:left w:type="dxa" w:w="108"/>
              <w:bottom w:type="dxa" w:w="0"/>
              <w:right w:type="dxa" w:w="108"/>
            </w:tcMar>
          </w:tcPr>
          <w:p>
            <w:pPr>
              <w:pStyle w:val="style0"/>
              <w:snapToGrid w:val="false"/>
              <w:spacing w:after="200" w:before="0" w:line="240" w:lineRule="auto"/>
            </w:pPr>
            <w:r>
              <w:rPr/>
            </w:r>
          </w:p>
        </w:tc>
        <w:tc>
          <w:tcPr>
            <w:tcW w:type="dxa" w:w="792"/>
            <w:tcBorders/>
            <w:shd w:fill="auto" w:val="clear"/>
            <w:tcMar>
              <w:top w:type="dxa" w:w="0"/>
              <w:left w:type="dxa" w:w="108"/>
              <w:bottom w:type="dxa" w:w="0"/>
              <w:right w:type="dxa" w:w="108"/>
            </w:tcMar>
          </w:tcPr>
          <w:p>
            <w:pPr>
              <w:pStyle w:val="style0"/>
              <w:spacing w:after="200" w:before="0" w:line="240" w:lineRule="auto"/>
              <w:jc w:val="center"/>
            </w:pPr>
            <w:r>
              <w:rPr/>
              <w:t>pp.</w:t>
            </w:r>
          </w:p>
        </w:tc>
      </w:tr>
      <w:tr>
        <w:trPr>
          <w:cantSplit w:val="false"/>
        </w:trPr>
        <w:tc>
          <w:tcPr>
            <w:tcW w:type="dxa" w:w="7621"/>
            <w:tcBorders/>
            <w:shd w:fill="auto" w:val="clear"/>
            <w:tcMar>
              <w:top w:type="dxa" w:w="0"/>
              <w:left w:type="dxa" w:w="108"/>
              <w:bottom w:type="dxa" w:w="0"/>
              <w:right w:type="dxa" w:w="108"/>
            </w:tcMar>
          </w:tcPr>
          <w:p>
            <w:pPr>
              <w:pStyle w:val="style0"/>
              <w:tabs>
                <w:tab w:leader="none" w:pos="1965" w:val="left"/>
              </w:tabs>
              <w:spacing w:after="200" w:before="0" w:line="240" w:lineRule="auto"/>
            </w:pPr>
            <w:r>
              <w:rPr>
                <w:rFonts w:ascii="Arial" w:cs="Arial" w:eastAsia="Arial" w:hAnsi="Arial"/>
                <w:szCs w:val="24"/>
              </w:rPr>
              <w:t xml:space="preserve"> </w:t>
            </w:r>
            <w:r>
              <w:rPr>
                <w:rFonts w:ascii="Arial" w:cs="Arial" w:hAnsi="Arial"/>
                <w:color w:val="000000"/>
                <w:szCs w:val="24"/>
              </w:rPr>
              <w:t>Figura  1  Colores del reciclaje…………………………………………………...</w:t>
            </w:r>
          </w:p>
        </w:tc>
        <w:tc>
          <w:tcPr>
            <w:tcW w:type="dxa" w:w="792"/>
            <w:tcBorders/>
            <w:shd w:fill="auto" w:val="clear"/>
            <w:tcMar>
              <w:top w:type="dxa" w:w="0"/>
              <w:left w:type="dxa" w:w="108"/>
              <w:bottom w:type="dxa" w:w="0"/>
              <w:right w:type="dxa" w:w="108"/>
            </w:tcMar>
          </w:tcPr>
          <w:p>
            <w:pPr>
              <w:pStyle w:val="style0"/>
              <w:spacing w:after="200" w:before="0" w:line="240" w:lineRule="auto"/>
              <w:jc w:val="right"/>
            </w:pPr>
            <w:r>
              <w:rPr>
                <w:rFonts w:ascii="Arial" w:cs="Arial" w:hAnsi="Arial"/>
                <w:szCs w:val="24"/>
              </w:rPr>
              <w:t>68</w:t>
            </w:r>
          </w:p>
        </w:tc>
      </w:tr>
      <w:tr>
        <w:trPr>
          <w:cantSplit w:val="false"/>
        </w:trPr>
        <w:tc>
          <w:tcPr>
            <w:tcW w:type="dxa" w:w="7621"/>
            <w:tcBorders/>
            <w:shd w:fill="auto" w:val="clear"/>
            <w:tcMar>
              <w:top w:type="dxa" w:w="0"/>
              <w:left w:type="dxa" w:w="108"/>
              <w:bottom w:type="dxa" w:w="0"/>
              <w:right w:type="dxa" w:w="108"/>
            </w:tcMar>
          </w:tcPr>
          <w:p>
            <w:pPr>
              <w:pStyle w:val="style0"/>
              <w:autoSpaceDE w:val="false"/>
              <w:spacing w:after="0" w:before="0" w:line="360" w:lineRule="auto"/>
              <w:jc w:val="both"/>
            </w:pPr>
            <w:r>
              <w:rPr>
                <w:rFonts w:ascii="Arial" w:cs="Arial" w:hAnsi="Arial"/>
                <w:color w:val="000000"/>
                <w:szCs w:val="24"/>
              </w:rPr>
              <w:t>Figura  2  Cadena de Reciclaje………………………….………………………..</w:t>
            </w:r>
          </w:p>
        </w:tc>
        <w:tc>
          <w:tcPr>
            <w:tcW w:type="dxa" w:w="792"/>
            <w:tcBorders/>
            <w:shd w:fill="auto" w:val="clear"/>
            <w:tcMar>
              <w:top w:type="dxa" w:w="0"/>
              <w:left w:type="dxa" w:w="108"/>
              <w:bottom w:type="dxa" w:w="0"/>
              <w:right w:type="dxa" w:w="108"/>
            </w:tcMar>
          </w:tcPr>
          <w:p>
            <w:pPr>
              <w:pStyle w:val="style0"/>
              <w:spacing w:after="200" w:before="0" w:line="240" w:lineRule="auto"/>
              <w:jc w:val="right"/>
            </w:pPr>
            <w:r>
              <w:rPr>
                <w:rFonts w:ascii="Arial" w:cs="Arial" w:hAnsi="Arial"/>
                <w:szCs w:val="24"/>
              </w:rPr>
              <w:t>76</w:t>
            </w:r>
          </w:p>
        </w:tc>
      </w:tr>
      <w:tr>
        <w:trPr>
          <w:cantSplit w:val="false"/>
        </w:trPr>
        <w:tc>
          <w:tcPr>
            <w:tcW w:type="dxa" w:w="7621"/>
            <w:tcBorders/>
            <w:shd w:fill="auto" w:val="clear"/>
            <w:tcMar>
              <w:top w:type="dxa" w:w="0"/>
              <w:left w:type="dxa" w:w="108"/>
              <w:bottom w:type="dxa" w:w="0"/>
              <w:right w:type="dxa" w:w="108"/>
            </w:tcMar>
          </w:tcPr>
          <w:p>
            <w:pPr>
              <w:pStyle w:val="style0"/>
              <w:spacing w:after="200" w:before="0"/>
            </w:pPr>
            <w:r>
              <w:rPr>
                <w:rFonts w:ascii="Arial" w:cs="Arial" w:eastAsia="Arial" w:hAnsi="Arial"/>
                <w:szCs w:val="24"/>
              </w:rPr>
              <w:t xml:space="preserve"> </w:t>
            </w:r>
            <w:r>
              <w:rPr>
                <w:rFonts w:ascii="Arial" w:cs="Arial" w:hAnsi="Arial"/>
                <w:szCs w:val="24"/>
                <w:lang w:val="es-ES"/>
              </w:rPr>
              <w:t>Figura 3.  División de la Administración…………………………………………</w:t>
            </w:r>
          </w:p>
        </w:tc>
        <w:tc>
          <w:tcPr>
            <w:tcW w:type="dxa" w:w="792"/>
            <w:tcBorders/>
            <w:shd w:fill="auto" w:val="clear"/>
            <w:tcMar>
              <w:top w:type="dxa" w:w="0"/>
              <w:left w:type="dxa" w:w="108"/>
              <w:bottom w:type="dxa" w:w="0"/>
              <w:right w:type="dxa" w:w="108"/>
            </w:tcMar>
          </w:tcPr>
          <w:p>
            <w:pPr>
              <w:pStyle w:val="style0"/>
              <w:spacing w:after="200" w:before="0" w:line="240" w:lineRule="auto"/>
              <w:jc w:val="right"/>
            </w:pPr>
            <w:r>
              <w:rPr>
                <w:rFonts w:ascii="Arial" w:cs="Arial" w:hAnsi="Arial"/>
                <w:szCs w:val="24"/>
              </w:rPr>
              <w:t>90</w:t>
            </w:r>
          </w:p>
        </w:tc>
      </w:tr>
      <w:tr>
        <w:trPr>
          <w:cantSplit w:val="false"/>
        </w:trPr>
        <w:tc>
          <w:tcPr>
            <w:tcW w:type="dxa" w:w="7621"/>
            <w:tcBorders/>
            <w:shd w:fill="auto" w:val="clear"/>
            <w:tcMar>
              <w:top w:type="dxa" w:w="0"/>
              <w:left w:type="dxa" w:w="108"/>
              <w:bottom w:type="dxa" w:w="0"/>
              <w:right w:type="dxa" w:w="108"/>
            </w:tcMar>
          </w:tcPr>
          <w:p>
            <w:pPr>
              <w:pStyle w:val="style0"/>
              <w:spacing w:after="0" w:before="0" w:line="360" w:lineRule="auto"/>
            </w:pPr>
            <w:r>
              <w:rPr>
                <w:rFonts w:ascii="Arial" w:cs="Arial" w:hAnsi="Arial"/>
                <w:szCs w:val="24"/>
              </w:rPr>
              <w:t>Figura Nº 4 las Funciones de la Gerencia Financiera………………………….</w:t>
            </w:r>
          </w:p>
        </w:tc>
        <w:tc>
          <w:tcPr>
            <w:tcW w:type="dxa" w:w="792"/>
            <w:tcBorders/>
            <w:shd w:fill="auto" w:val="clear"/>
            <w:tcMar>
              <w:top w:type="dxa" w:w="0"/>
              <w:left w:type="dxa" w:w="108"/>
              <w:bottom w:type="dxa" w:w="0"/>
              <w:right w:type="dxa" w:w="108"/>
            </w:tcMar>
          </w:tcPr>
          <w:p>
            <w:pPr>
              <w:pStyle w:val="style0"/>
              <w:spacing w:after="200" w:before="0" w:line="240" w:lineRule="auto"/>
              <w:jc w:val="right"/>
            </w:pPr>
            <w:r>
              <w:rPr>
                <w:rFonts w:ascii="Arial" w:cs="Arial" w:hAnsi="Arial"/>
                <w:szCs w:val="24"/>
              </w:rPr>
              <w:t>106</w:t>
            </w:r>
          </w:p>
        </w:tc>
      </w:tr>
      <w:tr>
        <w:trPr>
          <w:cantSplit w:val="false"/>
        </w:trPr>
        <w:tc>
          <w:tcPr>
            <w:tcW w:type="dxa" w:w="7621"/>
            <w:tcBorders/>
            <w:shd w:fill="auto" w:val="clear"/>
            <w:tcMar>
              <w:top w:type="dxa" w:w="0"/>
              <w:left w:type="dxa" w:w="108"/>
              <w:bottom w:type="dxa" w:w="0"/>
              <w:right w:type="dxa" w:w="108"/>
            </w:tcMar>
          </w:tcPr>
          <w:p>
            <w:pPr>
              <w:pStyle w:val="style0"/>
              <w:spacing w:after="200" w:before="0" w:line="240" w:lineRule="auto"/>
            </w:pPr>
            <w:r>
              <w:rPr>
                <w:rFonts w:ascii="Arial" w:cs="Arial" w:hAnsi="Arial"/>
                <w:szCs w:val="24"/>
              </w:rPr>
              <w:t>Figura Nº 5  Objetivos de la Gerencia Financiera. Fuente……………………</w:t>
            </w:r>
          </w:p>
        </w:tc>
        <w:tc>
          <w:tcPr>
            <w:tcW w:type="dxa" w:w="792"/>
            <w:tcBorders/>
            <w:shd w:fill="auto" w:val="clear"/>
            <w:tcMar>
              <w:top w:type="dxa" w:w="0"/>
              <w:left w:type="dxa" w:w="108"/>
              <w:bottom w:type="dxa" w:w="0"/>
              <w:right w:type="dxa" w:w="108"/>
            </w:tcMar>
          </w:tcPr>
          <w:p>
            <w:pPr>
              <w:pStyle w:val="style0"/>
              <w:spacing w:after="200" w:before="0" w:line="240" w:lineRule="auto"/>
              <w:jc w:val="right"/>
            </w:pPr>
            <w:r>
              <w:rPr>
                <w:rFonts w:ascii="Arial" w:cs="Arial" w:hAnsi="Arial"/>
                <w:szCs w:val="24"/>
              </w:rPr>
              <w:t>108</w:t>
            </w:r>
          </w:p>
        </w:tc>
      </w:tr>
      <w:tr>
        <w:trPr>
          <w:cantSplit w:val="false"/>
        </w:trPr>
        <w:tc>
          <w:tcPr>
            <w:tcW w:type="dxa" w:w="7621"/>
            <w:tcBorders/>
            <w:shd w:fill="auto" w:val="clear"/>
            <w:tcMar>
              <w:top w:type="dxa" w:w="0"/>
              <w:left w:type="dxa" w:w="108"/>
              <w:bottom w:type="dxa" w:w="0"/>
              <w:right w:type="dxa" w:w="108"/>
            </w:tcMar>
          </w:tcPr>
          <w:p>
            <w:pPr>
              <w:pStyle w:val="style0"/>
              <w:spacing w:after="0" w:before="0" w:line="240" w:lineRule="auto"/>
              <w:jc w:val="both"/>
            </w:pPr>
            <w:r>
              <w:rPr>
                <w:rFonts w:ascii="Arial" w:cs="Arial" w:hAnsi="Arial"/>
                <w:color w:val="000000"/>
                <w:szCs w:val="24"/>
              </w:rPr>
              <w:t>Figura 6 Estrategias de Comercialización……………………………………….</w:t>
            </w:r>
          </w:p>
        </w:tc>
        <w:tc>
          <w:tcPr>
            <w:tcW w:type="dxa" w:w="792"/>
            <w:tcBorders/>
            <w:shd w:fill="auto" w:val="clear"/>
            <w:tcMar>
              <w:top w:type="dxa" w:w="0"/>
              <w:left w:type="dxa" w:w="108"/>
              <w:bottom w:type="dxa" w:w="0"/>
              <w:right w:type="dxa" w:w="108"/>
            </w:tcMar>
          </w:tcPr>
          <w:p>
            <w:pPr>
              <w:pStyle w:val="style0"/>
              <w:spacing w:after="200" w:before="0" w:line="240" w:lineRule="auto"/>
              <w:jc w:val="right"/>
            </w:pPr>
            <w:r>
              <w:rPr>
                <w:rFonts w:ascii="Arial" w:cs="Arial" w:hAnsi="Arial"/>
              </w:rPr>
              <w:t>111</w:t>
            </w:r>
          </w:p>
        </w:tc>
      </w:tr>
      <w:tr>
        <w:trPr>
          <w:cantSplit w:val="false"/>
        </w:trPr>
        <w:tc>
          <w:tcPr>
            <w:tcW w:type="dxa" w:w="7621"/>
            <w:tcBorders/>
            <w:shd w:fill="auto" w:val="clear"/>
            <w:tcMar>
              <w:top w:type="dxa" w:w="0"/>
              <w:left w:type="dxa" w:w="108"/>
              <w:bottom w:type="dxa" w:w="0"/>
              <w:right w:type="dxa" w:w="108"/>
            </w:tcMar>
          </w:tcPr>
          <w:p>
            <w:pPr>
              <w:pStyle w:val="style199"/>
              <w:ind w:hanging="0" w:left="0" w:right="0"/>
              <w:jc w:val="both"/>
            </w:pPr>
            <w:r>
              <w:rPr>
                <w:rFonts w:ascii="Arial" w:cs="Arial" w:hAnsi="Arial"/>
                <w:color w:val="000000"/>
                <w:szCs w:val="24"/>
              </w:rPr>
              <w:t>Fig.  7 Unidades y  Dependencias  Involucradas en el Proceso de Enajenación ………………………………………………………………………...</w:t>
            </w:r>
          </w:p>
          <w:p>
            <w:pPr>
              <w:pStyle w:val="style0"/>
              <w:spacing w:after="0" w:before="0" w:line="240" w:lineRule="auto"/>
              <w:jc w:val="both"/>
            </w:pPr>
            <w:r>
              <w:rPr>
                <w:rFonts w:ascii="Arial" w:cs="Arial" w:hAnsi="Arial"/>
                <w:color w:val="000000"/>
                <w:szCs w:val="24"/>
              </w:rPr>
            </w:r>
          </w:p>
        </w:tc>
        <w:tc>
          <w:tcPr>
            <w:tcW w:type="dxa" w:w="792"/>
            <w:tcBorders/>
            <w:shd w:fill="auto" w:val="clear"/>
            <w:tcMar>
              <w:top w:type="dxa" w:w="0"/>
              <w:left w:type="dxa" w:w="108"/>
              <w:bottom w:type="dxa" w:w="0"/>
              <w:right w:type="dxa" w:w="108"/>
            </w:tcMar>
          </w:tcPr>
          <w:p>
            <w:pPr>
              <w:pStyle w:val="style0"/>
              <w:spacing w:after="200" w:before="0" w:line="240" w:lineRule="auto"/>
              <w:jc w:val="right"/>
            </w:pPr>
            <w:r>
              <w:rPr>
                <w:rFonts w:ascii="Arial" w:cs="Arial" w:hAnsi="Arial"/>
              </w:rPr>
              <w:t>227</w:t>
            </w:r>
          </w:p>
        </w:tc>
      </w:tr>
    </w:tbl>
    <w:p>
      <w:pPr>
        <w:pStyle w:val="style190"/>
        <w:pageBreakBefore/>
        <w:spacing w:line="360" w:lineRule="auto"/>
        <w:jc w:val="center"/>
      </w:pPr>
      <w:r>
        <w:rPr>
          <w:rFonts w:ascii="Arial" w:cs="Arial" w:hAnsi="Arial"/>
          <w:b/>
        </w:rPr>
        <w:t>INDICE DE CUADROS</w:t>
      </w:r>
    </w:p>
    <w:tbl>
      <w:tblPr>
        <w:jc w:val="center"/>
        <w:tblBorders/>
      </w:tblPr>
      <w:tblGrid>
        <w:gridCol w:w="1292"/>
        <w:gridCol w:w="6668"/>
        <w:gridCol w:w="737"/>
      </w:tblGrid>
      <w:tr>
        <w:trPr>
          <w:trHeight w:hRule="atLeast" w:val="284"/>
          <w:cantSplit w:val="false"/>
        </w:trPr>
        <w:tc>
          <w:tcPr>
            <w:tcW w:type="dxa" w:w="1292"/>
            <w:tcBorders/>
            <w:shd w:fill="auto" w:val="clear"/>
            <w:tcMar>
              <w:top w:type="dxa" w:w="0"/>
              <w:left w:type="dxa" w:w="70"/>
              <w:bottom w:type="dxa" w:w="0"/>
              <w:right w:type="dxa" w:w="70"/>
            </w:tcMar>
            <w:vAlign w:val="center"/>
          </w:tcPr>
          <w:p>
            <w:pPr>
              <w:pStyle w:val="style0"/>
              <w:spacing w:after="60" w:before="0" w:line="240" w:lineRule="auto"/>
              <w:ind w:hanging="0" w:left="0" w:right="110"/>
              <w:jc w:val="both"/>
            </w:pPr>
            <w:r>
              <w:rPr>
                <w:rFonts w:ascii="Arial" w:cs="Arial" w:hAnsi="Arial"/>
                <w:b/>
              </w:rPr>
              <w:t>CUADRO</w:t>
            </w:r>
          </w:p>
        </w:tc>
        <w:tc>
          <w:tcPr>
            <w:tcW w:type="dxa" w:w="6668"/>
            <w:tcBorders/>
            <w:shd w:fill="auto" w:val="clear"/>
            <w:tcMar>
              <w:top w:type="dxa" w:w="0"/>
              <w:left w:type="dxa" w:w="70"/>
              <w:bottom w:type="dxa" w:w="0"/>
              <w:right w:type="dxa" w:w="70"/>
            </w:tcMar>
            <w:vAlign w:val="center"/>
          </w:tcPr>
          <w:p>
            <w:pPr>
              <w:pStyle w:val="style0"/>
              <w:snapToGrid w:val="false"/>
              <w:spacing w:after="60" w:before="0" w:line="240" w:lineRule="auto"/>
              <w:ind w:hanging="0" w:left="0" w:right="110"/>
              <w:jc w:val="both"/>
            </w:pPr>
            <w:r>
              <w:rPr>
                <w:rFonts w:ascii="Arial" w:cs="Arial" w:hAnsi="Arial"/>
              </w:rPr>
            </w:r>
          </w:p>
        </w:tc>
        <w:tc>
          <w:tcPr>
            <w:tcW w:type="dxa" w:w="737"/>
            <w:tcBorders/>
            <w:shd w:fill="auto" w:val="clear"/>
            <w:tcMar>
              <w:top w:type="dxa" w:w="0"/>
              <w:left w:type="dxa" w:w="70"/>
              <w:bottom w:type="dxa" w:w="0"/>
              <w:right w:type="dxa" w:w="70"/>
            </w:tcMar>
            <w:vAlign w:val="bottom"/>
          </w:tcPr>
          <w:p>
            <w:pPr>
              <w:pStyle w:val="style0"/>
              <w:spacing w:after="60" w:before="0" w:line="240" w:lineRule="auto"/>
              <w:jc w:val="center"/>
            </w:pPr>
            <w:r>
              <w:rPr>
                <w:rFonts w:ascii="Arial" w:cs="Arial" w:hAnsi="Arial"/>
              </w:rPr>
              <w:t>Pp</w:t>
            </w:r>
          </w:p>
        </w:tc>
      </w:tr>
      <w:tr>
        <w:trPr>
          <w:trHeight w:hRule="atLeast" w:val="284"/>
          <w:cantSplit w:val="false"/>
        </w:trPr>
        <w:tc>
          <w:tcPr>
            <w:tcW w:type="dxa" w:w="1292"/>
            <w:tcBorders/>
            <w:shd w:fill="auto" w:val="clear"/>
            <w:tcMar>
              <w:top w:type="dxa" w:w="0"/>
              <w:left w:type="dxa" w:w="70"/>
              <w:bottom w:type="dxa" w:w="0"/>
              <w:right w:type="dxa" w:w="70"/>
            </w:tcMar>
            <w:vAlign w:val="center"/>
          </w:tcPr>
          <w:p>
            <w:pPr>
              <w:pStyle w:val="style0"/>
              <w:numPr>
                <w:ilvl w:val="0"/>
                <w:numId w:val="47"/>
              </w:numPr>
              <w:snapToGrid w:val="false"/>
              <w:spacing w:after="60" w:before="0" w:line="240" w:lineRule="auto"/>
              <w:ind w:hanging="360" w:left="720" w:right="110"/>
              <w:jc w:val="both"/>
            </w:pPr>
            <w:r>
              <w:rPr>
                <w:rFonts w:ascii="Arial" w:cs="Arial" w:hAnsi="Arial"/>
              </w:rPr>
            </w:r>
          </w:p>
        </w:tc>
        <w:tc>
          <w:tcPr>
            <w:tcW w:type="dxa" w:w="6668"/>
            <w:tcBorders/>
            <w:shd w:fill="auto" w:val="clear"/>
            <w:tcMar>
              <w:top w:type="dxa" w:w="0"/>
              <w:left w:type="dxa" w:w="70"/>
              <w:bottom w:type="dxa" w:w="0"/>
              <w:right w:type="dxa" w:w="70"/>
            </w:tcMar>
            <w:vAlign w:val="center"/>
          </w:tcPr>
          <w:p>
            <w:pPr>
              <w:pStyle w:val="style0"/>
              <w:spacing w:after="60" w:before="0" w:line="240" w:lineRule="auto"/>
              <w:ind w:hanging="0" w:left="0" w:right="110"/>
              <w:jc w:val="both"/>
            </w:pPr>
            <w:r>
              <w:rPr>
                <w:rFonts w:ascii="Arial" w:cs="Arial" w:hAnsi="Arial"/>
              </w:rPr>
              <w:t>Población……………………………………………………………….</w:t>
            </w:r>
          </w:p>
        </w:tc>
        <w:tc>
          <w:tcPr>
            <w:tcW w:type="dxa" w:w="737"/>
            <w:tcBorders/>
            <w:shd w:fill="auto" w:val="clear"/>
            <w:tcMar>
              <w:top w:type="dxa" w:w="0"/>
              <w:left w:type="dxa" w:w="70"/>
              <w:bottom w:type="dxa" w:w="0"/>
              <w:right w:type="dxa" w:w="70"/>
            </w:tcMar>
            <w:vAlign w:val="bottom"/>
          </w:tcPr>
          <w:p>
            <w:pPr>
              <w:pStyle w:val="style0"/>
              <w:spacing w:after="60" w:before="0" w:line="240" w:lineRule="auto"/>
              <w:jc w:val="center"/>
            </w:pPr>
            <w:r>
              <w:rPr>
                <w:rFonts w:ascii="Arial" w:cs="Arial" w:hAnsi="Arial"/>
              </w:rPr>
              <w:t>147</w:t>
            </w:r>
          </w:p>
        </w:tc>
      </w:tr>
      <w:tr>
        <w:trPr>
          <w:trHeight w:hRule="atLeast" w:val="284"/>
          <w:cantSplit w:val="false"/>
        </w:trPr>
        <w:tc>
          <w:tcPr>
            <w:tcW w:type="dxa" w:w="1292"/>
            <w:tcBorders/>
            <w:shd w:fill="auto" w:val="clear"/>
            <w:tcMar>
              <w:top w:type="dxa" w:w="0"/>
              <w:left w:type="dxa" w:w="70"/>
              <w:bottom w:type="dxa" w:w="0"/>
              <w:right w:type="dxa" w:w="70"/>
            </w:tcMar>
            <w:vAlign w:val="center"/>
          </w:tcPr>
          <w:p>
            <w:pPr>
              <w:pStyle w:val="style0"/>
              <w:numPr>
                <w:ilvl w:val="0"/>
                <w:numId w:val="47"/>
              </w:numPr>
              <w:snapToGrid w:val="false"/>
              <w:spacing w:after="60" w:before="0" w:line="240" w:lineRule="auto"/>
              <w:ind w:hanging="360" w:left="720" w:right="110"/>
              <w:jc w:val="both"/>
            </w:pPr>
            <w:r>
              <w:rPr>
                <w:rFonts w:ascii="Arial" w:cs="Arial" w:hAnsi="Arial"/>
              </w:rPr>
            </w:r>
          </w:p>
        </w:tc>
        <w:tc>
          <w:tcPr>
            <w:tcW w:type="dxa" w:w="6668"/>
            <w:tcBorders/>
            <w:shd w:fill="auto" w:val="clear"/>
            <w:tcMar>
              <w:top w:type="dxa" w:w="0"/>
              <w:left w:type="dxa" w:w="70"/>
              <w:bottom w:type="dxa" w:w="0"/>
              <w:right w:type="dxa" w:w="70"/>
            </w:tcMar>
            <w:vAlign w:val="center"/>
          </w:tcPr>
          <w:p>
            <w:pPr>
              <w:pStyle w:val="style0"/>
              <w:spacing w:after="60" w:before="0" w:line="240" w:lineRule="auto"/>
              <w:ind w:hanging="0" w:left="0" w:right="110"/>
            </w:pPr>
            <w:r>
              <w:rPr>
                <w:rFonts w:ascii="Arial" w:cs="Arial" w:hAnsi="Arial"/>
              </w:rPr>
              <w:t>Operacionalización  de variables…...………………………………...</w:t>
            </w:r>
          </w:p>
        </w:tc>
        <w:tc>
          <w:tcPr>
            <w:tcW w:type="dxa" w:w="737"/>
            <w:tcBorders/>
            <w:shd w:fill="auto" w:val="clear"/>
            <w:tcMar>
              <w:top w:type="dxa" w:w="0"/>
              <w:left w:type="dxa" w:w="70"/>
              <w:bottom w:type="dxa" w:w="0"/>
              <w:right w:type="dxa" w:w="70"/>
            </w:tcMar>
            <w:vAlign w:val="bottom"/>
          </w:tcPr>
          <w:p>
            <w:pPr>
              <w:pStyle w:val="style0"/>
              <w:spacing w:after="60" w:before="0" w:line="240" w:lineRule="auto"/>
              <w:jc w:val="center"/>
            </w:pPr>
            <w:r>
              <w:rPr>
                <w:rFonts w:ascii="Arial" w:cs="Arial" w:hAnsi="Arial"/>
              </w:rPr>
              <w:t>154</w:t>
            </w:r>
          </w:p>
        </w:tc>
      </w:tr>
      <w:tr>
        <w:trPr>
          <w:trHeight w:hRule="atLeast" w:val="284"/>
          <w:cantSplit w:val="false"/>
        </w:trPr>
        <w:tc>
          <w:tcPr>
            <w:tcW w:type="dxa" w:w="1292"/>
            <w:tcBorders/>
            <w:shd w:fill="auto" w:val="clear"/>
            <w:tcMar>
              <w:top w:type="dxa" w:w="0"/>
              <w:left w:type="dxa" w:w="70"/>
              <w:bottom w:type="dxa" w:w="0"/>
              <w:right w:type="dxa" w:w="70"/>
            </w:tcMar>
            <w:vAlign w:val="center"/>
          </w:tcPr>
          <w:p>
            <w:pPr>
              <w:pStyle w:val="style0"/>
              <w:numPr>
                <w:ilvl w:val="0"/>
                <w:numId w:val="47"/>
              </w:numPr>
              <w:snapToGrid w:val="false"/>
              <w:spacing w:after="60" w:before="0" w:line="240" w:lineRule="auto"/>
              <w:ind w:hanging="360" w:left="720" w:right="110"/>
              <w:jc w:val="both"/>
            </w:pPr>
            <w:r>
              <w:rPr>
                <w:rFonts w:ascii="Arial" w:cs="Arial" w:hAnsi="Arial"/>
              </w:rPr>
            </w:r>
          </w:p>
        </w:tc>
        <w:tc>
          <w:tcPr>
            <w:tcW w:type="dxa" w:w="6668"/>
            <w:tcBorders/>
            <w:shd w:fill="auto" w:val="clear"/>
            <w:tcMar>
              <w:top w:type="dxa" w:w="0"/>
              <w:left w:type="dxa" w:w="70"/>
              <w:bottom w:type="dxa" w:w="0"/>
              <w:right w:type="dxa" w:w="70"/>
            </w:tcMar>
            <w:vAlign w:val="center"/>
          </w:tcPr>
          <w:p>
            <w:pPr>
              <w:pStyle w:val="style0"/>
              <w:spacing w:after="60" w:before="0" w:line="240" w:lineRule="auto"/>
              <w:ind w:hanging="0" w:left="0" w:right="110"/>
              <w:jc w:val="both"/>
            </w:pPr>
            <w:r>
              <w:rPr>
                <w:rFonts w:ascii="Arial" w:cs="Arial" w:eastAsia="Arial" w:hAnsi="Arial"/>
              </w:rPr>
              <w:t xml:space="preserve"> </w:t>
            </w:r>
            <w:r>
              <w:rPr>
                <w:rFonts w:ascii="Arial" w:cs="Arial" w:hAnsi="Arial"/>
              </w:rPr>
              <w:t>Operacionalización  de variables…………………………………….</w:t>
            </w:r>
          </w:p>
        </w:tc>
        <w:tc>
          <w:tcPr>
            <w:tcW w:type="dxa" w:w="737"/>
            <w:tcBorders/>
            <w:shd w:fill="auto" w:val="clear"/>
            <w:tcMar>
              <w:top w:type="dxa" w:w="0"/>
              <w:left w:type="dxa" w:w="70"/>
              <w:bottom w:type="dxa" w:w="0"/>
              <w:right w:type="dxa" w:w="70"/>
            </w:tcMar>
            <w:vAlign w:val="bottom"/>
          </w:tcPr>
          <w:p>
            <w:pPr>
              <w:pStyle w:val="style0"/>
              <w:spacing w:after="60" w:before="0" w:line="240" w:lineRule="auto"/>
              <w:jc w:val="center"/>
            </w:pPr>
            <w:r>
              <w:rPr>
                <w:rFonts w:ascii="Arial" w:cs="Arial" w:hAnsi="Arial"/>
              </w:rPr>
              <w:t>155</w:t>
            </w:r>
          </w:p>
        </w:tc>
      </w:tr>
      <w:tr>
        <w:trPr>
          <w:trHeight w:hRule="atLeast" w:val="284"/>
          <w:cantSplit w:val="false"/>
        </w:trPr>
        <w:tc>
          <w:tcPr>
            <w:tcW w:type="dxa" w:w="1292"/>
            <w:tcBorders/>
            <w:shd w:fill="auto" w:val="clear"/>
            <w:tcMar>
              <w:top w:type="dxa" w:w="0"/>
              <w:left w:type="dxa" w:w="70"/>
              <w:bottom w:type="dxa" w:w="0"/>
              <w:right w:type="dxa" w:w="70"/>
            </w:tcMar>
            <w:vAlign w:val="center"/>
          </w:tcPr>
          <w:p>
            <w:pPr>
              <w:pStyle w:val="style0"/>
              <w:numPr>
                <w:ilvl w:val="0"/>
                <w:numId w:val="47"/>
              </w:numPr>
              <w:snapToGrid w:val="false"/>
              <w:spacing w:after="60" w:before="0" w:line="240" w:lineRule="auto"/>
              <w:ind w:hanging="360" w:left="720" w:right="110"/>
              <w:jc w:val="both"/>
            </w:pPr>
            <w:r>
              <w:rPr>
                <w:rFonts w:ascii="Arial" w:cs="Arial" w:hAnsi="Arial"/>
              </w:rPr>
            </w:r>
          </w:p>
        </w:tc>
        <w:tc>
          <w:tcPr>
            <w:tcW w:type="dxa" w:w="6668"/>
            <w:tcBorders/>
            <w:shd w:fill="auto" w:val="clear"/>
            <w:tcMar>
              <w:top w:type="dxa" w:w="0"/>
              <w:left w:type="dxa" w:w="70"/>
              <w:bottom w:type="dxa" w:w="0"/>
              <w:right w:type="dxa" w:w="70"/>
            </w:tcMar>
            <w:vAlign w:val="center"/>
          </w:tcPr>
          <w:p>
            <w:pPr>
              <w:pStyle w:val="style0"/>
              <w:spacing w:after="60" w:before="0" w:line="240" w:lineRule="auto"/>
              <w:ind w:hanging="0" w:left="0" w:right="110"/>
              <w:jc w:val="both"/>
            </w:pPr>
            <w:r>
              <w:rPr>
                <w:rFonts w:ascii="Arial" w:cs="Arial" w:hAnsi="Arial"/>
                <w:bCs/>
              </w:rPr>
              <w:t xml:space="preserve">Conocimiento  de la situación de  los  </w:t>
            </w:r>
            <w:r>
              <w:rPr>
                <w:rFonts w:ascii="Arial" w:cs="Arial" w:hAnsi="Arial"/>
                <w:shd w:fill="FFFFFF" w:val="clear"/>
              </w:rPr>
              <w:t>bienes en condición de  deterioro, obsolescencia y corrosión en los Estados Financieros de la institución como Activo Propiedad, Planta y Equipo</w:t>
            </w:r>
            <w:r>
              <w:rPr>
                <w:rFonts w:ascii="Arial" w:cs="Arial" w:hAnsi="Arial"/>
              </w:rPr>
              <w:t>.………..</w:t>
            </w:r>
          </w:p>
        </w:tc>
        <w:tc>
          <w:tcPr>
            <w:tcW w:type="dxa" w:w="737"/>
            <w:tcBorders/>
            <w:shd w:fill="auto" w:val="clear"/>
            <w:tcMar>
              <w:top w:type="dxa" w:w="0"/>
              <w:left w:type="dxa" w:w="70"/>
              <w:bottom w:type="dxa" w:w="0"/>
              <w:right w:type="dxa" w:w="70"/>
            </w:tcMar>
            <w:vAlign w:val="bottom"/>
          </w:tcPr>
          <w:p>
            <w:pPr>
              <w:pStyle w:val="style0"/>
              <w:spacing w:after="60" w:before="0" w:line="240" w:lineRule="auto"/>
              <w:jc w:val="center"/>
            </w:pPr>
            <w:r>
              <w:rPr>
                <w:rFonts w:ascii="Arial" w:cs="Arial" w:hAnsi="Arial"/>
              </w:rPr>
              <w:t>159</w:t>
            </w:r>
          </w:p>
        </w:tc>
      </w:tr>
      <w:tr>
        <w:trPr>
          <w:trHeight w:hRule="atLeast" w:val="284"/>
          <w:cantSplit w:val="false"/>
        </w:trPr>
        <w:tc>
          <w:tcPr>
            <w:tcW w:type="dxa" w:w="1292"/>
            <w:tcBorders/>
            <w:shd w:fill="auto" w:val="clear"/>
            <w:tcMar>
              <w:top w:type="dxa" w:w="0"/>
              <w:left w:type="dxa" w:w="70"/>
              <w:bottom w:type="dxa" w:w="0"/>
              <w:right w:type="dxa" w:w="70"/>
            </w:tcMar>
            <w:vAlign w:val="center"/>
          </w:tcPr>
          <w:p>
            <w:pPr>
              <w:pStyle w:val="style0"/>
              <w:numPr>
                <w:ilvl w:val="0"/>
                <w:numId w:val="47"/>
              </w:numPr>
              <w:snapToGrid w:val="false"/>
              <w:spacing w:after="60" w:before="0" w:line="240" w:lineRule="auto"/>
              <w:ind w:hanging="360" w:left="720" w:right="110"/>
              <w:jc w:val="both"/>
            </w:pPr>
            <w:r>
              <w:rPr>
                <w:rFonts w:ascii="Arial" w:cs="Arial" w:hAnsi="Arial"/>
              </w:rPr>
            </w:r>
          </w:p>
        </w:tc>
        <w:tc>
          <w:tcPr>
            <w:tcW w:type="dxa" w:w="6668"/>
            <w:tcBorders/>
            <w:shd w:fill="auto" w:val="clear"/>
            <w:tcMar>
              <w:top w:type="dxa" w:w="0"/>
              <w:left w:type="dxa" w:w="70"/>
              <w:bottom w:type="dxa" w:w="0"/>
              <w:right w:type="dxa" w:w="70"/>
            </w:tcMar>
            <w:vAlign w:val="center"/>
          </w:tcPr>
          <w:p>
            <w:pPr>
              <w:pStyle w:val="style0"/>
              <w:spacing w:after="60" w:before="0" w:line="240" w:lineRule="auto"/>
              <w:ind w:hanging="0" w:left="0" w:right="110"/>
              <w:jc w:val="both"/>
            </w:pPr>
            <w:r>
              <w:rPr>
                <w:rFonts w:ascii="Arial" w:cs="Arial" w:hAnsi="Arial"/>
                <w:bCs/>
              </w:rPr>
              <w:t xml:space="preserve">Consulta  sobre la depuración de </w:t>
            </w:r>
            <w:r>
              <w:rPr>
                <w:rFonts w:ascii="Arial" w:cs="Arial" w:hAnsi="Arial"/>
                <w:shd w:fill="FFFFFF" w:val="clear"/>
              </w:rPr>
              <w:t>los Estados Financieros de la Institución con respecto a los Bienes Nacionales en estado de Deterioro, obsolescencia y corrosión</w:t>
            </w:r>
            <w:r>
              <w:rPr>
                <w:rFonts w:ascii="Arial" w:cs="Arial" w:hAnsi="Arial"/>
              </w:rPr>
              <w:t>…….…………………………</w:t>
            </w:r>
          </w:p>
        </w:tc>
        <w:tc>
          <w:tcPr>
            <w:tcW w:type="dxa" w:w="737"/>
            <w:tcBorders/>
            <w:shd w:fill="auto" w:val="clear"/>
            <w:tcMar>
              <w:top w:type="dxa" w:w="0"/>
              <w:left w:type="dxa" w:w="70"/>
              <w:bottom w:type="dxa" w:w="0"/>
              <w:right w:type="dxa" w:w="70"/>
            </w:tcMar>
            <w:vAlign w:val="bottom"/>
          </w:tcPr>
          <w:p>
            <w:pPr>
              <w:pStyle w:val="style0"/>
              <w:spacing w:after="60" w:before="0" w:line="240" w:lineRule="auto"/>
              <w:jc w:val="center"/>
            </w:pPr>
            <w:r>
              <w:rPr>
                <w:rFonts w:ascii="Arial" w:cs="Arial" w:hAnsi="Arial"/>
              </w:rPr>
              <w:t>162</w:t>
            </w:r>
          </w:p>
        </w:tc>
      </w:tr>
      <w:tr>
        <w:trPr>
          <w:trHeight w:hRule="atLeast" w:val="284"/>
          <w:cantSplit w:val="false"/>
        </w:trPr>
        <w:tc>
          <w:tcPr>
            <w:tcW w:type="dxa" w:w="1292"/>
            <w:tcBorders/>
            <w:shd w:fill="auto" w:val="clear"/>
            <w:tcMar>
              <w:top w:type="dxa" w:w="0"/>
              <w:left w:type="dxa" w:w="70"/>
              <w:bottom w:type="dxa" w:w="0"/>
              <w:right w:type="dxa" w:w="70"/>
            </w:tcMar>
            <w:vAlign w:val="center"/>
          </w:tcPr>
          <w:p>
            <w:pPr>
              <w:pStyle w:val="style0"/>
              <w:numPr>
                <w:ilvl w:val="0"/>
                <w:numId w:val="47"/>
              </w:numPr>
              <w:snapToGrid w:val="false"/>
              <w:spacing w:after="60" w:before="0" w:line="240" w:lineRule="auto"/>
              <w:ind w:hanging="360" w:left="720" w:right="110"/>
              <w:jc w:val="both"/>
            </w:pPr>
            <w:r>
              <w:rPr>
                <w:rFonts w:ascii="Arial" w:cs="Arial" w:hAnsi="Arial"/>
              </w:rPr>
            </w:r>
          </w:p>
        </w:tc>
        <w:tc>
          <w:tcPr>
            <w:tcW w:type="dxa" w:w="6668"/>
            <w:tcBorders/>
            <w:shd w:fill="auto" w:val="clear"/>
            <w:tcMar>
              <w:top w:type="dxa" w:w="0"/>
              <w:left w:type="dxa" w:w="70"/>
              <w:bottom w:type="dxa" w:w="0"/>
              <w:right w:type="dxa" w:w="70"/>
            </w:tcMar>
            <w:vAlign w:val="center"/>
          </w:tcPr>
          <w:p>
            <w:pPr>
              <w:pStyle w:val="style0"/>
              <w:spacing w:after="60" w:before="0" w:line="240" w:lineRule="auto"/>
              <w:ind w:hanging="0" w:left="0" w:right="110"/>
              <w:jc w:val="both"/>
            </w:pPr>
            <w:r>
              <w:rPr>
                <w:rFonts w:ascii="Arial" w:cs="Arial" w:hAnsi="Arial"/>
                <w:bCs/>
              </w:rPr>
              <w:t xml:space="preserve">Conocimiento de la existencia de una </w:t>
            </w:r>
            <w:r>
              <w:rPr>
                <w:rFonts w:ascii="Arial" w:cs="Arial" w:hAnsi="Arial"/>
                <w:shd w:fill="FFFFFF" w:val="clear"/>
              </w:rPr>
              <w:t xml:space="preserve">  Comisión designada por el Cuerpo Directivo, y  que este  avalada por la Superintendencia de Bienes Públicos que</w:t>
            </w:r>
            <w:r>
              <w:rPr>
                <w:rFonts w:ascii="Arial" w:cs="Arial" w:hAnsi="Arial"/>
              </w:rPr>
              <w:t xml:space="preserve"> garantice el éxito del proceso de </w:t>
            </w:r>
            <w:r>
              <w:rPr>
                <w:rFonts w:ascii="Arial" w:cs="Arial" w:hAnsi="Arial"/>
                <w:shd w:fill="FFFFFF" w:val="clear"/>
              </w:rPr>
              <w:t>desincorporación de los Bienes Nacionales</w:t>
            </w:r>
            <w:r>
              <w:rPr>
                <w:rFonts w:ascii="Arial" w:cs="Arial" w:hAnsi="Arial"/>
              </w:rPr>
              <w:t>.……………………..</w:t>
            </w:r>
          </w:p>
        </w:tc>
        <w:tc>
          <w:tcPr>
            <w:tcW w:type="dxa" w:w="737"/>
            <w:tcBorders/>
            <w:shd w:fill="auto" w:val="clear"/>
            <w:tcMar>
              <w:top w:type="dxa" w:w="0"/>
              <w:left w:type="dxa" w:w="70"/>
              <w:bottom w:type="dxa" w:w="0"/>
              <w:right w:type="dxa" w:w="70"/>
            </w:tcMar>
            <w:vAlign w:val="bottom"/>
          </w:tcPr>
          <w:p>
            <w:pPr>
              <w:pStyle w:val="style0"/>
              <w:spacing w:after="60" w:before="0" w:line="240" w:lineRule="auto"/>
              <w:jc w:val="center"/>
            </w:pPr>
            <w:r>
              <w:rPr>
                <w:rFonts w:ascii="Arial" w:cs="Arial" w:hAnsi="Arial"/>
              </w:rPr>
              <w:t>164</w:t>
            </w:r>
          </w:p>
        </w:tc>
      </w:tr>
      <w:tr>
        <w:trPr>
          <w:trHeight w:hRule="atLeast" w:val="284"/>
          <w:cantSplit w:val="false"/>
        </w:trPr>
        <w:tc>
          <w:tcPr>
            <w:tcW w:type="dxa" w:w="1292"/>
            <w:tcBorders/>
            <w:shd w:fill="auto" w:val="clear"/>
            <w:tcMar>
              <w:top w:type="dxa" w:w="0"/>
              <w:left w:type="dxa" w:w="70"/>
              <w:bottom w:type="dxa" w:w="0"/>
              <w:right w:type="dxa" w:w="70"/>
            </w:tcMar>
            <w:vAlign w:val="center"/>
          </w:tcPr>
          <w:p>
            <w:pPr>
              <w:pStyle w:val="style0"/>
              <w:numPr>
                <w:ilvl w:val="0"/>
                <w:numId w:val="47"/>
              </w:numPr>
              <w:snapToGrid w:val="false"/>
              <w:spacing w:after="60" w:before="0" w:line="240" w:lineRule="auto"/>
              <w:ind w:hanging="360" w:left="720" w:right="110"/>
              <w:jc w:val="both"/>
            </w:pPr>
            <w:r>
              <w:rPr>
                <w:rFonts w:ascii="Arial" w:cs="Arial" w:hAnsi="Arial"/>
              </w:rPr>
            </w:r>
          </w:p>
        </w:tc>
        <w:tc>
          <w:tcPr>
            <w:tcW w:type="dxa" w:w="6668"/>
            <w:tcBorders/>
            <w:shd w:fill="auto" w:val="clear"/>
            <w:tcMar>
              <w:top w:type="dxa" w:w="0"/>
              <w:left w:type="dxa" w:w="70"/>
              <w:bottom w:type="dxa" w:w="0"/>
              <w:right w:type="dxa" w:w="70"/>
            </w:tcMar>
            <w:vAlign w:val="center"/>
          </w:tcPr>
          <w:p>
            <w:pPr>
              <w:pStyle w:val="style0"/>
              <w:spacing w:after="60" w:before="0" w:line="240" w:lineRule="auto"/>
              <w:ind w:hanging="0" w:left="0" w:right="110"/>
              <w:jc w:val="both"/>
            </w:pPr>
            <w:r>
              <w:rPr>
                <w:rFonts w:ascii="Arial" w:cs="Arial" w:hAnsi="Arial"/>
                <w:bCs/>
              </w:rPr>
              <w:t>Opinión sobre los beneficios económicos que proporcionara la enajenación</w:t>
            </w:r>
            <w:r>
              <w:rPr>
                <w:rStyle w:val="style168"/>
                <w:rFonts w:ascii="Arial" w:cs="Arial" w:hAnsi="Arial"/>
                <w:color w:val="262626"/>
                <w:shd w:fill="FFFFFF" w:val="clear"/>
              </w:rPr>
              <w:t xml:space="preserve">, permuta o donación de   los </w:t>
            </w:r>
            <w:r>
              <w:rPr>
                <w:rFonts w:ascii="Arial" w:cs="Arial" w:hAnsi="Arial"/>
                <w:color w:val="000000"/>
                <w:shd w:fill="FFFFFF" w:val="clear"/>
              </w:rPr>
              <w:t>Bienes Nacionales,  en Estado de Obsolescencia, deterioro y corrosión</w:t>
            </w:r>
            <w:r>
              <w:rPr>
                <w:rFonts w:ascii="Arial" w:cs="Arial" w:hAnsi="Arial"/>
                <w:bCs/>
              </w:rPr>
              <w:t xml:space="preserve">  </w:t>
            </w:r>
            <w:r>
              <w:rPr>
                <w:rFonts w:ascii="Arial" w:cs="Arial" w:hAnsi="Arial"/>
              </w:rPr>
              <w:t>….………………</w:t>
            </w:r>
          </w:p>
        </w:tc>
        <w:tc>
          <w:tcPr>
            <w:tcW w:type="dxa" w:w="737"/>
            <w:tcBorders/>
            <w:shd w:fill="auto" w:val="clear"/>
            <w:tcMar>
              <w:top w:type="dxa" w:w="0"/>
              <w:left w:type="dxa" w:w="70"/>
              <w:bottom w:type="dxa" w:w="0"/>
              <w:right w:type="dxa" w:w="70"/>
            </w:tcMar>
            <w:vAlign w:val="bottom"/>
          </w:tcPr>
          <w:p>
            <w:pPr>
              <w:pStyle w:val="style0"/>
              <w:spacing w:after="60" w:before="0" w:line="240" w:lineRule="auto"/>
              <w:jc w:val="center"/>
            </w:pPr>
            <w:r>
              <w:rPr>
                <w:rFonts w:ascii="Arial" w:cs="Arial" w:hAnsi="Arial"/>
              </w:rPr>
              <w:t>167</w:t>
            </w:r>
          </w:p>
        </w:tc>
      </w:tr>
      <w:tr>
        <w:trPr>
          <w:trHeight w:hRule="atLeast" w:val="284"/>
          <w:cantSplit w:val="false"/>
        </w:trPr>
        <w:tc>
          <w:tcPr>
            <w:tcW w:type="dxa" w:w="1292"/>
            <w:tcBorders/>
            <w:shd w:fill="auto" w:val="clear"/>
            <w:tcMar>
              <w:top w:type="dxa" w:w="0"/>
              <w:left w:type="dxa" w:w="70"/>
              <w:bottom w:type="dxa" w:w="0"/>
              <w:right w:type="dxa" w:w="70"/>
            </w:tcMar>
            <w:vAlign w:val="center"/>
          </w:tcPr>
          <w:p>
            <w:pPr>
              <w:pStyle w:val="style0"/>
              <w:numPr>
                <w:ilvl w:val="0"/>
                <w:numId w:val="47"/>
              </w:numPr>
              <w:snapToGrid w:val="false"/>
              <w:spacing w:after="60" w:before="0" w:line="240" w:lineRule="auto"/>
              <w:ind w:hanging="360" w:left="720" w:right="110"/>
              <w:jc w:val="both"/>
            </w:pPr>
            <w:r>
              <w:rPr>
                <w:rFonts w:ascii="Arial" w:cs="Arial" w:hAnsi="Arial"/>
              </w:rPr>
            </w:r>
          </w:p>
        </w:tc>
        <w:tc>
          <w:tcPr>
            <w:tcW w:type="dxa" w:w="6668"/>
            <w:tcBorders/>
            <w:shd w:fill="auto" w:val="clear"/>
            <w:tcMar>
              <w:top w:type="dxa" w:w="0"/>
              <w:left w:type="dxa" w:w="70"/>
              <w:bottom w:type="dxa" w:w="0"/>
              <w:right w:type="dxa" w:w="70"/>
            </w:tcMar>
            <w:vAlign w:val="center"/>
          </w:tcPr>
          <w:p>
            <w:pPr>
              <w:pStyle w:val="style0"/>
              <w:spacing w:after="60" w:before="0" w:line="240" w:lineRule="auto"/>
              <w:ind w:hanging="0" w:left="0" w:right="110"/>
              <w:jc w:val="both"/>
            </w:pPr>
            <w:r>
              <w:rPr>
                <w:rFonts w:ascii="Arial" w:cs="Arial" w:hAnsi="Arial"/>
                <w:bCs/>
              </w:rPr>
              <w:t>Conocimiento sobre reutilización de materiales usados</w:t>
            </w:r>
            <w:r>
              <w:rPr>
                <w:rFonts w:ascii="Arial" w:cs="Arial" w:hAnsi="Arial"/>
              </w:rPr>
              <w:t>…………</w:t>
            </w:r>
          </w:p>
        </w:tc>
        <w:tc>
          <w:tcPr>
            <w:tcW w:type="dxa" w:w="737"/>
            <w:tcBorders/>
            <w:shd w:fill="auto" w:val="clear"/>
            <w:tcMar>
              <w:top w:type="dxa" w:w="0"/>
              <w:left w:type="dxa" w:w="70"/>
              <w:bottom w:type="dxa" w:w="0"/>
              <w:right w:type="dxa" w:w="70"/>
            </w:tcMar>
            <w:vAlign w:val="bottom"/>
          </w:tcPr>
          <w:p>
            <w:pPr>
              <w:pStyle w:val="style0"/>
              <w:spacing w:after="60" w:before="0" w:line="240" w:lineRule="auto"/>
              <w:jc w:val="center"/>
            </w:pPr>
            <w:r>
              <w:rPr>
                <w:rFonts w:ascii="Arial" w:cs="Arial" w:hAnsi="Arial"/>
              </w:rPr>
              <w:t>169</w:t>
            </w:r>
          </w:p>
        </w:tc>
      </w:tr>
      <w:tr>
        <w:trPr>
          <w:trHeight w:hRule="atLeast" w:val="284"/>
          <w:cantSplit w:val="false"/>
        </w:trPr>
        <w:tc>
          <w:tcPr>
            <w:tcW w:type="dxa" w:w="1292"/>
            <w:tcBorders/>
            <w:shd w:fill="auto" w:val="clear"/>
            <w:tcMar>
              <w:top w:type="dxa" w:w="0"/>
              <w:left w:type="dxa" w:w="70"/>
              <w:bottom w:type="dxa" w:w="0"/>
              <w:right w:type="dxa" w:w="70"/>
            </w:tcMar>
            <w:vAlign w:val="center"/>
          </w:tcPr>
          <w:p>
            <w:pPr>
              <w:pStyle w:val="style0"/>
              <w:numPr>
                <w:ilvl w:val="0"/>
                <w:numId w:val="47"/>
              </w:numPr>
              <w:snapToGrid w:val="false"/>
              <w:spacing w:after="60" w:before="0" w:line="240" w:lineRule="auto"/>
              <w:ind w:hanging="360" w:left="720" w:right="110"/>
              <w:jc w:val="both"/>
            </w:pPr>
            <w:r>
              <w:rPr>
                <w:rFonts w:ascii="Arial" w:cs="Arial" w:hAnsi="Arial"/>
              </w:rPr>
            </w:r>
          </w:p>
        </w:tc>
        <w:tc>
          <w:tcPr>
            <w:tcW w:type="dxa" w:w="6668"/>
            <w:tcBorders/>
            <w:shd w:fill="auto" w:val="clear"/>
            <w:tcMar>
              <w:top w:type="dxa" w:w="0"/>
              <w:left w:type="dxa" w:w="70"/>
              <w:bottom w:type="dxa" w:w="0"/>
              <w:right w:type="dxa" w:w="70"/>
            </w:tcMar>
            <w:vAlign w:val="center"/>
          </w:tcPr>
          <w:p>
            <w:pPr>
              <w:pStyle w:val="style0"/>
              <w:spacing w:after="60" w:before="0" w:line="240" w:lineRule="auto"/>
              <w:ind w:hanging="0" w:left="0" w:right="110"/>
              <w:jc w:val="both"/>
            </w:pPr>
            <w:r>
              <w:rPr>
                <w:rFonts w:ascii="Arial" w:cs="Arial" w:hAnsi="Arial"/>
                <w:bCs/>
                <w:color w:val="000000"/>
              </w:rPr>
              <w:t>Conocimiento sobre el reciclar el metal</w:t>
            </w:r>
            <w:r>
              <w:rPr>
                <w:rFonts w:ascii="Arial" w:cs="Arial" w:hAnsi="Arial"/>
              </w:rPr>
              <w:t>…………………………….</w:t>
            </w:r>
          </w:p>
        </w:tc>
        <w:tc>
          <w:tcPr>
            <w:tcW w:type="dxa" w:w="737"/>
            <w:tcBorders/>
            <w:shd w:fill="auto" w:val="clear"/>
            <w:tcMar>
              <w:top w:type="dxa" w:w="0"/>
              <w:left w:type="dxa" w:w="70"/>
              <w:bottom w:type="dxa" w:w="0"/>
              <w:right w:type="dxa" w:w="70"/>
            </w:tcMar>
            <w:vAlign w:val="bottom"/>
          </w:tcPr>
          <w:p>
            <w:pPr>
              <w:pStyle w:val="style0"/>
              <w:spacing w:after="60" w:before="0" w:line="240" w:lineRule="auto"/>
              <w:jc w:val="center"/>
            </w:pPr>
            <w:r>
              <w:rPr>
                <w:rFonts w:ascii="Arial" w:cs="Arial" w:hAnsi="Arial"/>
              </w:rPr>
              <w:t>171</w:t>
            </w:r>
          </w:p>
        </w:tc>
      </w:tr>
      <w:tr>
        <w:trPr>
          <w:trHeight w:hRule="atLeast" w:val="284"/>
          <w:cantSplit w:val="false"/>
        </w:trPr>
        <w:tc>
          <w:tcPr>
            <w:tcW w:type="dxa" w:w="1292"/>
            <w:tcBorders/>
            <w:shd w:fill="auto" w:val="clear"/>
            <w:tcMar>
              <w:top w:type="dxa" w:w="0"/>
              <w:left w:type="dxa" w:w="70"/>
              <w:bottom w:type="dxa" w:w="0"/>
              <w:right w:type="dxa" w:w="70"/>
            </w:tcMar>
            <w:vAlign w:val="center"/>
          </w:tcPr>
          <w:p>
            <w:pPr>
              <w:pStyle w:val="style0"/>
              <w:numPr>
                <w:ilvl w:val="0"/>
                <w:numId w:val="47"/>
              </w:numPr>
              <w:snapToGrid w:val="false"/>
              <w:spacing w:after="60" w:before="0" w:line="240" w:lineRule="auto"/>
              <w:ind w:hanging="360" w:left="720" w:right="110"/>
              <w:jc w:val="both"/>
            </w:pPr>
            <w:r>
              <w:rPr>
                <w:rFonts w:ascii="Arial" w:cs="Arial" w:hAnsi="Arial"/>
              </w:rPr>
            </w:r>
          </w:p>
        </w:tc>
        <w:tc>
          <w:tcPr>
            <w:tcW w:type="dxa" w:w="6668"/>
            <w:tcBorders/>
            <w:shd w:fill="auto" w:val="clear"/>
            <w:tcMar>
              <w:top w:type="dxa" w:w="0"/>
              <w:left w:type="dxa" w:w="70"/>
              <w:bottom w:type="dxa" w:w="0"/>
              <w:right w:type="dxa" w:w="70"/>
            </w:tcMar>
            <w:vAlign w:val="center"/>
          </w:tcPr>
          <w:p>
            <w:pPr>
              <w:pStyle w:val="style0"/>
              <w:spacing w:after="60" w:before="0" w:line="240" w:lineRule="auto"/>
              <w:ind w:hanging="0" w:left="0" w:right="110"/>
              <w:jc w:val="both"/>
            </w:pPr>
            <w:r>
              <w:rPr>
                <w:rFonts w:ascii="Arial" w:cs="Arial" w:hAnsi="Arial"/>
              </w:rPr>
              <w:t>Opinión concerniente al reciclaje de las chatarras acumuladas en el IUTY ………………………………………………………………….</w:t>
            </w:r>
          </w:p>
        </w:tc>
        <w:tc>
          <w:tcPr>
            <w:tcW w:type="dxa" w:w="737"/>
            <w:tcBorders/>
            <w:shd w:fill="auto" w:val="clear"/>
            <w:tcMar>
              <w:top w:type="dxa" w:w="0"/>
              <w:left w:type="dxa" w:w="70"/>
              <w:bottom w:type="dxa" w:w="0"/>
              <w:right w:type="dxa" w:w="70"/>
            </w:tcMar>
            <w:vAlign w:val="bottom"/>
          </w:tcPr>
          <w:p>
            <w:pPr>
              <w:pStyle w:val="style0"/>
              <w:spacing w:after="60" w:before="0" w:line="240" w:lineRule="auto"/>
              <w:jc w:val="center"/>
            </w:pPr>
            <w:r>
              <w:rPr>
                <w:rFonts w:ascii="Arial" w:cs="Arial" w:hAnsi="Arial"/>
              </w:rPr>
              <w:t xml:space="preserve">173 </w:t>
            </w:r>
          </w:p>
        </w:tc>
      </w:tr>
      <w:tr>
        <w:trPr>
          <w:trHeight w:hRule="atLeast" w:val="284"/>
          <w:cantSplit w:val="false"/>
        </w:trPr>
        <w:tc>
          <w:tcPr>
            <w:tcW w:type="dxa" w:w="1292"/>
            <w:tcBorders/>
            <w:shd w:fill="auto" w:val="clear"/>
            <w:tcMar>
              <w:top w:type="dxa" w:w="0"/>
              <w:left w:type="dxa" w:w="70"/>
              <w:bottom w:type="dxa" w:w="0"/>
              <w:right w:type="dxa" w:w="70"/>
            </w:tcMar>
            <w:vAlign w:val="center"/>
          </w:tcPr>
          <w:p>
            <w:pPr>
              <w:pStyle w:val="style0"/>
              <w:numPr>
                <w:ilvl w:val="0"/>
                <w:numId w:val="47"/>
              </w:numPr>
              <w:snapToGrid w:val="false"/>
              <w:spacing w:after="60" w:before="0" w:line="240" w:lineRule="auto"/>
              <w:ind w:hanging="360" w:left="720" w:right="110"/>
              <w:jc w:val="both"/>
            </w:pPr>
            <w:r>
              <w:rPr>
                <w:rFonts w:ascii="Arial" w:cs="Arial" w:hAnsi="Arial"/>
              </w:rPr>
            </w:r>
          </w:p>
        </w:tc>
        <w:tc>
          <w:tcPr>
            <w:tcW w:type="dxa" w:w="6668"/>
            <w:tcBorders/>
            <w:shd w:fill="auto" w:val="clear"/>
            <w:tcMar>
              <w:top w:type="dxa" w:w="0"/>
              <w:left w:type="dxa" w:w="70"/>
              <w:bottom w:type="dxa" w:w="0"/>
              <w:right w:type="dxa" w:w="70"/>
            </w:tcMar>
            <w:vAlign w:val="center"/>
          </w:tcPr>
          <w:p>
            <w:pPr>
              <w:pStyle w:val="style0"/>
              <w:spacing w:after="60" w:before="0" w:line="240" w:lineRule="auto"/>
              <w:ind w:hanging="0" w:left="0" w:right="110"/>
              <w:jc w:val="both"/>
            </w:pPr>
            <w:r>
              <w:rPr>
                <w:rFonts w:ascii="Arial" w:cs="Arial" w:hAnsi="Arial"/>
                <w:bCs/>
                <w:lang w:val="es-VE"/>
              </w:rPr>
              <w:t xml:space="preserve">Opinión sobre la enajenación de los bienes nacionales en estado de </w:t>
            </w:r>
            <w:r>
              <w:rPr>
                <w:rFonts w:ascii="Arial" w:cs="Arial" w:hAnsi="Arial"/>
                <w:shd w:fill="FFFFFF" w:val="clear"/>
              </w:rPr>
              <w:t>Obsolescencia, Deterioro y Corrosión con  empresa   particular</w:t>
            </w:r>
            <w:r>
              <w:rPr>
                <w:rFonts w:ascii="Arial" w:cs="Arial" w:hAnsi="Arial"/>
              </w:rPr>
              <w:t>. .…….……….……………………………………………….</w:t>
            </w:r>
          </w:p>
        </w:tc>
        <w:tc>
          <w:tcPr>
            <w:tcW w:type="dxa" w:w="737"/>
            <w:tcBorders/>
            <w:shd w:fill="auto" w:val="clear"/>
            <w:tcMar>
              <w:top w:type="dxa" w:w="0"/>
              <w:left w:type="dxa" w:w="70"/>
              <w:bottom w:type="dxa" w:w="0"/>
              <w:right w:type="dxa" w:w="70"/>
            </w:tcMar>
            <w:vAlign w:val="bottom"/>
          </w:tcPr>
          <w:p>
            <w:pPr>
              <w:pStyle w:val="style0"/>
              <w:spacing w:after="60" w:before="0" w:line="240" w:lineRule="auto"/>
              <w:jc w:val="center"/>
            </w:pPr>
            <w:r>
              <w:rPr>
                <w:rFonts w:ascii="Arial" w:cs="Arial" w:hAnsi="Arial"/>
              </w:rPr>
              <w:t>175</w:t>
            </w:r>
          </w:p>
        </w:tc>
      </w:tr>
      <w:tr>
        <w:trPr>
          <w:trHeight w:hRule="atLeast" w:val="284"/>
          <w:cantSplit w:val="false"/>
        </w:trPr>
        <w:tc>
          <w:tcPr>
            <w:tcW w:type="dxa" w:w="1292"/>
            <w:tcBorders/>
            <w:shd w:fill="auto" w:val="clear"/>
            <w:tcMar>
              <w:top w:type="dxa" w:w="0"/>
              <w:left w:type="dxa" w:w="70"/>
              <w:bottom w:type="dxa" w:w="0"/>
              <w:right w:type="dxa" w:w="70"/>
            </w:tcMar>
            <w:vAlign w:val="center"/>
          </w:tcPr>
          <w:p>
            <w:pPr>
              <w:pStyle w:val="style0"/>
              <w:numPr>
                <w:ilvl w:val="0"/>
                <w:numId w:val="47"/>
              </w:numPr>
              <w:snapToGrid w:val="false"/>
              <w:spacing w:after="60" w:before="0" w:line="240" w:lineRule="auto"/>
              <w:ind w:hanging="360" w:left="720" w:right="110"/>
              <w:jc w:val="both"/>
            </w:pPr>
            <w:r>
              <w:rPr>
                <w:rFonts w:ascii="Arial" w:cs="Arial" w:hAnsi="Arial"/>
              </w:rPr>
            </w:r>
          </w:p>
        </w:tc>
        <w:tc>
          <w:tcPr>
            <w:tcW w:type="dxa" w:w="6668"/>
            <w:tcBorders/>
            <w:shd w:fill="auto" w:val="clear"/>
            <w:tcMar>
              <w:top w:type="dxa" w:w="0"/>
              <w:left w:type="dxa" w:w="70"/>
              <w:bottom w:type="dxa" w:w="0"/>
              <w:right w:type="dxa" w:w="70"/>
            </w:tcMar>
            <w:vAlign w:val="center"/>
          </w:tcPr>
          <w:p>
            <w:pPr>
              <w:pStyle w:val="style0"/>
              <w:spacing w:after="60" w:before="0" w:line="240" w:lineRule="auto"/>
              <w:ind w:hanging="0" w:left="0" w:right="110"/>
              <w:jc w:val="both"/>
            </w:pPr>
            <w:r>
              <w:rPr>
                <w:rFonts w:ascii="Arial" w:cs="Arial" w:hAnsi="Arial"/>
                <w:bCs/>
              </w:rPr>
              <w:t xml:space="preserve">Opinión sobre la permuta de los bienes nacionales en estado de </w:t>
            </w:r>
            <w:r>
              <w:rPr>
                <w:rFonts w:ascii="Arial" w:cs="Arial" w:hAnsi="Arial"/>
                <w:shd w:fill="FFFFFF" w:val="clear"/>
              </w:rPr>
              <w:t>Obsolescencia, Deterioro y Corrosión con  empresa  del Estado o  particular</w:t>
            </w:r>
            <w:r>
              <w:rPr>
                <w:rFonts w:ascii="Arial" w:cs="Arial" w:hAnsi="Arial"/>
              </w:rPr>
              <w:t>………………………………………………………………...</w:t>
            </w:r>
          </w:p>
        </w:tc>
        <w:tc>
          <w:tcPr>
            <w:tcW w:type="dxa" w:w="737"/>
            <w:tcBorders/>
            <w:shd w:fill="auto" w:val="clear"/>
            <w:tcMar>
              <w:top w:type="dxa" w:w="0"/>
              <w:left w:type="dxa" w:w="70"/>
              <w:bottom w:type="dxa" w:w="0"/>
              <w:right w:type="dxa" w:w="70"/>
            </w:tcMar>
            <w:vAlign w:val="bottom"/>
          </w:tcPr>
          <w:p>
            <w:pPr>
              <w:pStyle w:val="style0"/>
              <w:spacing w:after="60" w:before="0" w:line="240" w:lineRule="auto"/>
              <w:jc w:val="center"/>
            </w:pPr>
            <w:r>
              <w:rPr>
                <w:rFonts w:ascii="Arial" w:cs="Arial" w:hAnsi="Arial"/>
              </w:rPr>
              <w:t>177</w:t>
            </w:r>
          </w:p>
        </w:tc>
      </w:tr>
      <w:tr>
        <w:trPr>
          <w:trHeight w:hRule="atLeast" w:val="284"/>
          <w:cantSplit w:val="false"/>
        </w:trPr>
        <w:tc>
          <w:tcPr>
            <w:tcW w:type="dxa" w:w="1292"/>
            <w:tcBorders/>
            <w:shd w:fill="auto" w:val="clear"/>
            <w:tcMar>
              <w:top w:type="dxa" w:w="0"/>
              <w:left w:type="dxa" w:w="70"/>
              <w:bottom w:type="dxa" w:w="0"/>
              <w:right w:type="dxa" w:w="70"/>
            </w:tcMar>
            <w:vAlign w:val="center"/>
          </w:tcPr>
          <w:p>
            <w:pPr>
              <w:pStyle w:val="style0"/>
              <w:numPr>
                <w:ilvl w:val="0"/>
                <w:numId w:val="47"/>
              </w:numPr>
              <w:snapToGrid w:val="false"/>
              <w:spacing w:after="60" w:before="0" w:line="240" w:lineRule="auto"/>
              <w:ind w:hanging="360" w:left="720" w:right="110"/>
              <w:jc w:val="both"/>
            </w:pPr>
            <w:r>
              <w:rPr>
                <w:rFonts w:ascii="Arial" w:cs="Arial" w:hAnsi="Arial"/>
              </w:rPr>
            </w:r>
          </w:p>
        </w:tc>
        <w:tc>
          <w:tcPr>
            <w:tcW w:type="dxa" w:w="6668"/>
            <w:tcBorders/>
            <w:shd w:fill="auto" w:val="clear"/>
            <w:tcMar>
              <w:top w:type="dxa" w:w="0"/>
              <w:left w:type="dxa" w:w="70"/>
              <w:bottom w:type="dxa" w:w="0"/>
              <w:right w:type="dxa" w:w="70"/>
            </w:tcMar>
            <w:vAlign w:val="center"/>
          </w:tcPr>
          <w:p>
            <w:pPr>
              <w:pStyle w:val="style0"/>
              <w:spacing w:after="60" w:before="0" w:line="240" w:lineRule="auto"/>
              <w:ind w:hanging="0" w:left="0" w:right="110"/>
              <w:jc w:val="both"/>
            </w:pPr>
            <w:r>
              <w:rPr>
                <w:rFonts w:ascii="Arial" w:cs="Arial" w:hAnsi="Arial"/>
                <w:bCs/>
                <w:lang w:val="es-VE"/>
              </w:rPr>
              <w:t xml:space="preserve">Opinión sobre la </w:t>
            </w:r>
            <w:r>
              <w:rPr>
                <w:rFonts w:ascii="Arial" w:cs="Arial" w:hAnsi="Arial"/>
                <w:bCs/>
              </w:rPr>
              <w:t>donación</w:t>
            </w:r>
            <w:r>
              <w:rPr>
                <w:rFonts w:ascii="Arial" w:cs="Arial" w:hAnsi="Arial"/>
                <w:bCs/>
                <w:lang w:val="es-VE"/>
              </w:rPr>
              <w:t xml:space="preserve"> de los bienes nacionales en estado de </w:t>
            </w:r>
            <w:r>
              <w:rPr>
                <w:rFonts w:ascii="Arial" w:cs="Arial" w:hAnsi="Arial"/>
                <w:shd w:fill="FFFFFF" w:val="clear"/>
              </w:rPr>
              <w:t>Obsolescencia, Deterioro y Corrosión</w:t>
            </w:r>
            <w:r>
              <w:rPr>
                <w:rFonts w:ascii="Arial" w:cs="Arial" w:hAnsi="Arial"/>
                <w:color w:val="000000"/>
                <w:shd w:fill="FFFFFF" w:val="clear"/>
              </w:rPr>
              <w:t xml:space="preserve"> a la Empresa  del ramo Siderúrgico para reciclarlo como </w:t>
            </w:r>
            <w:r>
              <w:rPr>
                <w:rFonts w:ascii="Arial" w:cs="Arial" w:hAnsi="Arial"/>
                <w:color w:val="000000"/>
              </w:rPr>
              <w:t>insumo para la producción automotriz y la construcción Civil en Venezuela</w:t>
            </w:r>
            <w:r>
              <w:rPr>
                <w:rFonts w:ascii="Arial" w:cs="Arial" w:hAnsi="Arial"/>
              </w:rPr>
              <w:t>……………..….</w:t>
            </w:r>
          </w:p>
        </w:tc>
        <w:tc>
          <w:tcPr>
            <w:tcW w:type="dxa" w:w="737"/>
            <w:tcBorders/>
            <w:shd w:fill="auto" w:val="clear"/>
            <w:tcMar>
              <w:top w:type="dxa" w:w="0"/>
              <w:left w:type="dxa" w:w="70"/>
              <w:bottom w:type="dxa" w:w="0"/>
              <w:right w:type="dxa" w:w="70"/>
            </w:tcMar>
            <w:vAlign w:val="bottom"/>
          </w:tcPr>
          <w:p>
            <w:pPr>
              <w:pStyle w:val="style0"/>
              <w:spacing w:after="60" w:before="0" w:line="240" w:lineRule="auto"/>
              <w:jc w:val="center"/>
            </w:pPr>
            <w:r>
              <w:rPr>
                <w:rFonts w:ascii="Arial" w:cs="Arial" w:hAnsi="Arial"/>
              </w:rPr>
              <w:t>179</w:t>
            </w:r>
          </w:p>
        </w:tc>
      </w:tr>
      <w:tr>
        <w:trPr>
          <w:trHeight w:hRule="atLeast" w:val="284"/>
          <w:cantSplit w:val="false"/>
        </w:trPr>
        <w:tc>
          <w:tcPr>
            <w:tcW w:type="dxa" w:w="1292"/>
            <w:tcBorders/>
            <w:shd w:fill="auto" w:val="clear"/>
            <w:tcMar>
              <w:top w:type="dxa" w:w="0"/>
              <w:left w:type="dxa" w:w="70"/>
              <w:bottom w:type="dxa" w:w="0"/>
              <w:right w:type="dxa" w:w="70"/>
            </w:tcMar>
            <w:vAlign w:val="center"/>
          </w:tcPr>
          <w:p>
            <w:pPr>
              <w:pStyle w:val="style0"/>
              <w:numPr>
                <w:ilvl w:val="0"/>
                <w:numId w:val="47"/>
              </w:numPr>
              <w:snapToGrid w:val="false"/>
              <w:spacing w:after="60" w:before="0" w:line="240" w:lineRule="auto"/>
              <w:ind w:hanging="360" w:left="720" w:right="110"/>
              <w:jc w:val="both"/>
            </w:pPr>
            <w:r>
              <w:rPr>
                <w:rFonts w:ascii="Arial" w:cs="Arial" w:hAnsi="Arial"/>
              </w:rPr>
            </w:r>
          </w:p>
        </w:tc>
        <w:tc>
          <w:tcPr>
            <w:tcW w:type="dxa" w:w="6668"/>
            <w:tcBorders/>
            <w:shd w:fill="auto" w:val="clear"/>
            <w:tcMar>
              <w:top w:type="dxa" w:w="0"/>
              <w:left w:type="dxa" w:w="70"/>
              <w:bottom w:type="dxa" w:w="0"/>
              <w:right w:type="dxa" w:w="70"/>
            </w:tcMar>
            <w:vAlign w:val="center"/>
          </w:tcPr>
          <w:p>
            <w:pPr>
              <w:pStyle w:val="style0"/>
              <w:spacing w:after="60" w:before="0" w:line="240" w:lineRule="auto"/>
              <w:ind w:hanging="0" w:left="0" w:right="110"/>
              <w:jc w:val="both"/>
            </w:pPr>
            <w:r>
              <w:rPr>
                <w:rFonts w:ascii="Arial" w:cs="Arial" w:hAnsi="Arial"/>
                <w:bCs/>
                <w:lang w:val="es-VE"/>
              </w:rPr>
              <w:t xml:space="preserve">Opinión referente a la </w:t>
            </w:r>
            <w:r>
              <w:rPr>
                <w:rFonts w:ascii="Arial" w:cs="Arial" w:hAnsi="Arial"/>
                <w:bCs/>
              </w:rPr>
              <w:t>enajenación</w:t>
            </w:r>
            <w:r>
              <w:rPr>
                <w:rFonts w:ascii="Arial" w:cs="Arial" w:hAnsi="Arial"/>
                <w:bCs/>
                <w:lang w:val="es-VE"/>
              </w:rPr>
              <w:t xml:space="preserve"> de los bienes nacionales en estado de </w:t>
            </w:r>
            <w:r>
              <w:rPr>
                <w:rFonts w:ascii="Arial" w:cs="Arial" w:hAnsi="Arial"/>
                <w:shd w:fill="FFFFFF" w:val="clear"/>
              </w:rPr>
              <w:t>Obsolescencia, Deterioro y Corrosión</w:t>
            </w:r>
            <w:r>
              <w:rPr>
                <w:rFonts w:ascii="Arial" w:cs="Arial" w:hAnsi="Arial"/>
                <w:color w:val="000000"/>
                <w:shd w:fill="FFFFFF" w:val="clear"/>
              </w:rPr>
              <w:t xml:space="preserve"> a la Empresa  del ramo Siderúrgico para reutilizarlo como </w:t>
            </w:r>
            <w:r>
              <w:rPr>
                <w:rFonts w:ascii="Arial" w:cs="Arial" w:hAnsi="Arial"/>
                <w:color w:val="000000"/>
              </w:rPr>
              <w:t>insumo para la producción automotriz y la construcción Civil en Venezuela</w:t>
            </w:r>
            <w:r>
              <w:rPr>
                <w:rFonts w:ascii="Arial" w:cs="Arial" w:hAnsi="Arial"/>
              </w:rPr>
              <w:t>………</w:t>
            </w:r>
          </w:p>
        </w:tc>
        <w:tc>
          <w:tcPr>
            <w:tcW w:type="dxa" w:w="737"/>
            <w:tcBorders/>
            <w:shd w:fill="auto" w:val="clear"/>
            <w:tcMar>
              <w:top w:type="dxa" w:w="0"/>
              <w:left w:type="dxa" w:w="70"/>
              <w:bottom w:type="dxa" w:w="0"/>
              <w:right w:type="dxa" w:w="70"/>
            </w:tcMar>
            <w:vAlign w:val="bottom"/>
          </w:tcPr>
          <w:p>
            <w:pPr>
              <w:pStyle w:val="style0"/>
              <w:spacing w:after="60" w:before="0" w:line="240" w:lineRule="auto"/>
              <w:jc w:val="center"/>
            </w:pPr>
            <w:r>
              <w:rPr>
                <w:rFonts w:ascii="Arial" w:cs="Arial" w:hAnsi="Arial"/>
              </w:rPr>
              <w:t>181</w:t>
            </w:r>
          </w:p>
        </w:tc>
      </w:tr>
      <w:tr>
        <w:trPr>
          <w:trHeight w:hRule="atLeast" w:val="284"/>
          <w:cantSplit w:val="false"/>
        </w:trPr>
        <w:tc>
          <w:tcPr>
            <w:tcW w:type="dxa" w:w="1292"/>
            <w:tcBorders/>
            <w:shd w:fill="auto" w:val="clear"/>
            <w:tcMar>
              <w:top w:type="dxa" w:w="0"/>
              <w:left w:type="dxa" w:w="70"/>
              <w:bottom w:type="dxa" w:w="0"/>
              <w:right w:type="dxa" w:w="70"/>
            </w:tcMar>
            <w:vAlign w:val="center"/>
          </w:tcPr>
          <w:p>
            <w:pPr>
              <w:pStyle w:val="style0"/>
              <w:numPr>
                <w:ilvl w:val="0"/>
                <w:numId w:val="47"/>
              </w:numPr>
              <w:snapToGrid w:val="false"/>
              <w:spacing w:after="60" w:before="0" w:line="240" w:lineRule="auto"/>
              <w:ind w:hanging="360" w:left="720" w:right="110"/>
              <w:jc w:val="both"/>
            </w:pPr>
            <w:r>
              <w:rPr>
                <w:rFonts w:ascii="Arial" w:cs="Arial" w:hAnsi="Arial"/>
              </w:rPr>
            </w:r>
          </w:p>
        </w:tc>
        <w:tc>
          <w:tcPr>
            <w:tcW w:type="dxa" w:w="6668"/>
            <w:tcBorders/>
            <w:shd w:fill="auto" w:val="clear"/>
            <w:tcMar>
              <w:top w:type="dxa" w:w="0"/>
              <w:left w:type="dxa" w:w="70"/>
              <w:bottom w:type="dxa" w:w="0"/>
              <w:right w:type="dxa" w:w="70"/>
            </w:tcMar>
            <w:vAlign w:val="center"/>
          </w:tcPr>
          <w:p>
            <w:pPr>
              <w:pStyle w:val="style0"/>
              <w:spacing w:after="60" w:before="0" w:line="240" w:lineRule="auto"/>
              <w:ind w:hanging="0" w:left="0" w:right="110"/>
              <w:jc w:val="both"/>
            </w:pPr>
            <w:r>
              <w:rPr>
                <w:rFonts w:ascii="Arial" w:cs="Arial" w:hAnsi="Arial"/>
                <w:bCs/>
                <w:color w:val="000000"/>
              </w:rPr>
              <w:t xml:space="preserve">Conocimiento sobre el impacto en el entorno por la desincorporación </w:t>
            </w:r>
            <w:r>
              <w:rPr>
                <w:rFonts w:ascii="Arial" w:cs="Arial" w:hAnsi="Arial"/>
                <w:color w:val="000000"/>
              </w:rPr>
              <w:t>de las chatarras de la institución</w:t>
            </w:r>
            <w:r>
              <w:rPr>
                <w:rFonts w:ascii="Arial" w:cs="Arial" w:hAnsi="Arial"/>
              </w:rPr>
              <w:t>……………</w:t>
            </w:r>
          </w:p>
        </w:tc>
        <w:tc>
          <w:tcPr>
            <w:tcW w:type="dxa" w:w="737"/>
            <w:tcBorders/>
            <w:shd w:fill="auto" w:val="clear"/>
            <w:tcMar>
              <w:top w:type="dxa" w:w="0"/>
              <w:left w:type="dxa" w:w="70"/>
              <w:bottom w:type="dxa" w:w="0"/>
              <w:right w:type="dxa" w:w="70"/>
            </w:tcMar>
            <w:vAlign w:val="bottom"/>
          </w:tcPr>
          <w:p>
            <w:pPr>
              <w:pStyle w:val="style0"/>
              <w:spacing w:after="60" w:before="0" w:line="240" w:lineRule="auto"/>
              <w:jc w:val="center"/>
            </w:pPr>
            <w:r>
              <w:rPr>
                <w:rFonts w:ascii="Arial" w:cs="Arial" w:hAnsi="Arial"/>
              </w:rPr>
              <w:t>183</w:t>
            </w:r>
          </w:p>
        </w:tc>
      </w:tr>
      <w:tr>
        <w:trPr>
          <w:trHeight w:hRule="atLeast" w:val="284"/>
          <w:cantSplit w:val="false"/>
        </w:trPr>
        <w:tc>
          <w:tcPr>
            <w:tcW w:type="dxa" w:w="1292"/>
            <w:tcBorders/>
            <w:shd w:fill="auto" w:val="clear"/>
            <w:tcMar>
              <w:top w:type="dxa" w:w="0"/>
              <w:left w:type="dxa" w:w="70"/>
              <w:bottom w:type="dxa" w:w="0"/>
              <w:right w:type="dxa" w:w="70"/>
            </w:tcMar>
            <w:vAlign w:val="center"/>
          </w:tcPr>
          <w:p>
            <w:pPr>
              <w:pStyle w:val="style0"/>
              <w:numPr>
                <w:ilvl w:val="0"/>
                <w:numId w:val="47"/>
              </w:numPr>
              <w:snapToGrid w:val="false"/>
              <w:spacing w:after="60" w:before="0" w:line="240" w:lineRule="auto"/>
              <w:ind w:hanging="360" w:left="720" w:right="110"/>
              <w:jc w:val="both"/>
            </w:pPr>
            <w:r>
              <w:rPr>
                <w:rFonts w:ascii="Arial" w:cs="Arial" w:hAnsi="Arial"/>
              </w:rPr>
            </w:r>
          </w:p>
        </w:tc>
        <w:tc>
          <w:tcPr>
            <w:tcW w:type="dxa" w:w="6668"/>
            <w:tcBorders/>
            <w:shd w:fill="auto" w:val="clear"/>
            <w:tcMar>
              <w:top w:type="dxa" w:w="0"/>
              <w:left w:type="dxa" w:w="70"/>
              <w:bottom w:type="dxa" w:w="0"/>
              <w:right w:type="dxa" w:w="70"/>
            </w:tcMar>
            <w:vAlign w:val="center"/>
          </w:tcPr>
          <w:p>
            <w:pPr>
              <w:pStyle w:val="style0"/>
              <w:spacing w:after="60" w:before="0" w:line="240" w:lineRule="auto"/>
              <w:ind w:hanging="0" w:left="0" w:right="110"/>
              <w:jc w:val="both"/>
            </w:pPr>
            <w:r>
              <w:rPr>
                <w:rFonts w:ascii="Arial" w:cs="Arial" w:hAnsi="Arial"/>
                <w:color w:val="000000"/>
              </w:rPr>
              <w:t xml:space="preserve">Opinión concerniente al ajuste de las normas y procedimientos para regular la </w:t>
            </w:r>
            <w:r>
              <w:rPr>
                <w:rStyle w:val="style150"/>
                <w:rFonts w:ascii="Arial" w:hAnsi="Arial"/>
                <w:b w:val="false"/>
                <w:color w:val="000000"/>
                <w:shd w:fill="FFFFFF" w:val="clear"/>
              </w:rPr>
              <w:t>enajenación y desincorporación de los bienes nacionales en deterioro, obsoleto y en corrosión</w:t>
            </w:r>
            <w:r>
              <w:rPr>
                <w:rStyle w:val="style150"/>
                <w:rFonts w:ascii="Arial" w:hAnsi="Arial"/>
                <w:color w:val="000000"/>
                <w:shd w:fill="FFFFFF" w:val="clear"/>
              </w:rPr>
              <w:t>..</w:t>
            </w:r>
            <w:r>
              <w:rPr>
                <w:rFonts w:ascii="Arial" w:cs="Arial" w:hAnsi="Arial"/>
              </w:rPr>
              <w:t>…………….</w:t>
            </w:r>
          </w:p>
        </w:tc>
        <w:tc>
          <w:tcPr>
            <w:tcW w:type="dxa" w:w="737"/>
            <w:tcBorders/>
            <w:shd w:fill="auto" w:val="clear"/>
            <w:tcMar>
              <w:top w:type="dxa" w:w="0"/>
              <w:left w:type="dxa" w:w="70"/>
              <w:bottom w:type="dxa" w:w="0"/>
              <w:right w:type="dxa" w:w="70"/>
            </w:tcMar>
            <w:vAlign w:val="bottom"/>
          </w:tcPr>
          <w:p>
            <w:pPr>
              <w:pStyle w:val="style0"/>
              <w:snapToGrid w:val="false"/>
              <w:spacing w:after="60" w:before="0" w:line="240" w:lineRule="auto"/>
              <w:jc w:val="center"/>
            </w:pPr>
            <w:r>
              <w:rPr>
                <w:rFonts w:ascii="Arial" w:cs="Arial" w:hAnsi="Arial"/>
              </w:rPr>
            </w:r>
          </w:p>
          <w:p>
            <w:pPr>
              <w:pStyle w:val="style0"/>
              <w:spacing w:after="60" w:before="0" w:line="240" w:lineRule="auto"/>
              <w:jc w:val="center"/>
            </w:pPr>
            <w:r>
              <w:rPr>
                <w:rFonts w:ascii="Arial" w:cs="Arial" w:hAnsi="Arial"/>
              </w:rPr>
            </w:r>
          </w:p>
          <w:p>
            <w:pPr>
              <w:pStyle w:val="style0"/>
              <w:spacing w:after="60" w:before="0" w:line="240" w:lineRule="auto"/>
              <w:jc w:val="center"/>
            </w:pPr>
            <w:r>
              <w:rPr>
                <w:rFonts w:ascii="Arial" w:cs="Arial" w:hAnsi="Arial"/>
              </w:rPr>
              <w:t>185</w:t>
            </w:r>
          </w:p>
        </w:tc>
      </w:tr>
      <w:tr>
        <w:trPr>
          <w:trHeight w:hRule="atLeast" w:val="284"/>
          <w:cantSplit w:val="false"/>
        </w:trPr>
        <w:tc>
          <w:tcPr>
            <w:tcW w:type="dxa" w:w="1292"/>
            <w:tcBorders/>
            <w:shd w:fill="auto" w:val="clear"/>
            <w:tcMar>
              <w:top w:type="dxa" w:w="0"/>
              <w:left w:type="dxa" w:w="70"/>
              <w:bottom w:type="dxa" w:w="0"/>
              <w:right w:type="dxa" w:w="70"/>
            </w:tcMar>
            <w:vAlign w:val="center"/>
          </w:tcPr>
          <w:p>
            <w:pPr>
              <w:pStyle w:val="style0"/>
              <w:numPr>
                <w:ilvl w:val="0"/>
                <w:numId w:val="47"/>
              </w:numPr>
              <w:snapToGrid w:val="false"/>
              <w:spacing w:after="60" w:before="0" w:line="240" w:lineRule="auto"/>
              <w:ind w:hanging="360" w:left="720" w:right="110"/>
              <w:jc w:val="both"/>
            </w:pPr>
            <w:r>
              <w:rPr>
                <w:rFonts w:ascii="Arial" w:cs="Arial" w:hAnsi="Arial"/>
              </w:rPr>
            </w:r>
          </w:p>
        </w:tc>
        <w:tc>
          <w:tcPr>
            <w:tcW w:type="dxa" w:w="6668"/>
            <w:tcBorders/>
            <w:shd w:fill="auto" w:val="clear"/>
            <w:tcMar>
              <w:top w:type="dxa" w:w="0"/>
              <w:left w:type="dxa" w:w="70"/>
              <w:bottom w:type="dxa" w:w="0"/>
              <w:right w:type="dxa" w:w="70"/>
            </w:tcMar>
            <w:vAlign w:val="center"/>
          </w:tcPr>
          <w:p>
            <w:pPr>
              <w:pStyle w:val="style0"/>
              <w:spacing w:after="60" w:before="0" w:line="240" w:lineRule="auto"/>
              <w:ind w:hanging="0" w:left="0" w:right="110"/>
              <w:jc w:val="both"/>
            </w:pPr>
            <w:r>
              <w:rPr>
                <w:rFonts w:ascii="Arial" w:cs="Arial" w:hAnsi="Arial"/>
              </w:rPr>
              <w:t xml:space="preserve">Consentimiento para </w:t>
            </w:r>
            <w:r>
              <w:rPr>
                <w:rFonts w:ascii="Arial" w:cs="Arial" w:hAnsi="Arial"/>
                <w:color w:val="000000"/>
              </w:rPr>
              <w:t>que el Gobierno Nacional implemente la alianza corporativa entre las  Empresas del ramo Siderúrgico con Instituciones de Prestación Servicios  que mantengan chatarras</w:t>
            </w:r>
            <w:r>
              <w:rPr>
                <w:rFonts w:ascii="Arial" w:cs="Arial" w:hAnsi="Arial"/>
                <w:color w:val="000000"/>
                <w:shd w:fill="FFFFFF" w:val="clear"/>
              </w:rPr>
              <w:t xml:space="preserve"> y estos sean recolectados y reciclados como  </w:t>
            </w:r>
            <w:r>
              <w:rPr>
                <w:rFonts w:ascii="Arial" w:cs="Arial" w:hAnsi="Arial"/>
                <w:color w:val="000000"/>
              </w:rPr>
              <w:t>insumo para la Producción Automotriz y la Construcción Civil en Venezuela</w:t>
            </w:r>
            <w:r>
              <w:rPr>
                <w:rFonts w:ascii="Arial" w:cs="Arial" w:hAnsi="Arial"/>
              </w:rPr>
              <w:t>……</w:t>
            </w:r>
          </w:p>
        </w:tc>
        <w:tc>
          <w:tcPr>
            <w:tcW w:type="dxa" w:w="737"/>
            <w:tcBorders/>
            <w:shd w:fill="auto" w:val="clear"/>
            <w:tcMar>
              <w:top w:type="dxa" w:w="0"/>
              <w:left w:type="dxa" w:w="70"/>
              <w:bottom w:type="dxa" w:w="0"/>
              <w:right w:type="dxa" w:w="70"/>
            </w:tcMar>
            <w:vAlign w:val="bottom"/>
          </w:tcPr>
          <w:p>
            <w:pPr>
              <w:pStyle w:val="style0"/>
              <w:spacing w:after="60" w:before="0" w:line="240" w:lineRule="auto"/>
              <w:jc w:val="center"/>
            </w:pPr>
            <w:r>
              <w:rPr>
                <w:rFonts w:ascii="Arial" w:cs="Arial" w:eastAsia="Arial" w:hAnsi="Arial"/>
              </w:rPr>
              <w:t xml:space="preserve"> </w:t>
            </w:r>
          </w:p>
          <w:p>
            <w:pPr>
              <w:pStyle w:val="style0"/>
              <w:spacing w:after="60" w:before="0" w:line="240" w:lineRule="auto"/>
              <w:jc w:val="center"/>
            </w:pPr>
            <w:r>
              <w:rPr>
                <w:rFonts w:ascii="Arial" w:cs="Arial" w:hAnsi="Arial"/>
              </w:rPr>
            </w:r>
          </w:p>
          <w:p>
            <w:pPr>
              <w:pStyle w:val="style0"/>
              <w:spacing w:after="60" w:before="0" w:line="240" w:lineRule="auto"/>
              <w:jc w:val="center"/>
            </w:pPr>
            <w:r>
              <w:rPr>
                <w:rFonts w:ascii="Arial" w:cs="Arial" w:hAnsi="Arial"/>
              </w:rPr>
            </w:r>
          </w:p>
          <w:p>
            <w:pPr>
              <w:pStyle w:val="style0"/>
              <w:spacing w:after="60" w:before="0" w:line="240" w:lineRule="auto"/>
              <w:jc w:val="center"/>
            </w:pPr>
            <w:r>
              <w:rPr>
                <w:rFonts w:ascii="Arial" w:cs="Arial" w:hAnsi="Arial"/>
              </w:rPr>
              <w:t>189</w:t>
            </w:r>
          </w:p>
        </w:tc>
      </w:tr>
      <w:tr>
        <w:trPr>
          <w:trHeight w:hRule="atLeast" w:val="284"/>
          <w:cantSplit w:val="false"/>
        </w:trPr>
        <w:tc>
          <w:tcPr>
            <w:tcW w:type="dxa" w:w="1292"/>
            <w:tcBorders/>
            <w:shd w:fill="auto" w:val="clear"/>
            <w:tcMar>
              <w:top w:type="dxa" w:w="0"/>
              <w:left w:type="dxa" w:w="70"/>
              <w:bottom w:type="dxa" w:w="0"/>
              <w:right w:type="dxa" w:w="70"/>
            </w:tcMar>
            <w:vAlign w:val="center"/>
          </w:tcPr>
          <w:p>
            <w:pPr>
              <w:pStyle w:val="style0"/>
              <w:numPr>
                <w:ilvl w:val="0"/>
                <w:numId w:val="47"/>
              </w:numPr>
              <w:snapToGrid w:val="false"/>
              <w:spacing w:after="60" w:before="0" w:line="240" w:lineRule="auto"/>
              <w:ind w:hanging="360" w:left="720" w:right="110"/>
              <w:jc w:val="both"/>
            </w:pPr>
            <w:r>
              <w:rPr>
                <w:rFonts w:ascii="Arial" w:cs="Arial" w:hAnsi="Arial"/>
              </w:rPr>
            </w:r>
          </w:p>
        </w:tc>
        <w:tc>
          <w:tcPr>
            <w:tcW w:type="dxa" w:w="6668"/>
            <w:tcBorders/>
            <w:shd w:fill="auto" w:val="clear"/>
            <w:tcMar>
              <w:top w:type="dxa" w:w="0"/>
              <w:left w:type="dxa" w:w="70"/>
              <w:bottom w:type="dxa" w:w="0"/>
              <w:right w:type="dxa" w:w="70"/>
            </w:tcMar>
            <w:vAlign w:val="center"/>
          </w:tcPr>
          <w:p>
            <w:pPr>
              <w:pStyle w:val="style0"/>
              <w:spacing w:after="60" w:before="0" w:line="240" w:lineRule="auto"/>
              <w:ind w:hanging="0" w:left="0" w:right="110"/>
              <w:jc w:val="both"/>
            </w:pPr>
            <w:r>
              <w:rPr>
                <w:rFonts w:ascii="Arial" w:cs="Arial" w:hAnsi="Arial"/>
                <w:color w:val="000000"/>
              </w:rPr>
              <w:t xml:space="preserve">Conocimiento para implementar un plan anual de retiro o  desincorporación de Propiedad, Planta y Equipo en fases de obsolescencia, inutilizable, </w:t>
            </w:r>
            <w:r>
              <w:rPr>
                <w:rFonts w:ascii="Arial" w:cs="Arial" w:hAnsi="Arial"/>
                <w:color w:val="000000"/>
                <w:shd w:fill="FFFFFF" w:val="clear"/>
              </w:rPr>
              <w:t>o en mal estado difícil de recuperar como  de  funcionar y estos no sean susceptibles a reparación y así mantener  depurado los estados financieros</w:t>
            </w:r>
            <w:r>
              <w:rPr>
                <w:rFonts w:ascii="Arial" w:cs="Arial" w:hAnsi="Arial"/>
              </w:rPr>
              <w:t>………………….</w:t>
            </w:r>
          </w:p>
        </w:tc>
        <w:tc>
          <w:tcPr>
            <w:tcW w:type="dxa" w:w="737"/>
            <w:tcBorders/>
            <w:shd w:fill="auto" w:val="clear"/>
            <w:tcMar>
              <w:top w:type="dxa" w:w="0"/>
              <w:left w:type="dxa" w:w="70"/>
              <w:bottom w:type="dxa" w:w="0"/>
              <w:right w:type="dxa" w:w="70"/>
            </w:tcMar>
            <w:vAlign w:val="bottom"/>
          </w:tcPr>
          <w:p>
            <w:pPr>
              <w:pStyle w:val="style0"/>
              <w:spacing w:after="60" w:before="0" w:line="240" w:lineRule="auto"/>
              <w:jc w:val="center"/>
            </w:pPr>
            <w:r>
              <w:rPr>
                <w:rFonts w:ascii="Arial" w:cs="Arial" w:hAnsi="Arial"/>
              </w:rPr>
              <w:t>191</w:t>
            </w:r>
          </w:p>
        </w:tc>
      </w:tr>
      <w:tr>
        <w:trPr>
          <w:trHeight w:hRule="atLeast" w:val="284"/>
          <w:cantSplit w:val="false"/>
        </w:trPr>
        <w:tc>
          <w:tcPr>
            <w:tcW w:type="dxa" w:w="1292"/>
            <w:tcBorders/>
            <w:shd w:fill="auto" w:val="clear"/>
            <w:tcMar>
              <w:top w:type="dxa" w:w="0"/>
              <w:left w:type="dxa" w:w="70"/>
              <w:bottom w:type="dxa" w:w="0"/>
              <w:right w:type="dxa" w:w="70"/>
            </w:tcMar>
            <w:vAlign w:val="center"/>
          </w:tcPr>
          <w:p>
            <w:pPr>
              <w:pStyle w:val="style0"/>
              <w:numPr>
                <w:ilvl w:val="0"/>
                <w:numId w:val="47"/>
              </w:numPr>
              <w:snapToGrid w:val="false"/>
              <w:spacing w:after="60" w:before="0" w:line="240" w:lineRule="auto"/>
              <w:ind w:hanging="360" w:left="720" w:right="110"/>
              <w:jc w:val="both"/>
            </w:pPr>
            <w:r>
              <w:rPr>
                <w:rFonts w:ascii="Arial" w:cs="Arial" w:hAnsi="Arial"/>
              </w:rPr>
            </w:r>
          </w:p>
        </w:tc>
        <w:tc>
          <w:tcPr>
            <w:tcW w:type="dxa" w:w="6668"/>
            <w:tcBorders/>
            <w:shd w:fill="auto" w:val="clear"/>
            <w:tcMar>
              <w:top w:type="dxa" w:w="0"/>
              <w:left w:type="dxa" w:w="70"/>
              <w:bottom w:type="dxa" w:w="0"/>
              <w:right w:type="dxa" w:w="70"/>
            </w:tcMar>
            <w:vAlign w:val="center"/>
          </w:tcPr>
          <w:p>
            <w:pPr>
              <w:pStyle w:val="style0"/>
              <w:spacing w:after="60" w:before="0" w:line="240" w:lineRule="auto"/>
              <w:ind w:hanging="0" w:left="0" w:right="110"/>
              <w:jc w:val="both"/>
            </w:pPr>
            <w:r>
              <w:rPr>
                <w:rFonts w:ascii="Arial" w:cs="Arial" w:hAnsi="Arial"/>
                <w:color w:val="000000"/>
              </w:rPr>
              <w:t>Opinión sobre Implementación de un plan de Ecoeficiencia permanente en la institución</w:t>
            </w:r>
            <w:r>
              <w:rPr>
                <w:rFonts w:ascii="Arial" w:cs="Arial" w:hAnsi="Arial"/>
              </w:rPr>
              <w:t>…...…………………………………....</w:t>
            </w:r>
          </w:p>
        </w:tc>
        <w:tc>
          <w:tcPr>
            <w:tcW w:type="dxa" w:w="737"/>
            <w:tcBorders/>
            <w:shd w:fill="auto" w:val="clear"/>
            <w:tcMar>
              <w:top w:type="dxa" w:w="0"/>
              <w:left w:type="dxa" w:w="70"/>
              <w:bottom w:type="dxa" w:w="0"/>
              <w:right w:type="dxa" w:w="70"/>
            </w:tcMar>
            <w:vAlign w:val="bottom"/>
          </w:tcPr>
          <w:p>
            <w:pPr>
              <w:pStyle w:val="style0"/>
              <w:spacing w:after="60" w:before="0" w:line="240" w:lineRule="auto"/>
              <w:jc w:val="center"/>
            </w:pPr>
            <w:r>
              <w:rPr>
                <w:rFonts w:ascii="Arial" w:cs="Arial" w:hAnsi="Arial"/>
              </w:rPr>
              <w:t>193</w:t>
            </w:r>
          </w:p>
        </w:tc>
      </w:tr>
      <w:tr>
        <w:trPr>
          <w:trHeight w:hRule="atLeast" w:val="284"/>
          <w:cantSplit w:val="false"/>
        </w:trPr>
        <w:tc>
          <w:tcPr>
            <w:tcW w:type="dxa" w:w="1292"/>
            <w:tcBorders/>
            <w:shd w:fill="auto" w:val="clear"/>
            <w:tcMar>
              <w:top w:type="dxa" w:w="0"/>
              <w:left w:type="dxa" w:w="70"/>
              <w:bottom w:type="dxa" w:w="0"/>
              <w:right w:type="dxa" w:w="70"/>
            </w:tcMar>
            <w:vAlign w:val="center"/>
          </w:tcPr>
          <w:p>
            <w:pPr>
              <w:pStyle w:val="style0"/>
              <w:numPr>
                <w:ilvl w:val="0"/>
                <w:numId w:val="47"/>
              </w:numPr>
              <w:snapToGrid w:val="false"/>
              <w:spacing w:after="60" w:before="0" w:line="240" w:lineRule="auto"/>
              <w:ind w:hanging="360" w:left="720" w:right="110"/>
              <w:jc w:val="both"/>
            </w:pPr>
            <w:r>
              <w:rPr>
                <w:rFonts w:ascii="Arial" w:cs="Arial" w:hAnsi="Arial"/>
              </w:rPr>
            </w:r>
          </w:p>
        </w:tc>
        <w:tc>
          <w:tcPr>
            <w:tcW w:type="dxa" w:w="6668"/>
            <w:tcBorders/>
            <w:shd w:fill="auto" w:val="clear"/>
            <w:tcMar>
              <w:top w:type="dxa" w:w="0"/>
              <w:left w:type="dxa" w:w="70"/>
              <w:bottom w:type="dxa" w:w="0"/>
              <w:right w:type="dxa" w:w="70"/>
            </w:tcMar>
            <w:vAlign w:val="center"/>
          </w:tcPr>
          <w:p>
            <w:pPr>
              <w:pStyle w:val="style0"/>
              <w:spacing w:after="60" w:before="0" w:line="240" w:lineRule="auto"/>
              <w:ind w:hanging="0" w:left="0" w:right="110"/>
              <w:jc w:val="both"/>
            </w:pPr>
            <w:r>
              <w:rPr>
                <w:rFonts w:ascii="Arial" w:cs="Arial" w:hAnsi="Arial"/>
                <w:color w:val="000000"/>
              </w:rPr>
              <w:t xml:space="preserve">Conocimiento sobre la intención de los Directivos en desincorporar </w:t>
            </w:r>
            <w:r>
              <w:rPr>
                <w:rFonts w:ascii="Arial" w:cs="Arial" w:hAnsi="Arial"/>
                <w:color w:val="000000"/>
                <w:shd w:fill="FFFFFF" w:val="clear"/>
              </w:rPr>
              <w:t>de los Bienes Nacionales en estado de Obsolescencia, deterioro y corrosión</w:t>
            </w:r>
            <w:r>
              <w:rPr>
                <w:rFonts w:ascii="Arial" w:cs="Arial" w:hAnsi="Arial"/>
              </w:rPr>
              <w:t xml:space="preserve"> ……………………………....</w:t>
            </w:r>
          </w:p>
        </w:tc>
        <w:tc>
          <w:tcPr>
            <w:tcW w:type="dxa" w:w="737"/>
            <w:tcBorders/>
            <w:shd w:fill="auto" w:val="clear"/>
            <w:tcMar>
              <w:top w:type="dxa" w:w="0"/>
              <w:left w:type="dxa" w:w="70"/>
              <w:bottom w:type="dxa" w:w="0"/>
              <w:right w:type="dxa" w:w="70"/>
            </w:tcMar>
            <w:vAlign w:val="bottom"/>
          </w:tcPr>
          <w:p>
            <w:pPr>
              <w:pStyle w:val="style0"/>
              <w:snapToGrid w:val="false"/>
              <w:spacing w:after="60" w:before="0" w:line="240" w:lineRule="auto"/>
              <w:jc w:val="center"/>
            </w:pPr>
            <w:r>
              <w:rPr>
                <w:rFonts w:ascii="Arial" w:cs="Arial" w:hAnsi="Arial"/>
              </w:rPr>
            </w:r>
          </w:p>
          <w:p>
            <w:pPr>
              <w:pStyle w:val="style0"/>
              <w:spacing w:after="60" w:before="0" w:line="240" w:lineRule="auto"/>
              <w:jc w:val="center"/>
            </w:pPr>
            <w:r>
              <w:rPr>
                <w:rFonts w:ascii="Arial" w:cs="Arial" w:hAnsi="Arial"/>
              </w:rPr>
              <w:t>195</w:t>
            </w:r>
          </w:p>
        </w:tc>
      </w:tr>
      <w:tr>
        <w:trPr>
          <w:trHeight w:hRule="atLeast" w:val="284"/>
          <w:cantSplit w:val="false"/>
        </w:trPr>
        <w:tc>
          <w:tcPr>
            <w:tcW w:type="dxa" w:w="1292"/>
            <w:tcBorders/>
            <w:shd w:fill="auto" w:val="clear"/>
            <w:tcMar>
              <w:top w:type="dxa" w:w="0"/>
              <w:left w:type="dxa" w:w="70"/>
              <w:bottom w:type="dxa" w:w="0"/>
              <w:right w:type="dxa" w:w="70"/>
            </w:tcMar>
            <w:vAlign w:val="center"/>
          </w:tcPr>
          <w:p>
            <w:pPr>
              <w:pStyle w:val="style0"/>
              <w:numPr>
                <w:ilvl w:val="0"/>
                <w:numId w:val="47"/>
              </w:numPr>
              <w:snapToGrid w:val="false"/>
              <w:spacing w:after="60" w:before="0" w:line="240" w:lineRule="auto"/>
              <w:ind w:hanging="360" w:left="720" w:right="110"/>
              <w:jc w:val="both"/>
            </w:pPr>
            <w:r>
              <w:rPr>
                <w:rFonts w:ascii="Arial" w:cs="Arial" w:hAnsi="Arial"/>
              </w:rPr>
            </w:r>
          </w:p>
        </w:tc>
        <w:tc>
          <w:tcPr>
            <w:tcW w:type="dxa" w:w="6668"/>
            <w:tcBorders/>
            <w:shd w:fill="auto" w:val="clear"/>
            <w:tcMar>
              <w:top w:type="dxa" w:w="0"/>
              <w:left w:type="dxa" w:w="70"/>
              <w:bottom w:type="dxa" w:w="0"/>
              <w:right w:type="dxa" w:w="70"/>
            </w:tcMar>
            <w:vAlign w:val="center"/>
          </w:tcPr>
          <w:p>
            <w:pPr>
              <w:pStyle w:val="style0"/>
              <w:spacing w:after="60" w:before="0" w:line="240" w:lineRule="auto"/>
              <w:ind w:hanging="0" w:left="0" w:right="110"/>
              <w:jc w:val="both"/>
            </w:pPr>
            <w:r>
              <w:rPr>
                <w:rFonts w:ascii="Arial" w:cs="Arial" w:hAnsi="Arial"/>
                <w:color w:val="000000"/>
              </w:rPr>
              <w:t xml:space="preserve">Opinión para delegar a la comisión </w:t>
            </w:r>
            <w:r>
              <w:rPr>
                <w:rFonts w:ascii="Arial" w:cs="Arial" w:hAnsi="Arial"/>
                <w:color w:val="000000"/>
                <w:shd w:fill="FFFFFF" w:val="clear"/>
              </w:rPr>
              <w:t>realizar anualmente un estudio de factibilidad con respecto a si existe bienes Nacionales en estados de de Obsolescencia, deterioro y corrosión y gestiones su respectivo proceso</w:t>
            </w:r>
            <w:r>
              <w:rPr>
                <w:rFonts w:ascii="Arial" w:cs="Arial" w:hAnsi="Arial"/>
              </w:rPr>
              <w:t>…………………………………….</w:t>
            </w:r>
          </w:p>
        </w:tc>
        <w:tc>
          <w:tcPr>
            <w:tcW w:type="dxa" w:w="737"/>
            <w:tcBorders/>
            <w:shd w:fill="auto" w:val="clear"/>
            <w:tcMar>
              <w:top w:type="dxa" w:w="0"/>
              <w:left w:type="dxa" w:w="70"/>
              <w:bottom w:type="dxa" w:w="0"/>
              <w:right w:type="dxa" w:w="70"/>
            </w:tcMar>
            <w:vAlign w:val="bottom"/>
          </w:tcPr>
          <w:p>
            <w:pPr>
              <w:pStyle w:val="style0"/>
              <w:spacing w:after="60" w:before="0" w:line="240" w:lineRule="auto"/>
              <w:jc w:val="center"/>
            </w:pPr>
            <w:r>
              <w:rPr>
                <w:rFonts w:ascii="Arial" w:cs="Arial" w:eastAsia="Arial" w:hAnsi="Arial"/>
              </w:rPr>
              <w:t xml:space="preserve"> </w:t>
            </w:r>
            <w:r>
              <w:rPr>
                <w:rFonts w:ascii="Arial" w:cs="Arial" w:hAnsi="Arial"/>
              </w:rPr>
              <w:t>197</w:t>
            </w:r>
          </w:p>
        </w:tc>
      </w:tr>
      <w:tr>
        <w:trPr>
          <w:trHeight w:hRule="atLeast" w:val="284"/>
          <w:cantSplit w:val="false"/>
        </w:trPr>
        <w:tc>
          <w:tcPr>
            <w:tcW w:type="dxa" w:w="1292"/>
            <w:tcBorders/>
            <w:shd w:fill="auto" w:val="clear"/>
            <w:tcMar>
              <w:top w:type="dxa" w:w="0"/>
              <w:left w:type="dxa" w:w="70"/>
              <w:bottom w:type="dxa" w:w="0"/>
              <w:right w:type="dxa" w:w="70"/>
            </w:tcMar>
            <w:vAlign w:val="center"/>
          </w:tcPr>
          <w:p>
            <w:pPr>
              <w:pStyle w:val="style0"/>
              <w:numPr>
                <w:ilvl w:val="0"/>
                <w:numId w:val="47"/>
              </w:numPr>
              <w:snapToGrid w:val="false"/>
              <w:spacing w:after="60" w:before="0" w:line="240" w:lineRule="auto"/>
              <w:ind w:hanging="360" w:left="720" w:right="110"/>
              <w:jc w:val="both"/>
            </w:pPr>
            <w:r>
              <w:rPr>
                <w:rFonts w:ascii="Arial" w:cs="Arial" w:hAnsi="Arial"/>
              </w:rPr>
            </w:r>
          </w:p>
        </w:tc>
        <w:tc>
          <w:tcPr>
            <w:tcW w:type="dxa" w:w="6668"/>
            <w:tcBorders/>
            <w:shd w:fill="auto" w:val="clear"/>
            <w:tcMar>
              <w:top w:type="dxa" w:w="0"/>
              <w:left w:type="dxa" w:w="70"/>
              <w:bottom w:type="dxa" w:w="0"/>
              <w:right w:type="dxa" w:w="70"/>
            </w:tcMar>
            <w:vAlign w:val="center"/>
          </w:tcPr>
          <w:p>
            <w:pPr>
              <w:pStyle w:val="style0"/>
              <w:spacing w:after="60" w:before="0" w:line="240" w:lineRule="auto"/>
              <w:ind w:hanging="0" w:left="0" w:right="110"/>
              <w:jc w:val="both"/>
            </w:pPr>
            <w:r>
              <w:rPr>
                <w:rFonts w:ascii="Arial" w:cs="Arial" w:hAnsi="Arial"/>
                <w:color w:val="000000"/>
              </w:rPr>
              <w:t xml:space="preserve">Conocimiento sobre la gestión de los directivos con respecto a la información </w:t>
            </w:r>
            <w:r>
              <w:rPr>
                <w:rFonts w:ascii="Arial" w:cs="Arial" w:hAnsi="Arial"/>
                <w:color w:val="000000"/>
                <w:shd w:fill="FFFFFF" w:val="clear"/>
              </w:rPr>
              <w:t>ante la Empresa Siderúrgica para la enajenación, permuta o donación de las chatarras</w:t>
            </w:r>
            <w:r>
              <w:rPr>
                <w:rFonts w:ascii="Arial" w:cs="Arial" w:hAnsi="Arial"/>
              </w:rPr>
              <w:t>……………………………..…</w:t>
            </w:r>
          </w:p>
        </w:tc>
        <w:tc>
          <w:tcPr>
            <w:tcW w:type="dxa" w:w="737"/>
            <w:tcBorders/>
            <w:shd w:fill="auto" w:val="clear"/>
            <w:tcMar>
              <w:top w:type="dxa" w:w="0"/>
              <w:left w:type="dxa" w:w="70"/>
              <w:bottom w:type="dxa" w:w="0"/>
              <w:right w:type="dxa" w:w="70"/>
            </w:tcMar>
            <w:vAlign w:val="bottom"/>
          </w:tcPr>
          <w:p>
            <w:pPr>
              <w:pStyle w:val="style0"/>
              <w:spacing w:after="60" w:before="0" w:line="240" w:lineRule="auto"/>
              <w:jc w:val="center"/>
            </w:pPr>
            <w:r>
              <w:rPr>
                <w:rFonts w:ascii="Arial" w:cs="Arial" w:hAnsi="Arial"/>
              </w:rPr>
              <w:t xml:space="preserve">199 </w:t>
            </w:r>
          </w:p>
        </w:tc>
      </w:tr>
      <w:tr>
        <w:trPr>
          <w:trHeight w:hRule="atLeast" w:val="284"/>
          <w:cantSplit w:val="false"/>
        </w:trPr>
        <w:tc>
          <w:tcPr>
            <w:tcW w:type="dxa" w:w="1292"/>
            <w:tcBorders/>
            <w:shd w:fill="auto" w:val="clear"/>
            <w:tcMar>
              <w:top w:type="dxa" w:w="0"/>
              <w:left w:type="dxa" w:w="70"/>
              <w:bottom w:type="dxa" w:w="0"/>
              <w:right w:type="dxa" w:w="70"/>
            </w:tcMar>
            <w:vAlign w:val="center"/>
          </w:tcPr>
          <w:p>
            <w:pPr>
              <w:pStyle w:val="style0"/>
              <w:numPr>
                <w:ilvl w:val="0"/>
                <w:numId w:val="47"/>
              </w:numPr>
              <w:snapToGrid w:val="false"/>
              <w:spacing w:after="60" w:before="0" w:line="240" w:lineRule="auto"/>
              <w:ind w:hanging="360" w:left="720" w:right="110"/>
              <w:jc w:val="both"/>
            </w:pPr>
            <w:r>
              <w:rPr>
                <w:rFonts w:ascii="Arial" w:cs="Arial" w:hAnsi="Arial"/>
              </w:rPr>
            </w:r>
          </w:p>
        </w:tc>
        <w:tc>
          <w:tcPr>
            <w:tcW w:type="dxa" w:w="6668"/>
            <w:tcBorders/>
            <w:shd w:fill="auto" w:val="clear"/>
            <w:tcMar>
              <w:top w:type="dxa" w:w="0"/>
              <w:left w:type="dxa" w:w="70"/>
              <w:bottom w:type="dxa" w:w="0"/>
              <w:right w:type="dxa" w:w="70"/>
            </w:tcMar>
            <w:vAlign w:val="center"/>
          </w:tcPr>
          <w:p>
            <w:pPr>
              <w:pStyle w:val="style0"/>
              <w:spacing w:after="60" w:before="0" w:line="240" w:lineRule="auto"/>
              <w:ind w:hanging="0" w:left="0" w:right="110"/>
              <w:jc w:val="both"/>
            </w:pPr>
            <w:r>
              <w:rPr>
                <w:rFonts w:ascii="Arial" w:cs="Arial" w:hAnsi="Arial"/>
                <w:lang w:val="es-VE"/>
              </w:rPr>
              <w:t xml:space="preserve">Conocimiento sobre la visión como elemento para mejorar las estrategias </w:t>
            </w:r>
            <w:r>
              <w:rPr>
                <w:rFonts w:ascii="Arial" w:cs="Arial" w:hAnsi="Arial"/>
                <w:color w:val="000000"/>
                <w:shd w:fill="FFFFFF" w:val="clear"/>
              </w:rPr>
              <w:t>en cuanto a desincorporación de los Bienes Nacionales en estado de Obsolescencia, deterioro y corrosión</w:t>
            </w:r>
            <w:r>
              <w:rPr>
                <w:rFonts w:ascii="Arial" w:cs="Arial" w:hAnsi="Arial"/>
              </w:rPr>
              <w:t>….</w:t>
            </w:r>
          </w:p>
        </w:tc>
        <w:tc>
          <w:tcPr>
            <w:tcW w:type="dxa" w:w="737"/>
            <w:tcBorders/>
            <w:shd w:fill="auto" w:val="clear"/>
            <w:tcMar>
              <w:top w:type="dxa" w:w="0"/>
              <w:left w:type="dxa" w:w="70"/>
              <w:bottom w:type="dxa" w:w="0"/>
              <w:right w:type="dxa" w:w="70"/>
            </w:tcMar>
            <w:vAlign w:val="bottom"/>
          </w:tcPr>
          <w:p>
            <w:pPr>
              <w:pStyle w:val="style0"/>
              <w:spacing w:after="60" w:before="0" w:line="240" w:lineRule="auto"/>
              <w:jc w:val="center"/>
            </w:pPr>
            <w:r>
              <w:rPr>
                <w:rFonts w:ascii="Arial" w:cs="Arial" w:hAnsi="Arial"/>
              </w:rPr>
              <w:t xml:space="preserve">201 </w:t>
            </w:r>
          </w:p>
        </w:tc>
      </w:tr>
      <w:tr>
        <w:trPr>
          <w:trHeight w:hRule="atLeast" w:val="284"/>
          <w:cantSplit w:val="false"/>
        </w:trPr>
        <w:tc>
          <w:tcPr>
            <w:tcW w:type="dxa" w:w="1292"/>
            <w:tcBorders/>
            <w:shd w:fill="auto" w:val="clear"/>
            <w:tcMar>
              <w:top w:type="dxa" w:w="0"/>
              <w:left w:type="dxa" w:w="70"/>
              <w:bottom w:type="dxa" w:w="0"/>
              <w:right w:type="dxa" w:w="70"/>
            </w:tcMar>
            <w:vAlign w:val="center"/>
          </w:tcPr>
          <w:p>
            <w:pPr>
              <w:pStyle w:val="style0"/>
              <w:numPr>
                <w:ilvl w:val="0"/>
                <w:numId w:val="47"/>
              </w:numPr>
              <w:snapToGrid w:val="false"/>
              <w:spacing w:after="60" w:before="0" w:line="240" w:lineRule="auto"/>
              <w:ind w:hanging="360" w:left="720" w:right="110"/>
              <w:jc w:val="both"/>
            </w:pPr>
            <w:r>
              <w:rPr>
                <w:rFonts w:ascii="Arial" w:cs="Arial" w:hAnsi="Arial"/>
              </w:rPr>
            </w:r>
          </w:p>
        </w:tc>
        <w:tc>
          <w:tcPr>
            <w:tcW w:type="dxa" w:w="6668"/>
            <w:tcBorders/>
            <w:shd w:fill="auto" w:val="clear"/>
            <w:tcMar>
              <w:top w:type="dxa" w:w="0"/>
              <w:left w:type="dxa" w:w="70"/>
              <w:bottom w:type="dxa" w:w="0"/>
              <w:right w:type="dxa" w:w="70"/>
            </w:tcMar>
            <w:vAlign w:val="center"/>
          </w:tcPr>
          <w:p>
            <w:pPr>
              <w:pStyle w:val="style197"/>
              <w:spacing w:after="0" w:before="0"/>
              <w:jc w:val="both"/>
            </w:pPr>
            <w:r>
              <w:rPr>
                <w:rStyle w:val="style168"/>
                <w:rFonts w:ascii="Arial" w:cs="Arial" w:hAnsi="Arial"/>
                <w:color w:val="000000"/>
                <w:sz w:val="22"/>
                <w:szCs w:val="22"/>
              </w:rPr>
              <w:t>Parque Automotor en etapa de deterioro, obsolescencia y corrosión………………………………………………………………….</w:t>
            </w:r>
          </w:p>
        </w:tc>
        <w:tc>
          <w:tcPr>
            <w:tcW w:type="dxa" w:w="737"/>
            <w:tcBorders/>
            <w:shd w:fill="auto" w:val="clear"/>
            <w:tcMar>
              <w:top w:type="dxa" w:w="0"/>
              <w:left w:type="dxa" w:w="70"/>
              <w:bottom w:type="dxa" w:w="0"/>
              <w:right w:type="dxa" w:w="70"/>
            </w:tcMar>
            <w:vAlign w:val="bottom"/>
          </w:tcPr>
          <w:p>
            <w:pPr>
              <w:pStyle w:val="style0"/>
              <w:spacing w:after="60" w:before="0" w:line="240" w:lineRule="auto"/>
              <w:jc w:val="center"/>
            </w:pPr>
            <w:r>
              <w:rPr>
                <w:rFonts w:ascii="Arial" w:cs="Arial" w:hAnsi="Arial"/>
              </w:rPr>
              <w:t>208</w:t>
            </w:r>
          </w:p>
        </w:tc>
      </w:tr>
      <w:tr>
        <w:trPr>
          <w:trHeight w:hRule="atLeast" w:val="284"/>
          <w:cantSplit w:val="false"/>
        </w:trPr>
        <w:tc>
          <w:tcPr>
            <w:tcW w:type="dxa" w:w="1292"/>
            <w:tcBorders/>
            <w:shd w:fill="auto" w:val="clear"/>
            <w:tcMar>
              <w:top w:type="dxa" w:w="0"/>
              <w:left w:type="dxa" w:w="70"/>
              <w:bottom w:type="dxa" w:w="0"/>
              <w:right w:type="dxa" w:w="70"/>
            </w:tcMar>
            <w:vAlign w:val="center"/>
          </w:tcPr>
          <w:p>
            <w:pPr>
              <w:pStyle w:val="style0"/>
              <w:numPr>
                <w:ilvl w:val="0"/>
                <w:numId w:val="47"/>
              </w:numPr>
              <w:snapToGrid w:val="false"/>
              <w:spacing w:after="60" w:before="0" w:line="240" w:lineRule="auto"/>
              <w:ind w:hanging="360" w:left="720" w:right="110"/>
              <w:jc w:val="both"/>
            </w:pPr>
            <w:r>
              <w:rPr>
                <w:rFonts w:ascii="Arial" w:cs="Arial" w:hAnsi="Arial"/>
              </w:rPr>
            </w:r>
          </w:p>
        </w:tc>
        <w:tc>
          <w:tcPr>
            <w:tcW w:type="dxa" w:w="6668"/>
            <w:tcBorders/>
            <w:shd w:fill="auto" w:val="clear"/>
            <w:tcMar>
              <w:top w:type="dxa" w:w="0"/>
              <w:left w:type="dxa" w:w="70"/>
              <w:bottom w:type="dxa" w:w="0"/>
              <w:right w:type="dxa" w:w="70"/>
            </w:tcMar>
            <w:vAlign w:val="center"/>
          </w:tcPr>
          <w:p>
            <w:pPr>
              <w:pStyle w:val="style197"/>
              <w:spacing w:after="0" w:before="0"/>
              <w:jc w:val="both"/>
            </w:pPr>
            <w:r>
              <w:rPr>
                <w:rStyle w:val="style168"/>
                <w:rFonts w:ascii="Arial" w:cs="Arial" w:hAnsi="Arial"/>
                <w:color w:val="000000"/>
                <w:sz w:val="22"/>
                <w:szCs w:val="22"/>
              </w:rPr>
              <w:t>Descripción de los bienes en etapa de deterioro, obsolescencia y corrosión………………………………………………………………….</w:t>
            </w:r>
          </w:p>
        </w:tc>
        <w:tc>
          <w:tcPr>
            <w:tcW w:type="dxa" w:w="737"/>
            <w:tcBorders/>
            <w:shd w:fill="auto" w:val="clear"/>
            <w:tcMar>
              <w:top w:type="dxa" w:w="0"/>
              <w:left w:type="dxa" w:w="70"/>
              <w:bottom w:type="dxa" w:w="0"/>
              <w:right w:type="dxa" w:w="70"/>
            </w:tcMar>
            <w:vAlign w:val="bottom"/>
          </w:tcPr>
          <w:p>
            <w:pPr>
              <w:pStyle w:val="style0"/>
              <w:spacing w:after="60" w:before="0" w:line="240" w:lineRule="auto"/>
              <w:jc w:val="center"/>
            </w:pPr>
            <w:r>
              <w:rPr>
                <w:rFonts w:ascii="Arial" w:cs="Arial" w:hAnsi="Arial"/>
              </w:rPr>
              <w:t>209</w:t>
            </w:r>
          </w:p>
        </w:tc>
      </w:tr>
      <w:tr>
        <w:trPr>
          <w:trHeight w:hRule="atLeast" w:val="284"/>
          <w:cantSplit w:val="false"/>
        </w:trPr>
        <w:tc>
          <w:tcPr>
            <w:tcW w:type="dxa" w:w="1292"/>
            <w:tcBorders/>
            <w:shd w:fill="auto" w:val="clear"/>
            <w:tcMar>
              <w:top w:type="dxa" w:w="0"/>
              <w:left w:type="dxa" w:w="70"/>
              <w:bottom w:type="dxa" w:w="0"/>
              <w:right w:type="dxa" w:w="70"/>
            </w:tcMar>
            <w:vAlign w:val="center"/>
          </w:tcPr>
          <w:p>
            <w:pPr>
              <w:pStyle w:val="style0"/>
              <w:numPr>
                <w:ilvl w:val="0"/>
                <w:numId w:val="47"/>
              </w:numPr>
              <w:snapToGrid w:val="false"/>
              <w:spacing w:after="60" w:before="0" w:line="240" w:lineRule="auto"/>
              <w:ind w:hanging="360" w:left="720" w:right="110"/>
              <w:jc w:val="both"/>
            </w:pPr>
            <w:r>
              <w:rPr>
                <w:rFonts w:ascii="Arial" w:cs="Arial" w:hAnsi="Arial"/>
              </w:rPr>
            </w:r>
          </w:p>
        </w:tc>
        <w:tc>
          <w:tcPr>
            <w:tcW w:type="dxa" w:w="6668"/>
            <w:tcBorders/>
            <w:shd w:fill="auto" w:val="clear"/>
            <w:tcMar>
              <w:top w:type="dxa" w:w="0"/>
              <w:left w:type="dxa" w:w="70"/>
              <w:bottom w:type="dxa" w:w="0"/>
              <w:right w:type="dxa" w:w="70"/>
            </w:tcMar>
            <w:vAlign w:val="center"/>
          </w:tcPr>
          <w:p>
            <w:pPr>
              <w:pStyle w:val="style197"/>
              <w:spacing w:after="0" w:before="0"/>
              <w:jc w:val="both"/>
            </w:pPr>
            <w:r>
              <w:rPr>
                <w:rStyle w:val="style168"/>
                <w:rFonts w:ascii="Arial" w:cs="Arial" w:hAnsi="Arial"/>
                <w:color w:val="000000"/>
                <w:sz w:val="22"/>
                <w:szCs w:val="22"/>
              </w:rPr>
              <w:t>Descripción de los bienes en etapa de deterioro, obsolescencia y corrosión………………………………………………………………….</w:t>
            </w:r>
          </w:p>
        </w:tc>
        <w:tc>
          <w:tcPr>
            <w:tcW w:type="dxa" w:w="737"/>
            <w:tcBorders/>
            <w:shd w:fill="auto" w:val="clear"/>
            <w:tcMar>
              <w:top w:type="dxa" w:w="0"/>
              <w:left w:type="dxa" w:w="70"/>
              <w:bottom w:type="dxa" w:w="0"/>
              <w:right w:type="dxa" w:w="70"/>
            </w:tcMar>
            <w:vAlign w:val="bottom"/>
          </w:tcPr>
          <w:p>
            <w:pPr>
              <w:pStyle w:val="style0"/>
              <w:spacing w:after="60" w:before="0" w:line="240" w:lineRule="auto"/>
              <w:jc w:val="center"/>
            </w:pPr>
            <w:r>
              <w:rPr>
                <w:rFonts w:ascii="Arial" w:cs="Arial" w:hAnsi="Arial"/>
              </w:rPr>
              <w:t>210</w:t>
            </w:r>
          </w:p>
        </w:tc>
      </w:tr>
      <w:tr>
        <w:trPr>
          <w:trHeight w:hRule="atLeast" w:val="284"/>
          <w:cantSplit w:val="false"/>
        </w:trPr>
        <w:tc>
          <w:tcPr>
            <w:tcW w:type="dxa" w:w="1292"/>
            <w:tcBorders/>
            <w:shd w:fill="auto" w:val="clear"/>
            <w:tcMar>
              <w:top w:type="dxa" w:w="0"/>
              <w:left w:type="dxa" w:w="70"/>
              <w:bottom w:type="dxa" w:w="0"/>
              <w:right w:type="dxa" w:w="70"/>
            </w:tcMar>
            <w:vAlign w:val="center"/>
          </w:tcPr>
          <w:p>
            <w:pPr>
              <w:pStyle w:val="style0"/>
              <w:numPr>
                <w:ilvl w:val="0"/>
                <w:numId w:val="47"/>
              </w:numPr>
              <w:snapToGrid w:val="false"/>
              <w:spacing w:after="60" w:before="0" w:line="240" w:lineRule="auto"/>
              <w:ind w:hanging="360" w:left="720" w:right="110"/>
              <w:jc w:val="both"/>
            </w:pPr>
            <w:r>
              <w:rPr>
                <w:rFonts w:ascii="Arial" w:cs="Arial" w:hAnsi="Arial"/>
              </w:rPr>
            </w:r>
          </w:p>
        </w:tc>
        <w:tc>
          <w:tcPr>
            <w:tcW w:type="dxa" w:w="6668"/>
            <w:tcBorders/>
            <w:shd w:fill="auto" w:val="clear"/>
            <w:tcMar>
              <w:top w:type="dxa" w:w="0"/>
              <w:left w:type="dxa" w:w="70"/>
              <w:bottom w:type="dxa" w:w="0"/>
              <w:right w:type="dxa" w:w="70"/>
            </w:tcMar>
            <w:vAlign w:val="center"/>
          </w:tcPr>
          <w:p>
            <w:pPr>
              <w:pStyle w:val="style197"/>
              <w:spacing w:after="0" w:before="0"/>
              <w:jc w:val="both"/>
            </w:pPr>
            <w:r>
              <w:rPr>
                <w:rStyle w:val="style168"/>
                <w:rFonts w:ascii="Arial" w:cs="Arial" w:hAnsi="Arial"/>
                <w:color w:val="000000"/>
                <w:sz w:val="22"/>
                <w:szCs w:val="22"/>
              </w:rPr>
              <w:t>Descripción de los bienes en etapa de deterioro, obsolescencia y corrosión………………………………………………………………….</w:t>
            </w:r>
          </w:p>
        </w:tc>
        <w:tc>
          <w:tcPr>
            <w:tcW w:type="dxa" w:w="737"/>
            <w:tcBorders/>
            <w:shd w:fill="auto" w:val="clear"/>
            <w:tcMar>
              <w:top w:type="dxa" w:w="0"/>
              <w:left w:type="dxa" w:w="70"/>
              <w:bottom w:type="dxa" w:w="0"/>
              <w:right w:type="dxa" w:w="70"/>
            </w:tcMar>
            <w:vAlign w:val="bottom"/>
          </w:tcPr>
          <w:p>
            <w:pPr>
              <w:pStyle w:val="style0"/>
              <w:spacing w:after="60" w:before="0" w:line="240" w:lineRule="auto"/>
              <w:jc w:val="center"/>
            </w:pPr>
            <w:r>
              <w:rPr>
                <w:rFonts w:ascii="Arial" w:cs="Arial" w:hAnsi="Arial"/>
              </w:rPr>
              <w:t>211</w:t>
            </w:r>
          </w:p>
        </w:tc>
      </w:tr>
      <w:tr>
        <w:trPr>
          <w:trHeight w:hRule="atLeast" w:val="284"/>
          <w:cantSplit w:val="false"/>
        </w:trPr>
        <w:tc>
          <w:tcPr>
            <w:tcW w:type="dxa" w:w="1292"/>
            <w:tcBorders/>
            <w:shd w:fill="auto" w:val="clear"/>
            <w:tcMar>
              <w:top w:type="dxa" w:w="0"/>
              <w:left w:type="dxa" w:w="70"/>
              <w:bottom w:type="dxa" w:w="0"/>
              <w:right w:type="dxa" w:w="70"/>
            </w:tcMar>
            <w:vAlign w:val="center"/>
          </w:tcPr>
          <w:p>
            <w:pPr>
              <w:pStyle w:val="style0"/>
              <w:numPr>
                <w:ilvl w:val="0"/>
                <w:numId w:val="47"/>
              </w:numPr>
              <w:snapToGrid w:val="false"/>
              <w:spacing w:after="60" w:before="0" w:line="240" w:lineRule="auto"/>
              <w:ind w:hanging="360" w:left="720" w:right="110"/>
              <w:jc w:val="both"/>
            </w:pPr>
            <w:r>
              <w:rPr>
                <w:rFonts w:ascii="Arial" w:cs="Arial" w:hAnsi="Arial"/>
              </w:rPr>
            </w:r>
          </w:p>
        </w:tc>
        <w:tc>
          <w:tcPr>
            <w:tcW w:type="dxa" w:w="6668"/>
            <w:tcBorders/>
            <w:shd w:fill="auto" w:val="clear"/>
            <w:tcMar>
              <w:top w:type="dxa" w:w="0"/>
              <w:left w:type="dxa" w:w="70"/>
              <w:bottom w:type="dxa" w:w="0"/>
              <w:right w:type="dxa" w:w="70"/>
            </w:tcMar>
            <w:vAlign w:val="center"/>
          </w:tcPr>
          <w:p>
            <w:pPr>
              <w:pStyle w:val="style197"/>
              <w:spacing w:after="0" w:before="0"/>
              <w:jc w:val="both"/>
            </w:pPr>
            <w:r>
              <w:rPr>
                <w:rStyle w:val="style168"/>
                <w:rFonts w:ascii="Arial" w:cs="Arial" w:hAnsi="Arial"/>
                <w:color w:val="000000"/>
                <w:sz w:val="22"/>
                <w:szCs w:val="22"/>
              </w:rPr>
              <w:t>Descripción de los bienes en etapa de deterioro, obsolescencia y corrosión…………………………………………………………………</w:t>
            </w:r>
          </w:p>
        </w:tc>
        <w:tc>
          <w:tcPr>
            <w:tcW w:type="dxa" w:w="737"/>
            <w:tcBorders/>
            <w:shd w:fill="auto" w:val="clear"/>
            <w:tcMar>
              <w:top w:type="dxa" w:w="0"/>
              <w:left w:type="dxa" w:w="70"/>
              <w:bottom w:type="dxa" w:w="0"/>
              <w:right w:type="dxa" w:w="70"/>
            </w:tcMar>
            <w:vAlign w:val="bottom"/>
          </w:tcPr>
          <w:p>
            <w:pPr>
              <w:pStyle w:val="style0"/>
              <w:spacing w:after="60" w:before="0" w:line="240" w:lineRule="auto"/>
              <w:jc w:val="center"/>
            </w:pPr>
            <w:r>
              <w:rPr>
                <w:rFonts w:ascii="Arial" w:cs="Arial" w:hAnsi="Arial"/>
              </w:rPr>
              <w:t>212</w:t>
            </w:r>
          </w:p>
        </w:tc>
      </w:tr>
      <w:tr>
        <w:trPr>
          <w:trHeight w:hRule="atLeast" w:val="284"/>
          <w:cantSplit w:val="false"/>
        </w:trPr>
        <w:tc>
          <w:tcPr>
            <w:tcW w:type="dxa" w:w="1292"/>
            <w:tcBorders/>
            <w:shd w:fill="auto" w:val="clear"/>
            <w:tcMar>
              <w:top w:type="dxa" w:w="0"/>
              <w:left w:type="dxa" w:w="70"/>
              <w:bottom w:type="dxa" w:w="0"/>
              <w:right w:type="dxa" w:w="70"/>
            </w:tcMar>
            <w:vAlign w:val="center"/>
          </w:tcPr>
          <w:p>
            <w:pPr>
              <w:pStyle w:val="style0"/>
              <w:numPr>
                <w:ilvl w:val="0"/>
                <w:numId w:val="47"/>
              </w:numPr>
              <w:snapToGrid w:val="false"/>
              <w:spacing w:after="60" w:before="0" w:line="240" w:lineRule="auto"/>
              <w:ind w:hanging="360" w:left="720" w:right="110"/>
              <w:jc w:val="both"/>
            </w:pPr>
            <w:r>
              <w:rPr>
                <w:rFonts w:ascii="Arial" w:cs="Arial" w:hAnsi="Arial"/>
              </w:rPr>
            </w:r>
          </w:p>
        </w:tc>
        <w:tc>
          <w:tcPr>
            <w:tcW w:type="dxa" w:w="6668"/>
            <w:tcBorders/>
            <w:shd w:fill="auto" w:val="clear"/>
            <w:tcMar>
              <w:top w:type="dxa" w:w="0"/>
              <w:left w:type="dxa" w:w="70"/>
              <w:bottom w:type="dxa" w:w="0"/>
              <w:right w:type="dxa" w:w="70"/>
            </w:tcMar>
            <w:vAlign w:val="center"/>
          </w:tcPr>
          <w:p>
            <w:pPr>
              <w:pStyle w:val="style197"/>
              <w:spacing w:after="0" w:before="0" w:line="360" w:lineRule="auto"/>
              <w:jc w:val="both"/>
            </w:pPr>
            <w:r>
              <w:rPr>
                <w:rStyle w:val="style168"/>
                <w:rFonts w:ascii="Arial" w:cs="Arial" w:hAnsi="Arial"/>
                <w:color w:val="000000"/>
                <w:sz w:val="22"/>
                <w:szCs w:val="22"/>
              </w:rPr>
              <w:t>Designación de la Comisión de Enajenación se SEBIP</w:t>
            </w:r>
          </w:p>
        </w:tc>
        <w:tc>
          <w:tcPr>
            <w:tcW w:type="dxa" w:w="737"/>
            <w:tcBorders/>
            <w:shd w:fill="auto" w:val="clear"/>
            <w:tcMar>
              <w:top w:type="dxa" w:w="0"/>
              <w:left w:type="dxa" w:w="70"/>
              <w:bottom w:type="dxa" w:w="0"/>
              <w:right w:type="dxa" w:w="70"/>
            </w:tcMar>
            <w:vAlign w:val="bottom"/>
          </w:tcPr>
          <w:p>
            <w:pPr>
              <w:pStyle w:val="style0"/>
              <w:spacing w:after="60" w:before="0" w:line="240" w:lineRule="auto"/>
              <w:jc w:val="center"/>
            </w:pPr>
            <w:r>
              <w:rPr>
                <w:rFonts w:ascii="Arial" w:cs="Arial" w:hAnsi="Arial"/>
              </w:rPr>
              <w:t>221</w:t>
            </w:r>
          </w:p>
        </w:tc>
      </w:tr>
      <w:tr>
        <w:trPr>
          <w:trHeight w:hRule="atLeast" w:val="284"/>
          <w:cantSplit w:val="false"/>
        </w:trPr>
        <w:tc>
          <w:tcPr>
            <w:tcW w:type="dxa" w:w="1292"/>
            <w:tcBorders/>
            <w:shd w:fill="auto" w:val="clear"/>
            <w:tcMar>
              <w:top w:type="dxa" w:w="0"/>
              <w:left w:type="dxa" w:w="70"/>
              <w:bottom w:type="dxa" w:w="0"/>
              <w:right w:type="dxa" w:w="70"/>
            </w:tcMar>
            <w:vAlign w:val="center"/>
          </w:tcPr>
          <w:p>
            <w:pPr>
              <w:pStyle w:val="style0"/>
              <w:numPr>
                <w:ilvl w:val="0"/>
                <w:numId w:val="47"/>
              </w:numPr>
              <w:snapToGrid w:val="false"/>
              <w:spacing w:after="60" w:before="0" w:line="240" w:lineRule="auto"/>
              <w:ind w:hanging="360" w:left="720" w:right="110"/>
              <w:jc w:val="both"/>
            </w:pPr>
            <w:r>
              <w:rPr>
                <w:rFonts w:ascii="Arial" w:cs="Arial" w:hAnsi="Arial"/>
              </w:rPr>
            </w:r>
          </w:p>
        </w:tc>
        <w:tc>
          <w:tcPr>
            <w:tcW w:type="dxa" w:w="6668"/>
            <w:tcBorders/>
            <w:shd w:fill="auto" w:val="clear"/>
            <w:tcMar>
              <w:top w:type="dxa" w:w="0"/>
              <w:left w:type="dxa" w:w="70"/>
              <w:bottom w:type="dxa" w:w="0"/>
              <w:right w:type="dxa" w:w="70"/>
            </w:tcMar>
            <w:vAlign w:val="center"/>
          </w:tcPr>
          <w:p>
            <w:pPr>
              <w:pStyle w:val="style197"/>
              <w:spacing w:after="0" w:before="0"/>
              <w:jc w:val="both"/>
            </w:pPr>
            <w:r>
              <w:rPr>
                <w:rFonts w:ascii="Arial" w:cs="Arial" w:hAnsi="Arial"/>
                <w:color w:val="000000"/>
                <w:sz w:val="22"/>
                <w:szCs w:val="22"/>
              </w:rPr>
              <w:t>Análisis DOFA Unidades de Administración - Oficina Bienes Públicos y Consultoría Jurídica………………………………………..</w:t>
            </w:r>
          </w:p>
        </w:tc>
        <w:tc>
          <w:tcPr>
            <w:tcW w:type="dxa" w:w="737"/>
            <w:tcBorders/>
            <w:shd w:fill="auto" w:val="clear"/>
            <w:tcMar>
              <w:top w:type="dxa" w:w="0"/>
              <w:left w:type="dxa" w:w="70"/>
              <w:bottom w:type="dxa" w:w="0"/>
              <w:right w:type="dxa" w:w="70"/>
            </w:tcMar>
            <w:vAlign w:val="bottom"/>
          </w:tcPr>
          <w:p>
            <w:pPr>
              <w:pStyle w:val="style0"/>
              <w:spacing w:after="60" w:before="0" w:line="240" w:lineRule="auto"/>
              <w:jc w:val="center"/>
            </w:pPr>
            <w:r>
              <w:rPr>
                <w:rFonts w:ascii="Arial" w:cs="Arial" w:hAnsi="Arial"/>
              </w:rPr>
              <w:t>251</w:t>
            </w:r>
          </w:p>
        </w:tc>
      </w:tr>
      <w:tr>
        <w:trPr>
          <w:trHeight w:hRule="atLeast" w:val="284"/>
          <w:cantSplit w:val="false"/>
        </w:trPr>
        <w:tc>
          <w:tcPr>
            <w:tcW w:type="dxa" w:w="1292"/>
            <w:tcBorders/>
            <w:shd w:fill="auto" w:val="clear"/>
            <w:tcMar>
              <w:top w:type="dxa" w:w="0"/>
              <w:left w:type="dxa" w:w="70"/>
              <w:bottom w:type="dxa" w:w="0"/>
              <w:right w:type="dxa" w:w="70"/>
            </w:tcMar>
            <w:vAlign w:val="center"/>
          </w:tcPr>
          <w:p>
            <w:pPr>
              <w:pStyle w:val="style0"/>
              <w:snapToGrid w:val="false"/>
              <w:spacing w:after="60" w:before="0" w:line="240" w:lineRule="auto"/>
              <w:ind w:hanging="0" w:left="720" w:right="110"/>
              <w:jc w:val="both"/>
            </w:pPr>
            <w:r>
              <w:rPr>
                <w:rFonts w:ascii="Arial" w:cs="Arial" w:hAnsi="Arial"/>
              </w:rPr>
            </w:r>
          </w:p>
        </w:tc>
        <w:tc>
          <w:tcPr>
            <w:tcW w:type="dxa" w:w="6668"/>
            <w:tcBorders/>
            <w:shd w:fill="auto" w:val="clear"/>
            <w:tcMar>
              <w:top w:type="dxa" w:w="0"/>
              <w:left w:type="dxa" w:w="70"/>
              <w:bottom w:type="dxa" w:w="0"/>
              <w:right w:type="dxa" w:w="70"/>
            </w:tcMar>
            <w:vAlign w:val="center"/>
          </w:tcPr>
          <w:p>
            <w:pPr>
              <w:pStyle w:val="style197"/>
              <w:snapToGrid w:val="false"/>
              <w:spacing w:after="0" w:before="0" w:line="360" w:lineRule="auto"/>
              <w:jc w:val="both"/>
            </w:pPr>
            <w:r>
              <w:rPr/>
            </w:r>
          </w:p>
        </w:tc>
        <w:tc>
          <w:tcPr>
            <w:tcW w:type="dxa" w:w="737"/>
            <w:tcBorders/>
            <w:shd w:fill="auto" w:val="clear"/>
            <w:tcMar>
              <w:top w:type="dxa" w:w="0"/>
              <w:left w:type="dxa" w:w="70"/>
              <w:bottom w:type="dxa" w:w="0"/>
              <w:right w:type="dxa" w:w="70"/>
            </w:tcMar>
            <w:vAlign w:val="bottom"/>
          </w:tcPr>
          <w:p>
            <w:pPr>
              <w:pStyle w:val="style0"/>
              <w:snapToGrid w:val="false"/>
              <w:spacing w:after="60" w:before="0" w:line="240" w:lineRule="auto"/>
              <w:jc w:val="center"/>
            </w:pPr>
            <w:r>
              <w:rPr>
                <w:rFonts w:ascii="Arial" w:cs="Arial" w:hAnsi="Arial"/>
              </w:rPr>
            </w:r>
          </w:p>
        </w:tc>
      </w:tr>
    </w:tbl>
    <w:p>
      <w:pPr>
        <w:pStyle w:val="style0"/>
        <w:pageBreakBefore/>
        <w:spacing w:line="360" w:lineRule="auto"/>
        <w:jc w:val="center"/>
      </w:pPr>
      <w:r>
        <w:rPr>
          <w:rFonts w:ascii="Arial" w:cs="Arial" w:hAnsi="Arial"/>
          <w:b/>
        </w:rPr>
        <w:t>INDICE DE GRAFICOS</w:t>
      </w:r>
    </w:p>
    <w:tbl>
      <w:tblPr>
        <w:jc w:val="left"/>
        <w:tblInd w:type="dxa" w:w="-108"/>
        <w:tblBorders/>
      </w:tblPr>
      <w:tblGrid>
        <w:gridCol w:w="1428"/>
        <w:gridCol w:w="6618"/>
        <w:gridCol w:w="840"/>
      </w:tblGrid>
      <w:tr>
        <w:trPr>
          <w:trHeight w:hRule="atLeast" w:val="284"/>
          <w:cantSplit w:val="false"/>
        </w:trPr>
        <w:tc>
          <w:tcPr>
            <w:tcW w:type="dxa" w:w="1428"/>
            <w:tcBorders/>
            <w:shd w:fill="auto" w:val="clear"/>
            <w:tcMar>
              <w:top w:type="dxa" w:w="0"/>
              <w:left w:type="dxa" w:w="108"/>
              <w:bottom w:type="dxa" w:w="0"/>
              <w:right w:type="dxa" w:w="108"/>
            </w:tcMar>
          </w:tcPr>
          <w:p>
            <w:pPr>
              <w:pStyle w:val="style0"/>
              <w:spacing w:after="200" w:before="0" w:line="240" w:lineRule="auto"/>
              <w:ind w:hanging="0" w:left="0" w:right="110"/>
              <w:jc w:val="both"/>
            </w:pPr>
            <w:r>
              <w:rPr>
                <w:rFonts w:ascii="Arial" w:cs="Arial" w:hAnsi="Arial"/>
                <w:b/>
              </w:rPr>
              <w:t>GRAFICO</w:t>
            </w:r>
          </w:p>
        </w:tc>
        <w:tc>
          <w:tcPr>
            <w:tcW w:type="dxa" w:w="6618"/>
            <w:tcBorders/>
            <w:shd w:fill="auto" w:val="clear"/>
            <w:tcMar>
              <w:top w:type="dxa" w:w="0"/>
              <w:left w:type="dxa" w:w="108"/>
              <w:bottom w:type="dxa" w:w="0"/>
              <w:right w:type="dxa" w:w="108"/>
            </w:tcMar>
          </w:tcPr>
          <w:p>
            <w:pPr>
              <w:pStyle w:val="style0"/>
              <w:snapToGrid w:val="false"/>
              <w:spacing w:after="200" w:before="0" w:line="240" w:lineRule="auto"/>
              <w:ind w:hanging="0" w:left="0" w:right="110"/>
              <w:jc w:val="both"/>
            </w:pPr>
            <w:r>
              <w:rPr>
                <w:rFonts w:ascii="Arial" w:cs="Arial" w:hAnsi="Arial"/>
              </w:rPr>
            </w:r>
          </w:p>
        </w:tc>
        <w:tc>
          <w:tcPr>
            <w:tcW w:type="dxa" w:w="840"/>
            <w:tcBorders/>
            <w:shd w:fill="auto" w:val="clear"/>
            <w:tcMar>
              <w:top w:type="dxa" w:w="0"/>
              <w:left w:type="dxa" w:w="108"/>
              <w:bottom w:type="dxa" w:w="0"/>
              <w:right w:type="dxa" w:w="108"/>
            </w:tcMar>
          </w:tcPr>
          <w:p>
            <w:pPr>
              <w:pStyle w:val="style0"/>
              <w:snapToGrid w:val="false"/>
              <w:spacing w:after="200" w:before="0" w:line="240" w:lineRule="auto"/>
              <w:jc w:val="center"/>
            </w:pPr>
            <w:r>
              <w:rPr>
                <w:rFonts w:ascii="Arial" w:cs="Arial" w:hAnsi="Arial"/>
              </w:rPr>
            </w:r>
          </w:p>
        </w:tc>
      </w:tr>
      <w:tr>
        <w:trPr>
          <w:trHeight w:hRule="atLeast" w:val="284"/>
          <w:cantSplit w:val="false"/>
        </w:trPr>
        <w:tc>
          <w:tcPr>
            <w:tcW w:type="dxa" w:w="1428"/>
            <w:tcBorders/>
            <w:shd w:fill="auto" w:val="clear"/>
            <w:tcMar>
              <w:top w:type="dxa" w:w="0"/>
              <w:left w:type="dxa" w:w="108"/>
              <w:bottom w:type="dxa" w:w="0"/>
              <w:right w:type="dxa" w:w="108"/>
            </w:tcMar>
          </w:tcPr>
          <w:p>
            <w:pPr>
              <w:pStyle w:val="style0"/>
              <w:numPr>
                <w:ilvl w:val="0"/>
                <w:numId w:val="56"/>
              </w:numPr>
              <w:snapToGrid w:val="false"/>
              <w:spacing w:after="0" w:before="0" w:line="240" w:lineRule="auto"/>
              <w:ind w:hanging="360" w:left="720" w:right="110"/>
              <w:jc w:val="both"/>
            </w:pPr>
            <w:r>
              <w:rPr>
                <w:rFonts w:ascii="Arial" w:cs="Arial" w:hAnsi="Arial"/>
              </w:rPr>
            </w:r>
          </w:p>
        </w:tc>
        <w:tc>
          <w:tcPr>
            <w:tcW w:type="dxa" w:w="6618"/>
            <w:tcBorders/>
            <w:shd w:fill="auto" w:val="clear"/>
            <w:tcMar>
              <w:top w:type="dxa" w:w="0"/>
              <w:left w:type="dxa" w:w="108"/>
              <w:bottom w:type="dxa" w:w="0"/>
              <w:right w:type="dxa" w:w="108"/>
            </w:tcMar>
            <w:vAlign w:val="center"/>
          </w:tcPr>
          <w:p>
            <w:pPr>
              <w:pStyle w:val="style0"/>
              <w:spacing w:after="60" w:before="0" w:line="240" w:lineRule="auto"/>
              <w:ind w:hanging="0" w:left="0" w:right="110"/>
              <w:jc w:val="both"/>
            </w:pPr>
            <w:r>
              <w:rPr>
                <w:rFonts w:ascii="Arial" w:cs="Arial" w:hAnsi="Arial"/>
                <w:bCs/>
              </w:rPr>
              <w:t xml:space="preserve">Conocimiento  de la situación de  los  </w:t>
            </w:r>
            <w:r>
              <w:rPr>
                <w:rFonts w:ascii="Arial" w:cs="Arial" w:hAnsi="Arial"/>
                <w:shd w:fill="FFFFFF" w:val="clear"/>
              </w:rPr>
              <w:t>bienes en condición de  deterioro, obsolescencia y corrosión en los Estados Financieros de la institución como Activo Propiedad, Planta y Equipo</w:t>
            </w:r>
            <w:r>
              <w:rPr>
                <w:rFonts w:ascii="Arial" w:cs="Arial" w:hAnsi="Arial"/>
              </w:rPr>
              <w:t>..…..……….…………………………………………………..</w:t>
            </w:r>
          </w:p>
        </w:tc>
        <w:tc>
          <w:tcPr>
            <w:tcW w:type="dxa" w:w="840"/>
            <w:tcBorders/>
            <w:shd w:fill="auto" w:val="clear"/>
            <w:tcMar>
              <w:top w:type="dxa" w:w="0"/>
              <w:left w:type="dxa" w:w="108"/>
              <w:bottom w:type="dxa" w:w="0"/>
              <w:right w:type="dxa" w:w="108"/>
            </w:tcMar>
            <w:vAlign w:val="bottom"/>
          </w:tcPr>
          <w:p>
            <w:pPr>
              <w:pStyle w:val="style0"/>
              <w:spacing w:after="60" w:before="0" w:line="240" w:lineRule="auto"/>
              <w:jc w:val="center"/>
            </w:pPr>
            <w:r>
              <w:rPr>
                <w:rFonts w:ascii="Arial" w:cs="Arial" w:hAnsi="Arial"/>
              </w:rPr>
              <w:t>160</w:t>
            </w:r>
          </w:p>
        </w:tc>
      </w:tr>
      <w:tr>
        <w:trPr>
          <w:trHeight w:hRule="atLeast" w:val="284"/>
          <w:cantSplit w:val="false"/>
        </w:trPr>
        <w:tc>
          <w:tcPr>
            <w:tcW w:type="dxa" w:w="1428"/>
            <w:tcBorders/>
            <w:shd w:fill="auto" w:val="clear"/>
            <w:tcMar>
              <w:top w:type="dxa" w:w="0"/>
              <w:left w:type="dxa" w:w="108"/>
              <w:bottom w:type="dxa" w:w="0"/>
              <w:right w:type="dxa" w:w="108"/>
            </w:tcMar>
          </w:tcPr>
          <w:p>
            <w:pPr>
              <w:pStyle w:val="style0"/>
              <w:numPr>
                <w:ilvl w:val="0"/>
                <w:numId w:val="56"/>
              </w:numPr>
              <w:snapToGrid w:val="false"/>
              <w:spacing w:after="0" w:before="0" w:line="240" w:lineRule="auto"/>
              <w:ind w:hanging="360" w:left="720" w:right="110"/>
              <w:jc w:val="both"/>
            </w:pPr>
            <w:r>
              <w:rPr>
                <w:rFonts w:ascii="Arial" w:cs="Arial" w:hAnsi="Arial"/>
              </w:rPr>
            </w:r>
          </w:p>
        </w:tc>
        <w:tc>
          <w:tcPr>
            <w:tcW w:type="dxa" w:w="6618"/>
            <w:tcBorders/>
            <w:shd w:fill="auto" w:val="clear"/>
            <w:tcMar>
              <w:top w:type="dxa" w:w="0"/>
              <w:left w:type="dxa" w:w="108"/>
              <w:bottom w:type="dxa" w:w="0"/>
              <w:right w:type="dxa" w:w="108"/>
            </w:tcMar>
            <w:vAlign w:val="center"/>
          </w:tcPr>
          <w:p>
            <w:pPr>
              <w:pStyle w:val="style0"/>
              <w:spacing w:after="60" w:before="0" w:line="240" w:lineRule="auto"/>
              <w:ind w:hanging="0" w:left="0" w:right="110"/>
              <w:jc w:val="both"/>
            </w:pPr>
            <w:r>
              <w:rPr>
                <w:rFonts w:ascii="Arial" w:cs="Arial" w:hAnsi="Arial"/>
                <w:bCs/>
              </w:rPr>
              <w:t xml:space="preserve">Consulta  sobre la depuración de </w:t>
            </w:r>
            <w:r>
              <w:rPr>
                <w:rFonts w:ascii="Arial" w:cs="Arial" w:hAnsi="Arial"/>
                <w:shd w:fill="FFFFFF" w:val="clear"/>
              </w:rPr>
              <w:t>los Estados Financieros de la Institución con respecto a los Bienes Nacionales en estado de Deterioro, obsolescencia y corrosión</w:t>
            </w:r>
            <w:r>
              <w:rPr>
                <w:rFonts w:ascii="Arial" w:cs="Arial" w:hAnsi="Arial"/>
              </w:rPr>
              <w:t>. …...………………………..</w:t>
            </w:r>
          </w:p>
        </w:tc>
        <w:tc>
          <w:tcPr>
            <w:tcW w:type="dxa" w:w="840"/>
            <w:tcBorders/>
            <w:shd w:fill="auto" w:val="clear"/>
            <w:tcMar>
              <w:top w:type="dxa" w:w="0"/>
              <w:left w:type="dxa" w:w="108"/>
              <w:bottom w:type="dxa" w:w="0"/>
              <w:right w:type="dxa" w:w="108"/>
            </w:tcMar>
            <w:vAlign w:val="bottom"/>
          </w:tcPr>
          <w:p>
            <w:pPr>
              <w:pStyle w:val="style0"/>
              <w:spacing w:after="60" w:before="0" w:line="240" w:lineRule="auto"/>
              <w:jc w:val="center"/>
            </w:pPr>
            <w:r>
              <w:rPr>
                <w:rFonts w:ascii="Arial" w:cs="Arial" w:hAnsi="Arial"/>
              </w:rPr>
              <w:t>163</w:t>
            </w:r>
          </w:p>
        </w:tc>
      </w:tr>
      <w:tr>
        <w:trPr>
          <w:trHeight w:hRule="atLeast" w:val="284"/>
          <w:cantSplit w:val="false"/>
        </w:trPr>
        <w:tc>
          <w:tcPr>
            <w:tcW w:type="dxa" w:w="1428"/>
            <w:tcBorders/>
            <w:shd w:fill="auto" w:val="clear"/>
            <w:tcMar>
              <w:top w:type="dxa" w:w="0"/>
              <w:left w:type="dxa" w:w="108"/>
              <w:bottom w:type="dxa" w:w="0"/>
              <w:right w:type="dxa" w:w="108"/>
            </w:tcMar>
          </w:tcPr>
          <w:p>
            <w:pPr>
              <w:pStyle w:val="style0"/>
              <w:numPr>
                <w:ilvl w:val="0"/>
                <w:numId w:val="56"/>
              </w:numPr>
              <w:snapToGrid w:val="false"/>
              <w:spacing w:after="0" w:before="0" w:line="240" w:lineRule="auto"/>
              <w:ind w:hanging="360" w:left="720" w:right="110"/>
              <w:jc w:val="both"/>
            </w:pPr>
            <w:r>
              <w:rPr>
                <w:rFonts w:ascii="Arial" w:cs="Arial" w:hAnsi="Arial"/>
              </w:rPr>
            </w:r>
          </w:p>
        </w:tc>
        <w:tc>
          <w:tcPr>
            <w:tcW w:type="dxa" w:w="6618"/>
            <w:tcBorders/>
            <w:shd w:fill="auto" w:val="clear"/>
            <w:tcMar>
              <w:top w:type="dxa" w:w="0"/>
              <w:left w:type="dxa" w:w="108"/>
              <w:bottom w:type="dxa" w:w="0"/>
              <w:right w:type="dxa" w:w="108"/>
            </w:tcMar>
            <w:vAlign w:val="center"/>
          </w:tcPr>
          <w:p>
            <w:pPr>
              <w:pStyle w:val="style0"/>
              <w:spacing w:after="60" w:before="0" w:line="240" w:lineRule="auto"/>
              <w:ind w:hanging="0" w:left="0" w:right="110"/>
              <w:jc w:val="both"/>
            </w:pPr>
            <w:r>
              <w:rPr>
                <w:rFonts w:ascii="Arial" w:cs="Arial" w:hAnsi="Arial"/>
                <w:bCs/>
              </w:rPr>
              <w:t xml:space="preserve">Conocimiento de la existencia de una </w:t>
            </w:r>
            <w:r>
              <w:rPr>
                <w:rFonts w:ascii="Arial" w:cs="Arial" w:hAnsi="Arial"/>
                <w:shd w:fill="FFFFFF" w:val="clear"/>
              </w:rPr>
              <w:t xml:space="preserve">  Comisión designada por el Cuerpo Directivo, y  que este  avalada por la Superintendencia de Bienes Públicos que</w:t>
            </w:r>
            <w:r>
              <w:rPr>
                <w:rFonts w:ascii="Arial" w:cs="Arial" w:hAnsi="Arial"/>
              </w:rPr>
              <w:t xml:space="preserve"> garantice el éxito del proceso de </w:t>
            </w:r>
            <w:r>
              <w:rPr>
                <w:rFonts w:ascii="Arial" w:cs="Arial" w:hAnsi="Arial"/>
                <w:shd w:fill="FFFFFF" w:val="clear"/>
              </w:rPr>
              <w:t>desincorporación de los Bienes Nacionales</w:t>
            </w:r>
            <w:r>
              <w:rPr>
                <w:rFonts w:ascii="Arial" w:cs="Arial" w:hAnsi="Arial"/>
              </w:rPr>
              <w:t>.…….…</w:t>
            </w:r>
          </w:p>
        </w:tc>
        <w:tc>
          <w:tcPr>
            <w:tcW w:type="dxa" w:w="840"/>
            <w:tcBorders/>
            <w:shd w:fill="auto" w:val="clear"/>
            <w:tcMar>
              <w:top w:type="dxa" w:w="0"/>
              <w:left w:type="dxa" w:w="108"/>
              <w:bottom w:type="dxa" w:w="0"/>
              <w:right w:type="dxa" w:w="108"/>
            </w:tcMar>
            <w:vAlign w:val="bottom"/>
          </w:tcPr>
          <w:p>
            <w:pPr>
              <w:pStyle w:val="style0"/>
              <w:spacing w:after="60" w:before="0" w:line="240" w:lineRule="auto"/>
              <w:jc w:val="center"/>
            </w:pPr>
            <w:r>
              <w:rPr>
                <w:rFonts w:ascii="Arial" w:cs="Arial" w:hAnsi="Arial"/>
              </w:rPr>
              <w:t>164</w:t>
            </w:r>
          </w:p>
        </w:tc>
      </w:tr>
      <w:tr>
        <w:trPr>
          <w:trHeight w:hRule="atLeast" w:val="284"/>
          <w:cantSplit w:val="false"/>
        </w:trPr>
        <w:tc>
          <w:tcPr>
            <w:tcW w:type="dxa" w:w="1428"/>
            <w:tcBorders/>
            <w:shd w:fill="auto" w:val="clear"/>
            <w:tcMar>
              <w:top w:type="dxa" w:w="0"/>
              <w:left w:type="dxa" w:w="108"/>
              <w:bottom w:type="dxa" w:w="0"/>
              <w:right w:type="dxa" w:w="108"/>
            </w:tcMar>
          </w:tcPr>
          <w:p>
            <w:pPr>
              <w:pStyle w:val="style0"/>
              <w:numPr>
                <w:ilvl w:val="0"/>
                <w:numId w:val="56"/>
              </w:numPr>
              <w:snapToGrid w:val="false"/>
              <w:spacing w:after="0" w:before="0" w:line="240" w:lineRule="auto"/>
              <w:ind w:hanging="360" w:left="720" w:right="110"/>
              <w:jc w:val="both"/>
            </w:pPr>
            <w:r>
              <w:rPr>
                <w:rFonts w:ascii="Arial" w:cs="Arial" w:hAnsi="Arial"/>
              </w:rPr>
            </w:r>
          </w:p>
        </w:tc>
        <w:tc>
          <w:tcPr>
            <w:tcW w:type="dxa" w:w="6618"/>
            <w:tcBorders/>
            <w:shd w:fill="auto" w:val="clear"/>
            <w:tcMar>
              <w:top w:type="dxa" w:w="0"/>
              <w:left w:type="dxa" w:w="108"/>
              <w:bottom w:type="dxa" w:w="0"/>
              <w:right w:type="dxa" w:w="108"/>
            </w:tcMar>
            <w:vAlign w:val="center"/>
          </w:tcPr>
          <w:p>
            <w:pPr>
              <w:pStyle w:val="style0"/>
              <w:spacing w:after="60" w:before="0" w:line="240" w:lineRule="auto"/>
              <w:ind w:hanging="0" w:left="0" w:right="110"/>
              <w:jc w:val="both"/>
            </w:pPr>
            <w:r>
              <w:rPr>
                <w:rFonts w:ascii="Arial" w:cs="Arial" w:hAnsi="Arial"/>
                <w:bCs/>
              </w:rPr>
              <w:t>Opinión sobre los beneficios económicos que proporcionara la enajenación</w:t>
            </w:r>
            <w:r>
              <w:rPr>
                <w:rStyle w:val="style168"/>
                <w:rFonts w:ascii="Arial" w:cs="Arial" w:hAnsi="Arial"/>
                <w:color w:val="262626"/>
                <w:shd w:fill="FFFFFF" w:val="clear"/>
              </w:rPr>
              <w:t xml:space="preserve">, permuta o donación de   los </w:t>
            </w:r>
            <w:r>
              <w:rPr>
                <w:rFonts w:ascii="Arial" w:cs="Arial" w:hAnsi="Arial"/>
                <w:color w:val="000000"/>
                <w:shd w:fill="FFFFFF" w:val="clear"/>
              </w:rPr>
              <w:t>Bienes Nacionales,  en Estado de Obsolescencia, deterioro y corrosión</w:t>
            </w:r>
            <w:r>
              <w:rPr>
                <w:rFonts w:ascii="Arial" w:cs="Arial" w:hAnsi="Arial"/>
                <w:bCs/>
              </w:rPr>
              <w:t xml:space="preserve">  </w:t>
            </w:r>
            <w:r>
              <w:rPr>
                <w:rFonts w:ascii="Arial" w:cs="Arial" w:hAnsi="Arial"/>
              </w:rPr>
              <w:t>…………….</w:t>
            </w:r>
          </w:p>
        </w:tc>
        <w:tc>
          <w:tcPr>
            <w:tcW w:type="dxa" w:w="840"/>
            <w:tcBorders/>
            <w:shd w:fill="auto" w:val="clear"/>
            <w:tcMar>
              <w:top w:type="dxa" w:w="0"/>
              <w:left w:type="dxa" w:w="108"/>
              <w:bottom w:type="dxa" w:w="0"/>
              <w:right w:type="dxa" w:w="108"/>
            </w:tcMar>
            <w:vAlign w:val="bottom"/>
          </w:tcPr>
          <w:p>
            <w:pPr>
              <w:pStyle w:val="style0"/>
              <w:spacing w:after="60" w:before="0" w:line="240" w:lineRule="auto"/>
              <w:jc w:val="center"/>
            </w:pPr>
            <w:r>
              <w:rPr>
                <w:rFonts w:ascii="Arial" w:cs="Arial" w:hAnsi="Arial"/>
              </w:rPr>
              <w:t>168</w:t>
            </w:r>
          </w:p>
        </w:tc>
      </w:tr>
      <w:tr>
        <w:trPr>
          <w:trHeight w:hRule="atLeast" w:val="284"/>
          <w:cantSplit w:val="false"/>
        </w:trPr>
        <w:tc>
          <w:tcPr>
            <w:tcW w:type="dxa" w:w="1428"/>
            <w:tcBorders/>
            <w:shd w:fill="auto" w:val="clear"/>
            <w:tcMar>
              <w:top w:type="dxa" w:w="0"/>
              <w:left w:type="dxa" w:w="108"/>
              <w:bottom w:type="dxa" w:w="0"/>
              <w:right w:type="dxa" w:w="108"/>
            </w:tcMar>
          </w:tcPr>
          <w:p>
            <w:pPr>
              <w:pStyle w:val="style0"/>
              <w:numPr>
                <w:ilvl w:val="0"/>
                <w:numId w:val="56"/>
              </w:numPr>
              <w:snapToGrid w:val="false"/>
              <w:spacing w:after="0" w:before="0" w:line="240" w:lineRule="auto"/>
              <w:ind w:hanging="360" w:left="720" w:right="110"/>
              <w:jc w:val="both"/>
            </w:pPr>
            <w:r>
              <w:rPr>
                <w:rFonts w:ascii="Arial" w:cs="Arial" w:hAnsi="Arial"/>
              </w:rPr>
            </w:r>
          </w:p>
        </w:tc>
        <w:tc>
          <w:tcPr>
            <w:tcW w:type="dxa" w:w="6618"/>
            <w:tcBorders/>
            <w:shd w:fill="auto" w:val="clear"/>
            <w:tcMar>
              <w:top w:type="dxa" w:w="0"/>
              <w:left w:type="dxa" w:w="108"/>
              <w:bottom w:type="dxa" w:w="0"/>
              <w:right w:type="dxa" w:w="108"/>
            </w:tcMar>
            <w:vAlign w:val="center"/>
          </w:tcPr>
          <w:p>
            <w:pPr>
              <w:pStyle w:val="style0"/>
              <w:spacing w:after="60" w:before="0" w:line="240" w:lineRule="auto"/>
              <w:ind w:hanging="0" w:left="0" w:right="110"/>
              <w:jc w:val="both"/>
            </w:pPr>
            <w:r>
              <w:rPr>
                <w:rFonts w:ascii="Arial" w:cs="Arial" w:hAnsi="Arial"/>
                <w:bCs/>
              </w:rPr>
              <w:t>Conocimiento sobre reutilización de materiales usados</w:t>
            </w:r>
            <w:r>
              <w:rPr>
                <w:rFonts w:ascii="Arial" w:cs="Arial" w:hAnsi="Arial"/>
              </w:rPr>
              <w:t>……..….</w:t>
            </w:r>
          </w:p>
        </w:tc>
        <w:tc>
          <w:tcPr>
            <w:tcW w:type="dxa" w:w="840"/>
            <w:tcBorders/>
            <w:shd w:fill="auto" w:val="clear"/>
            <w:tcMar>
              <w:top w:type="dxa" w:w="0"/>
              <w:left w:type="dxa" w:w="108"/>
              <w:bottom w:type="dxa" w:w="0"/>
              <w:right w:type="dxa" w:w="108"/>
            </w:tcMar>
            <w:vAlign w:val="bottom"/>
          </w:tcPr>
          <w:p>
            <w:pPr>
              <w:pStyle w:val="style0"/>
              <w:spacing w:after="60" w:before="0" w:line="240" w:lineRule="auto"/>
              <w:jc w:val="center"/>
            </w:pPr>
            <w:r>
              <w:rPr>
                <w:rFonts w:ascii="Arial" w:cs="Arial" w:hAnsi="Arial"/>
              </w:rPr>
              <w:t>169</w:t>
            </w:r>
          </w:p>
        </w:tc>
      </w:tr>
      <w:tr>
        <w:trPr>
          <w:trHeight w:hRule="atLeast" w:val="284"/>
          <w:cantSplit w:val="false"/>
        </w:trPr>
        <w:tc>
          <w:tcPr>
            <w:tcW w:type="dxa" w:w="1428"/>
            <w:tcBorders/>
            <w:shd w:fill="auto" w:val="clear"/>
            <w:tcMar>
              <w:top w:type="dxa" w:w="0"/>
              <w:left w:type="dxa" w:w="108"/>
              <w:bottom w:type="dxa" w:w="0"/>
              <w:right w:type="dxa" w:w="108"/>
            </w:tcMar>
          </w:tcPr>
          <w:p>
            <w:pPr>
              <w:pStyle w:val="style0"/>
              <w:numPr>
                <w:ilvl w:val="0"/>
                <w:numId w:val="56"/>
              </w:numPr>
              <w:snapToGrid w:val="false"/>
              <w:spacing w:after="0" w:before="0" w:line="240" w:lineRule="auto"/>
              <w:ind w:hanging="360" w:left="720" w:right="110"/>
              <w:jc w:val="both"/>
            </w:pPr>
            <w:r>
              <w:rPr>
                <w:rFonts w:ascii="Arial" w:cs="Arial" w:hAnsi="Arial"/>
              </w:rPr>
            </w:r>
          </w:p>
        </w:tc>
        <w:tc>
          <w:tcPr>
            <w:tcW w:type="dxa" w:w="6618"/>
            <w:tcBorders/>
            <w:shd w:fill="auto" w:val="clear"/>
            <w:tcMar>
              <w:top w:type="dxa" w:w="0"/>
              <w:left w:type="dxa" w:w="108"/>
              <w:bottom w:type="dxa" w:w="0"/>
              <w:right w:type="dxa" w:w="108"/>
            </w:tcMar>
            <w:vAlign w:val="center"/>
          </w:tcPr>
          <w:p>
            <w:pPr>
              <w:pStyle w:val="style0"/>
              <w:spacing w:after="60" w:before="0" w:line="240" w:lineRule="auto"/>
              <w:ind w:hanging="0" w:left="0" w:right="110"/>
              <w:jc w:val="both"/>
            </w:pPr>
            <w:r>
              <w:rPr>
                <w:rFonts w:ascii="Arial" w:cs="Arial" w:hAnsi="Arial"/>
                <w:bCs/>
                <w:color w:val="000000"/>
              </w:rPr>
              <w:t>Conocimiento sobre el reciclar el metal</w:t>
            </w:r>
            <w:r>
              <w:rPr>
                <w:rFonts w:ascii="Arial" w:cs="Arial" w:hAnsi="Arial"/>
              </w:rPr>
              <w:t>…………………………….</w:t>
            </w:r>
          </w:p>
        </w:tc>
        <w:tc>
          <w:tcPr>
            <w:tcW w:type="dxa" w:w="840"/>
            <w:tcBorders/>
            <w:shd w:fill="auto" w:val="clear"/>
            <w:tcMar>
              <w:top w:type="dxa" w:w="0"/>
              <w:left w:type="dxa" w:w="108"/>
              <w:bottom w:type="dxa" w:w="0"/>
              <w:right w:type="dxa" w:w="108"/>
            </w:tcMar>
            <w:vAlign w:val="bottom"/>
          </w:tcPr>
          <w:p>
            <w:pPr>
              <w:pStyle w:val="style0"/>
              <w:spacing w:after="60" w:before="0" w:line="240" w:lineRule="auto"/>
              <w:jc w:val="center"/>
            </w:pPr>
            <w:r>
              <w:rPr>
                <w:rFonts w:ascii="Arial" w:cs="Arial" w:hAnsi="Arial"/>
              </w:rPr>
              <w:t>171</w:t>
            </w:r>
          </w:p>
        </w:tc>
      </w:tr>
      <w:tr>
        <w:trPr>
          <w:trHeight w:hRule="atLeast" w:val="284"/>
          <w:cantSplit w:val="false"/>
        </w:trPr>
        <w:tc>
          <w:tcPr>
            <w:tcW w:type="dxa" w:w="1428"/>
            <w:tcBorders/>
            <w:shd w:fill="auto" w:val="clear"/>
            <w:tcMar>
              <w:top w:type="dxa" w:w="0"/>
              <w:left w:type="dxa" w:w="108"/>
              <w:bottom w:type="dxa" w:w="0"/>
              <w:right w:type="dxa" w:w="108"/>
            </w:tcMar>
          </w:tcPr>
          <w:p>
            <w:pPr>
              <w:pStyle w:val="style0"/>
              <w:numPr>
                <w:ilvl w:val="0"/>
                <w:numId w:val="56"/>
              </w:numPr>
              <w:snapToGrid w:val="false"/>
              <w:spacing w:after="0" w:before="0" w:line="240" w:lineRule="auto"/>
              <w:ind w:hanging="360" w:left="720" w:right="110"/>
              <w:jc w:val="both"/>
            </w:pPr>
            <w:r>
              <w:rPr>
                <w:rFonts w:ascii="Arial" w:cs="Arial" w:hAnsi="Arial"/>
              </w:rPr>
            </w:r>
          </w:p>
        </w:tc>
        <w:tc>
          <w:tcPr>
            <w:tcW w:type="dxa" w:w="6618"/>
            <w:tcBorders/>
            <w:shd w:fill="auto" w:val="clear"/>
            <w:tcMar>
              <w:top w:type="dxa" w:w="0"/>
              <w:left w:type="dxa" w:w="108"/>
              <w:bottom w:type="dxa" w:w="0"/>
              <w:right w:type="dxa" w:w="108"/>
            </w:tcMar>
            <w:vAlign w:val="center"/>
          </w:tcPr>
          <w:p>
            <w:pPr>
              <w:pStyle w:val="style0"/>
              <w:spacing w:after="60" w:before="0" w:line="240" w:lineRule="auto"/>
              <w:ind w:hanging="0" w:left="0" w:right="110"/>
              <w:jc w:val="both"/>
            </w:pPr>
            <w:r>
              <w:rPr>
                <w:rFonts w:ascii="Arial" w:cs="Arial" w:hAnsi="Arial"/>
              </w:rPr>
              <w:t>Opinión concerniente al reciclaje de las chatarras acumuladas en el IUTY. …….…..……………………………….…</w:t>
            </w:r>
          </w:p>
        </w:tc>
        <w:tc>
          <w:tcPr>
            <w:tcW w:type="dxa" w:w="840"/>
            <w:tcBorders/>
            <w:shd w:fill="auto" w:val="clear"/>
            <w:tcMar>
              <w:top w:type="dxa" w:w="0"/>
              <w:left w:type="dxa" w:w="108"/>
              <w:bottom w:type="dxa" w:w="0"/>
              <w:right w:type="dxa" w:w="108"/>
            </w:tcMar>
            <w:vAlign w:val="bottom"/>
          </w:tcPr>
          <w:p>
            <w:pPr>
              <w:pStyle w:val="style0"/>
              <w:spacing w:after="60" w:before="0" w:line="240" w:lineRule="auto"/>
              <w:jc w:val="center"/>
            </w:pPr>
            <w:r>
              <w:rPr>
                <w:rFonts w:ascii="Arial" w:cs="Arial" w:hAnsi="Arial"/>
              </w:rPr>
              <w:t xml:space="preserve">173 </w:t>
            </w:r>
          </w:p>
        </w:tc>
      </w:tr>
      <w:tr>
        <w:trPr>
          <w:trHeight w:hRule="atLeast" w:val="284"/>
          <w:cantSplit w:val="false"/>
        </w:trPr>
        <w:tc>
          <w:tcPr>
            <w:tcW w:type="dxa" w:w="1428"/>
            <w:tcBorders/>
            <w:shd w:fill="auto" w:val="clear"/>
            <w:tcMar>
              <w:top w:type="dxa" w:w="0"/>
              <w:left w:type="dxa" w:w="108"/>
              <w:bottom w:type="dxa" w:w="0"/>
              <w:right w:type="dxa" w:w="108"/>
            </w:tcMar>
          </w:tcPr>
          <w:p>
            <w:pPr>
              <w:pStyle w:val="style0"/>
              <w:numPr>
                <w:ilvl w:val="0"/>
                <w:numId w:val="56"/>
              </w:numPr>
              <w:snapToGrid w:val="false"/>
              <w:spacing w:after="0" w:before="0" w:line="240" w:lineRule="auto"/>
              <w:ind w:hanging="360" w:left="720" w:right="110"/>
              <w:jc w:val="both"/>
            </w:pPr>
            <w:r>
              <w:rPr>
                <w:rFonts w:ascii="Arial" w:cs="Arial" w:hAnsi="Arial"/>
              </w:rPr>
            </w:r>
          </w:p>
        </w:tc>
        <w:tc>
          <w:tcPr>
            <w:tcW w:type="dxa" w:w="6618"/>
            <w:tcBorders/>
            <w:shd w:fill="auto" w:val="clear"/>
            <w:tcMar>
              <w:top w:type="dxa" w:w="0"/>
              <w:left w:type="dxa" w:w="108"/>
              <w:bottom w:type="dxa" w:w="0"/>
              <w:right w:type="dxa" w:w="108"/>
            </w:tcMar>
            <w:vAlign w:val="center"/>
          </w:tcPr>
          <w:p>
            <w:pPr>
              <w:pStyle w:val="style0"/>
              <w:spacing w:after="60" w:before="0" w:line="240" w:lineRule="auto"/>
              <w:ind w:hanging="0" w:left="0" w:right="110"/>
              <w:jc w:val="both"/>
            </w:pPr>
            <w:r>
              <w:rPr>
                <w:rFonts w:ascii="Arial" w:cs="Arial" w:hAnsi="Arial"/>
                <w:bCs/>
                <w:lang w:val="es-VE"/>
              </w:rPr>
              <w:t xml:space="preserve">Opinión sobre la enajenación de los bienes nacionales en estado de </w:t>
            </w:r>
            <w:r>
              <w:rPr>
                <w:rFonts w:ascii="Arial" w:cs="Arial" w:hAnsi="Arial"/>
                <w:shd w:fill="FFFFFF" w:val="clear"/>
              </w:rPr>
              <w:t>Obsolescencia, Deterioro y Corrosión con  empresa   particular</w:t>
            </w:r>
            <w:r>
              <w:rPr>
                <w:rFonts w:ascii="Arial" w:cs="Arial" w:hAnsi="Arial"/>
              </w:rPr>
              <w:t>. .…….……….………………………………………………</w:t>
            </w:r>
          </w:p>
        </w:tc>
        <w:tc>
          <w:tcPr>
            <w:tcW w:type="dxa" w:w="840"/>
            <w:tcBorders/>
            <w:shd w:fill="auto" w:val="clear"/>
            <w:tcMar>
              <w:top w:type="dxa" w:w="0"/>
              <w:left w:type="dxa" w:w="108"/>
              <w:bottom w:type="dxa" w:w="0"/>
              <w:right w:type="dxa" w:w="108"/>
            </w:tcMar>
            <w:vAlign w:val="bottom"/>
          </w:tcPr>
          <w:p>
            <w:pPr>
              <w:pStyle w:val="style0"/>
              <w:spacing w:after="60" w:before="0" w:line="240" w:lineRule="auto"/>
              <w:jc w:val="center"/>
            </w:pPr>
            <w:r>
              <w:rPr>
                <w:rFonts w:ascii="Arial" w:cs="Arial" w:hAnsi="Arial"/>
              </w:rPr>
              <w:t>176</w:t>
            </w:r>
          </w:p>
        </w:tc>
      </w:tr>
      <w:tr>
        <w:trPr>
          <w:trHeight w:hRule="atLeast" w:val="284"/>
          <w:cantSplit w:val="false"/>
        </w:trPr>
        <w:tc>
          <w:tcPr>
            <w:tcW w:type="dxa" w:w="1428"/>
            <w:tcBorders/>
            <w:shd w:fill="auto" w:val="clear"/>
            <w:tcMar>
              <w:top w:type="dxa" w:w="0"/>
              <w:left w:type="dxa" w:w="108"/>
              <w:bottom w:type="dxa" w:w="0"/>
              <w:right w:type="dxa" w:w="108"/>
            </w:tcMar>
          </w:tcPr>
          <w:p>
            <w:pPr>
              <w:pStyle w:val="style0"/>
              <w:numPr>
                <w:ilvl w:val="0"/>
                <w:numId w:val="56"/>
              </w:numPr>
              <w:snapToGrid w:val="false"/>
              <w:spacing w:after="0" w:before="0" w:line="240" w:lineRule="auto"/>
              <w:ind w:hanging="360" w:left="720" w:right="110"/>
              <w:jc w:val="both"/>
            </w:pPr>
            <w:r>
              <w:rPr>
                <w:rFonts w:ascii="Arial" w:cs="Arial" w:hAnsi="Arial"/>
              </w:rPr>
            </w:r>
          </w:p>
        </w:tc>
        <w:tc>
          <w:tcPr>
            <w:tcW w:type="dxa" w:w="6618"/>
            <w:tcBorders/>
            <w:shd w:fill="auto" w:val="clear"/>
            <w:tcMar>
              <w:top w:type="dxa" w:w="0"/>
              <w:left w:type="dxa" w:w="108"/>
              <w:bottom w:type="dxa" w:w="0"/>
              <w:right w:type="dxa" w:w="108"/>
            </w:tcMar>
            <w:vAlign w:val="center"/>
          </w:tcPr>
          <w:p>
            <w:pPr>
              <w:pStyle w:val="style0"/>
              <w:spacing w:after="60" w:before="0" w:line="240" w:lineRule="auto"/>
              <w:ind w:hanging="0" w:left="0" w:right="110"/>
              <w:jc w:val="both"/>
            </w:pPr>
            <w:r>
              <w:rPr>
                <w:rFonts w:ascii="Arial" w:cs="Arial" w:hAnsi="Arial"/>
                <w:bCs/>
              </w:rPr>
              <w:t xml:space="preserve">Opinión sobre la permuta de los bienes nacionales en estado de </w:t>
            </w:r>
            <w:r>
              <w:rPr>
                <w:rFonts w:ascii="Arial" w:cs="Arial" w:hAnsi="Arial"/>
                <w:shd w:fill="FFFFFF" w:val="clear"/>
              </w:rPr>
              <w:t>Obsolescencia, Deterioro y Corrosión con  empresa  del Estado o  particular</w:t>
            </w:r>
            <w:r>
              <w:rPr>
                <w:rFonts w:ascii="Arial" w:cs="Arial" w:hAnsi="Arial"/>
              </w:rPr>
              <w:t>. .…….……….………………………………………...…</w:t>
            </w:r>
          </w:p>
        </w:tc>
        <w:tc>
          <w:tcPr>
            <w:tcW w:type="dxa" w:w="840"/>
            <w:tcBorders/>
            <w:shd w:fill="auto" w:val="clear"/>
            <w:tcMar>
              <w:top w:type="dxa" w:w="0"/>
              <w:left w:type="dxa" w:w="108"/>
              <w:bottom w:type="dxa" w:w="0"/>
              <w:right w:type="dxa" w:w="108"/>
            </w:tcMar>
            <w:vAlign w:val="bottom"/>
          </w:tcPr>
          <w:p>
            <w:pPr>
              <w:pStyle w:val="style0"/>
              <w:spacing w:after="60" w:before="0" w:line="240" w:lineRule="auto"/>
              <w:jc w:val="center"/>
            </w:pPr>
            <w:r>
              <w:rPr>
                <w:rFonts w:ascii="Arial" w:cs="Arial" w:hAnsi="Arial"/>
              </w:rPr>
              <w:t>178</w:t>
            </w:r>
          </w:p>
        </w:tc>
      </w:tr>
      <w:tr>
        <w:trPr>
          <w:trHeight w:hRule="atLeast" w:val="284"/>
          <w:cantSplit w:val="false"/>
        </w:trPr>
        <w:tc>
          <w:tcPr>
            <w:tcW w:type="dxa" w:w="1428"/>
            <w:tcBorders/>
            <w:shd w:fill="auto" w:val="clear"/>
            <w:tcMar>
              <w:top w:type="dxa" w:w="0"/>
              <w:left w:type="dxa" w:w="108"/>
              <w:bottom w:type="dxa" w:w="0"/>
              <w:right w:type="dxa" w:w="108"/>
            </w:tcMar>
          </w:tcPr>
          <w:p>
            <w:pPr>
              <w:pStyle w:val="style0"/>
              <w:numPr>
                <w:ilvl w:val="0"/>
                <w:numId w:val="56"/>
              </w:numPr>
              <w:snapToGrid w:val="false"/>
              <w:spacing w:after="0" w:before="0" w:line="240" w:lineRule="auto"/>
              <w:ind w:hanging="360" w:left="720" w:right="110"/>
              <w:jc w:val="both"/>
            </w:pPr>
            <w:r>
              <w:rPr>
                <w:rFonts w:ascii="Arial" w:cs="Arial" w:hAnsi="Arial"/>
              </w:rPr>
            </w:r>
          </w:p>
        </w:tc>
        <w:tc>
          <w:tcPr>
            <w:tcW w:type="dxa" w:w="6618"/>
            <w:tcBorders/>
            <w:shd w:fill="auto" w:val="clear"/>
            <w:tcMar>
              <w:top w:type="dxa" w:w="0"/>
              <w:left w:type="dxa" w:w="108"/>
              <w:bottom w:type="dxa" w:w="0"/>
              <w:right w:type="dxa" w:w="108"/>
            </w:tcMar>
            <w:vAlign w:val="center"/>
          </w:tcPr>
          <w:p>
            <w:pPr>
              <w:pStyle w:val="style0"/>
              <w:spacing w:after="60" w:before="0" w:line="240" w:lineRule="auto"/>
              <w:ind w:hanging="0" w:left="0" w:right="110"/>
              <w:jc w:val="both"/>
            </w:pPr>
            <w:r>
              <w:rPr>
                <w:rFonts w:ascii="Arial" w:cs="Arial" w:hAnsi="Arial"/>
                <w:bCs/>
                <w:lang w:val="es-VE"/>
              </w:rPr>
              <w:t xml:space="preserve">Opinión sobre la </w:t>
            </w:r>
            <w:r>
              <w:rPr>
                <w:rFonts w:ascii="Arial" w:cs="Arial" w:hAnsi="Arial"/>
                <w:bCs/>
              </w:rPr>
              <w:t>donación</w:t>
            </w:r>
            <w:r>
              <w:rPr>
                <w:rFonts w:ascii="Arial" w:cs="Arial" w:hAnsi="Arial"/>
                <w:bCs/>
                <w:lang w:val="es-VE"/>
              </w:rPr>
              <w:t xml:space="preserve"> de los bienes nacionales en estado de </w:t>
            </w:r>
            <w:r>
              <w:rPr>
                <w:rFonts w:ascii="Arial" w:cs="Arial" w:hAnsi="Arial"/>
                <w:shd w:fill="FFFFFF" w:val="clear"/>
              </w:rPr>
              <w:t>Obsolescencia, Deterioro y Corrosión</w:t>
            </w:r>
            <w:r>
              <w:rPr>
                <w:rFonts w:ascii="Arial" w:cs="Arial" w:hAnsi="Arial"/>
                <w:color w:val="000000"/>
                <w:shd w:fill="FFFFFF" w:val="clear"/>
              </w:rPr>
              <w:t xml:space="preserve"> a la Empresa  del ramo Siderúrgico para reciclarlo como </w:t>
            </w:r>
            <w:r>
              <w:rPr>
                <w:rFonts w:ascii="Arial" w:cs="Arial" w:hAnsi="Arial"/>
                <w:color w:val="000000"/>
              </w:rPr>
              <w:t>insumo para la producción automotriz y la construcción Civil en Venezuela</w:t>
            </w:r>
            <w:r>
              <w:rPr>
                <w:rFonts w:ascii="Arial" w:cs="Arial" w:hAnsi="Arial"/>
              </w:rPr>
              <w:t>……………………………………………………………..</w:t>
            </w:r>
          </w:p>
        </w:tc>
        <w:tc>
          <w:tcPr>
            <w:tcW w:type="dxa" w:w="840"/>
            <w:tcBorders/>
            <w:shd w:fill="auto" w:val="clear"/>
            <w:tcMar>
              <w:top w:type="dxa" w:w="0"/>
              <w:left w:type="dxa" w:w="108"/>
              <w:bottom w:type="dxa" w:w="0"/>
              <w:right w:type="dxa" w:w="108"/>
            </w:tcMar>
            <w:vAlign w:val="bottom"/>
          </w:tcPr>
          <w:p>
            <w:pPr>
              <w:pStyle w:val="style0"/>
              <w:spacing w:after="60" w:before="0" w:line="240" w:lineRule="auto"/>
              <w:jc w:val="center"/>
            </w:pPr>
            <w:r>
              <w:rPr>
                <w:rFonts w:ascii="Arial" w:cs="Arial" w:hAnsi="Arial"/>
              </w:rPr>
              <w:t>180</w:t>
            </w:r>
          </w:p>
        </w:tc>
      </w:tr>
      <w:tr>
        <w:trPr>
          <w:trHeight w:hRule="atLeast" w:val="284"/>
          <w:cantSplit w:val="false"/>
        </w:trPr>
        <w:tc>
          <w:tcPr>
            <w:tcW w:type="dxa" w:w="1428"/>
            <w:tcBorders/>
            <w:shd w:fill="auto" w:val="clear"/>
            <w:tcMar>
              <w:top w:type="dxa" w:w="0"/>
              <w:left w:type="dxa" w:w="108"/>
              <w:bottom w:type="dxa" w:w="0"/>
              <w:right w:type="dxa" w:w="108"/>
            </w:tcMar>
          </w:tcPr>
          <w:p>
            <w:pPr>
              <w:pStyle w:val="style0"/>
              <w:numPr>
                <w:ilvl w:val="0"/>
                <w:numId w:val="56"/>
              </w:numPr>
              <w:snapToGrid w:val="false"/>
              <w:spacing w:after="0" w:before="0" w:line="240" w:lineRule="auto"/>
              <w:ind w:hanging="360" w:left="720" w:right="110"/>
              <w:jc w:val="both"/>
            </w:pPr>
            <w:r>
              <w:rPr>
                <w:rFonts w:ascii="Arial" w:cs="Arial" w:hAnsi="Arial"/>
              </w:rPr>
            </w:r>
          </w:p>
        </w:tc>
        <w:tc>
          <w:tcPr>
            <w:tcW w:type="dxa" w:w="6618"/>
            <w:tcBorders/>
            <w:shd w:fill="auto" w:val="clear"/>
            <w:tcMar>
              <w:top w:type="dxa" w:w="0"/>
              <w:left w:type="dxa" w:w="108"/>
              <w:bottom w:type="dxa" w:w="0"/>
              <w:right w:type="dxa" w:w="108"/>
            </w:tcMar>
            <w:vAlign w:val="center"/>
          </w:tcPr>
          <w:p>
            <w:pPr>
              <w:pStyle w:val="style197"/>
              <w:spacing w:after="0" w:before="0"/>
              <w:jc w:val="both"/>
            </w:pPr>
            <w:r>
              <w:rPr>
                <w:rFonts w:ascii="Arial" w:cs="Arial" w:hAnsi="Arial"/>
                <w:bCs/>
                <w:sz w:val="22"/>
                <w:szCs w:val="22"/>
              </w:rPr>
              <w:t xml:space="preserve">Opinión referente a la enajenación de los bienes nacionales en estado de </w:t>
            </w:r>
            <w:r>
              <w:rPr>
                <w:rFonts w:ascii="Arial" w:cs="Arial" w:hAnsi="Arial"/>
                <w:sz w:val="22"/>
                <w:szCs w:val="22"/>
                <w:shd w:fill="FFFFFF" w:val="clear"/>
              </w:rPr>
              <w:t>Obsolescencia, Deterioro y Corrosión</w:t>
            </w:r>
            <w:r>
              <w:rPr>
                <w:rFonts w:ascii="Arial" w:cs="Arial" w:hAnsi="Arial"/>
                <w:color w:val="000000"/>
                <w:sz w:val="22"/>
                <w:szCs w:val="22"/>
                <w:shd w:fill="FFFFFF" w:val="clear"/>
              </w:rPr>
              <w:t xml:space="preserve"> a la Empresa  del ramo Siderúrgico para reutilizarlo como </w:t>
            </w:r>
            <w:r>
              <w:rPr>
                <w:rFonts w:ascii="Arial" w:cs="Arial" w:hAnsi="Arial"/>
                <w:color w:val="000000"/>
                <w:sz w:val="22"/>
                <w:szCs w:val="22"/>
              </w:rPr>
              <w:t>insumo para la producción automotriz y la construcción Civil en Venezuela…</w:t>
            </w:r>
            <w:r>
              <w:rPr>
                <w:rFonts w:ascii="Arial" w:cs="Arial" w:hAnsi="Arial"/>
                <w:sz w:val="22"/>
                <w:szCs w:val="22"/>
              </w:rPr>
              <w:t>….</w:t>
            </w:r>
          </w:p>
        </w:tc>
        <w:tc>
          <w:tcPr>
            <w:tcW w:type="dxa" w:w="840"/>
            <w:tcBorders/>
            <w:shd w:fill="auto" w:val="clear"/>
            <w:tcMar>
              <w:top w:type="dxa" w:w="0"/>
              <w:left w:type="dxa" w:w="108"/>
              <w:bottom w:type="dxa" w:w="0"/>
              <w:right w:type="dxa" w:w="108"/>
            </w:tcMar>
            <w:vAlign w:val="bottom"/>
          </w:tcPr>
          <w:p>
            <w:pPr>
              <w:pStyle w:val="style0"/>
              <w:spacing w:after="60" w:before="0" w:line="240" w:lineRule="auto"/>
              <w:jc w:val="center"/>
            </w:pPr>
            <w:r>
              <w:rPr>
                <w:rFonts w:ascii="Arial" w:cs="Arial" w:hAnsi="Arial"/>
              </w:rPr>
              <w:t>182</w:t>
            </w:r>
          </w:p>
        </w:tc>
      </w:tr>
      <w:tr>
        <w:trPr>
          <w:trHeight w:hRule="atLeast" w:val="284"/>
          <w:cantSplit w:val="false"/>
        </w:trPr>
        <w:tc>
          <w:tcPr>
            <w:tcW w:type="dxa" w:w="1428"/>
            <w:tcBorders/>
            <w:shd w:fill="auto" w:val="clear"/>
            <w:tcMar>
              <w:top w:type="dxa" w:w="0"/>
              <w:left w:type="dxa" w:w="108"/>
              <w:bottom w:type="dxa" w:w="0"/>
              <w:right w:type="dxa" w:w="108"/>
            </w:tcMar>
          </w:tcPr>
          <w:p>
            <w:pPr>
              <w:pStyle w:val="style0"/>
              <w:numPr>
                <w:ilvl w:val="0"/>
                <w:numId w:val="56"/>
              </w:numPr>
              <w:snapToGrid w:val="false"/>
              <w:spacing w:after="0" w:before="0" w:line="240" w:lineRule="auto"/>
              <w:ind w:hanging="360" w:left="720" w:right="110"/>
              <w:jc w:val="both"/>
            </w:pPr>
            <w:r>
              <w:rPr>
                <w:rFonts w:ascii="Arial" w:cs="Arial" w:hAnsi="Arial"/>
              </w:rPr>
            </w:r>
          </w:p>
        </w:tc>
        <w:tc>
          <w:tcPr>
            <w:tcW w:type="dxa" w:w="6618"/>
            <w:tcBorders/>
            <w:shd w:fill="auto" w:val="clear"/>
            <w:tcMar>
              <w:top w:type="dxa" w:w="0"/>
              <w:left w:type="dxa" w:w="108"/>
              <w:bottom w:type="dxa" w:w="0"/>
              <w:right w:type="dxa" w:w="108"/>
            </w:tcMar>
            <w:vAlign w:val="center"/>
          </w:tcPr>
          <w:p>
            <w:pPr>
              <w:pStyle w:val="style0"/>
              <w:spacing w:after="60" w:before="0" w:line="240" w:lineRule="auto"/>
              <w:ind w:hanging="0" w:left="0" w:right="110"/>
              <w:jc w:val="both"/>
            </w:pPr>
            <w:r>
              <w:rPr>
                <w:rFonts w:ascii="Arial" w:cs="Arial" w:hAnsi="Arial"/>
                <w:bCs/>
                <w:color w:val="000000"/>
              </w:rPr>
              <w:t xml:space="preserve">Conocimiento sobre el impacto en el entorno por la desincorporación </w:t>
            </w:r>
            <w:r>
              <w:rPr>
                <w:rFonts w:ascii="Arial" w:cs="Arial" w:hAnsi="Arial"/>
                <w:color w:val="000000"/>
              </w:rPr>
              <w:t>de las chatarras de la institución</w:t>
            </w:r>
            <w:r>
              <w:rPr>
                <w:rFonts w:ascii="Arial" w:cs="Arial" w:hAnsi="Arial"/>
              </w:rPr>
              <w:t>……….………</w:t>
            </w:r>
          </w:p>
        </w:tc>
        <w:tc>
          <w:tcPr>
            <w:tcW w:type="dxa" w:w="840"/>
            <w:tcBorders/>
            <w:shd w:fill="auto" w:val="clear"/>
            <w:tcMar>
              <w:top w:type="dxa" w:w="0"/>
              <w:left w:type="dxa" w:w="108"/>
              <w:bottom w:type="dxa" w:w="0"/>
              <w:right w:type="dxa" w:w="108"/>
            </w:tcMar>
            <w:vAlign w:val="bottom"/>
          </w:tcPr>
          <w:p>
            <w:pPr>
              <w:pStyle w:val="style0"/>
              <w:spacing w:after="60" w:before="0" w:line="240" w:lineRule="auto"/>
              <w:jc w:val="center"/>
            </w:pPr>
            <w:r>
              <w:rPr>
                <w:rFonts w:ascii="Arial" w:cs="Arial" w:hAnsi="Arial"/>
              </w:rPr>
              <w:t>183</w:t>
            </w:r>
          </w:p>
        </w:tc>
      </w:tr>
      <w:tr>
        <w:trPr>
          <w:trHeight w:hRule="atLeast" w:val="284"/>
          <w:cantSplit w:val="false"/>
        </w:trPr>
        <w:tc>
          <w:tcPr>
            <w:tcW w:type="dxa" w:w="1428"/>
            <w:tcBorders/>
            <w:shd w:fill="auto" w:val="clear"/>
            <w:tcMar>
              <w:top w:type="dxa" w:w="0"/>
              <w:left w:type="dxa" w:w="108"/>
              <w:bottom w:type="dxa" w:w="0"/>
              <w:right w:type="dxa" w:w="108"/>
            </w:tcMar>
          </w:tcPr>
          <w:p>
            <w:pPr>
              <w:pStyle w:val="style0"/>
              <w:numPr>
                <w:ilvl w:val="0"/>
                <w:numId w:val="56"/>
              </w:numPr>
              <w:snapToGrid w:val="false"/>
              <w:spacing w:after="0" w:before="0" w:line="240" w:lineRule="auto"/>
              <w:ind w:hanging="360" w:left="720" w:right="110"/>
              <w:jc w:val="both"/>
            </w:pPr>
            <w:r>
              <w:rPr>
                <w:rFonts w:ascii="Arial" w:cs="Arial" w:hAnsi="Arial"/>
              </w:rPr>
            </w:r>
          </w:p>
        </w:tc>
        <w:tc>
          <w:tcPr>
            <w:tcW w:type="dxa" w:w="6618"/>
            <w:tcBorders/>
            <w:shd w:fill="auto" w:val="clear"/>
            <w:tcMar>
              <w:top w:type="dxa" w:w="0"/>
              <w:left w:type="dxa" w:w="108"/>
              <w:bottom w:type="dxa" w:w="0"/>
              <w:right w:type="dxa" w:w="108"/>
            </w:tcMar>
            <w:vAlign w:val="center"/>
          </w:tcPr>
          <w:p>
            <w:pPr>
              <w:pStyle w:val="style0"/>
              <w:spacing w:after="60" w:before="0" w:line="240" w:lineRule="auto"/>
              <w:ind w:hanging="0" w:left="0" w:right="110"/>
              <w:jc w:val="both"/>
            </w:pPr>
            <w:r>
              <w:rPr>
                <w:rFonts w:ascii="Arial" w:cs="Arial" w:hAnsi="Arial"/>
                <w:color w:val="000000"/>
              </w:rPr>
              <w:t xml:space="preserve">Opinión concerniente al ajuste de las normas y procedimientos para regular la </w:t>
            </w:r>
            <w:r>
              <w:rPr>
                <w:rStyle w:val="style150"/>
                <w:rFonts w:ascii="Arial" w:hAnsi="Arial"/>
                <w:b w:val="false"/>
                <w:color w:val="000000"/>
                <w:shd w:fill="FFFFFF" w:val="clear"/>
              </w:rPr>
              <w:t>enajenación y desincorporación de los bienes nacionales en deterioro, obsoleto y en corrosión</w:t>
            </w:r>
            <w:r>
              <w:rPr>
                <w:rFonts w:ascii="Arial" w:cs="Arial" w:hAnsi="Arial"/>
              </w:rPr>
              <w:t>…………………</w:t>
            </w:r>
          </w:p>
        </w:tc>
        <w:tc>
          <w:tcPr>
            <w:tcW w:type="dxa" w:w="840"/>
            <w:tcBorders/>
            <w:shd w:fill="auto" w:val="clear"/>
            <w:tcMar>
              <w:top w:type="dxa" w:w="0"/>
              <w:left w:type="dxa" w:w="108"/>
              <w:bottom w:type="dxa" w:w="0"/>
              <w:right w:type="dxa" w:w="108"/>
            </w:tcMar>
            <w:vAlign w:val="bottom"/>
          </w:tcPr>
          <w:p>
            <w:pPr>
              <w:pStyle w:val="style0"/>
              <w:snapToGrid w:val="false"/>
              <w:spacing w:after="60" w:before="0" w:line="240" w:lineRule="auto"/>
              <w:jc w:val="center"/>
            </w:pPr>
            <w:r>
              <w:rPr>
                <w:rFonts w:ascii="Arial" w:cs="Arial" w:hAnsi="Arial"/>
              </w:rPr>
            </w:r>
          </w:p>
          <w:p>
            <w:pPr>
              <w:pStyle w:val="style0"/>
              <w:spacing w:after="60" w:before="0" w:line="240" w:lineRule="auto"/>
              <w:jc w:val="center"/>
            </w:pPr>
            <w:r>
              <w:rPr>
                <w:rFonts w:ascii="Arial" w:cs="Arial" w:hAnsi="Arial"/>
              </w:rPr>
            </w:r>
          </w:p>
          <w:p>
            <w:pPr>
              <w:pStyle w:val="style0"/>
              <w:spacing w:after="60" w:before="0" w:line="240" w:lineRule="auto"/>
              <w:jc w:val="center"/>
            </w:pPr>
            <w:r>
              <w:rPr>
                <w:rFonts w:ascii="Arial" w:cs="Arial" w:hAnsi="Arial"/>
              </w:rPr>
              <w:t>186</w:t>
            </w:r>
          </w:p>
        </w:tc>
      </w:tr>
      <w:tr>
        <w:trPr>
          <w:trHeight w:hRule="atLeast" w:val="284"/>
          <w:cantSplit w:val="false"/>
        </w:trPr>
        <w:tc>
          <w:tcPr>
            <w:tcW w:type="dxa" w:w="1428"/>
            <w:tcBorders/>
            <w:shd w:fill="auto" w:val="clear"/>
            <w:tcMar>
              <w:top w:type="dxa" w:w="0"/>
              <w:left w:type="dxa" w:w="108"/>
              <w:bottom w:type="dxa" w:w="0"/>
              <w:right w:type="dxa" w:w="108"/>
            </w:tcMar>
          </w:tcPr>
          <w:p>
            <w:pPr>
              <w:pStyle w:val="style0"/>
              <w:numPr>
                <w:ilvl w:val="0"/>
                <w:numId w:val="56"/>
              </w:numPr>
              <w:snapToGrid w:val="false"/>
              <w:spacing w:after="0" w:before="0" w:line="240" w:lineRule="auto"/>
              <w:ind w:hanging="360" w:left="720" w:right="110"/>
              <w:jc w:val="both"/>
            </w:pPr>
            <w:r>
              <w:rPr>
                <w:rFonts w:ascii="Arial" w:cs="Arial" w:hAnsi="Arial"/>
              </w:rPr>
            </w:r>
          </w:p>
        </w:tc>
        <w:tc>
          <w:tcPr>
            <w:tcW w:type="dxa" w:w="6618"/>
            <w:tcBorders/>
            <w:shd w:fill="auto" w:val="clear"/>
            <w:tcMar>
              <w:top w:type="dxa" w:w="0"/>
              <w:left w:type="dxa" w:w="108"/>
              <w:bottom w:type="dxa" w:w="0"/>
              <w:right w:type="dxa" w:w="108"/>
            </w:tcMar>
            <w:vAlign w:val="center"/>
          </w:tcPr>
          <w:p>
            <w:pPr>
              <w:pStyle w:val="style0"/>
              <w:spacing w:after="60" w:before="0" w:line="240" w:lineRule="auto"/>
              <w:ind w:hanging="0" w:left="0" w:right="110"/>
              <w:jc w:val="both"/>
            </w:pPr>
            <w:r>
              <w:rPr>
                <w:rFonts w:ascii="Arial" w:cs="Arial" w:hAnsi="Arial"/>
              </w:rPr>
              <w:t xml:space="preserve">Consentimiento para </w:t>
            </w:r>
            <w:r>
              <w:rPr>
                <w:rFonts w:ascii="Arial" w:cs="Arial" w:hAnsi="Arial"/>
                <w:color w:val="000000"/>
              </w:rPr>
              <w:t>que el Gobierno Nacional implemente la alianza corporativa entre las  Empresas del ramo Siderúrgico con Instituciones de Prestación Servicios  que mantengan chatarras</w:t>
            </w:r>
            <w:r>
              <w:rPr>
                <w:rFonts w:ascii="Arial" w:cs="Arial" w:hAnsi="Arial"/>
                <w:color w:val="000000"/>
                <w:shd w:fill="FFFFFF" w:val="clear"/>
              </w:rPr>
              <w:t xml:space="preserve"> y estos sean recolectados y reciclados como  </w:t>
            </w:r>
            <w:r>
              <w:rPr>
                <w:rFonts w:ascii="Arial" w:cs="Arial" w:hAnsi="Arial"/>
                <w:color w:val="000000"/>
              </w:rPr>
              <w:t>insumo para la Producción Automotriz y la Construcción Civil en Venezuela</w:t>
            </w:r>
            <w:r>
              <w:rPr>
                <w:rFonts w:ascii="Arial" w:cs="Arial" w:hAnsi="Arial"/>
              </w:rPr>
              <w:t>. .…….……….…………………………………………….</w:t>
            </w:r>
          </w:p>
        </w:tc>
        <w:tc>
          <w:tcPr>
            <w:tcW w:type="dxa" w:w="840"/>
            <w:tcBorders/>
            <w:shd w:fill="auto" w:val="clear"/>
            <w:tcMar>
              <w:top w:type="dxa" w:w="0"/>
              <w:left w:type="dxa" w:w="108"/>
              <w:bottom w:type="dxa" w:w="0"/>
              <w:right w:type="dxa" w:w="108"/>
            </w:tcMar>
            <w:vAlign w:val="bottom"/>
          </w:tcPr>
          <w:p>
            <w:pPr>
              <w:pStyle w:val="style0"/>
              <w:spacing w:after="60" w:before="0" w:line="240" w:lineRule="auto"/>
              <w:jc w:val="center"/>
            </w:pPr>
            <w:r>
              <w:rPr>
                <w:rFonts w:ascii="Arial" w:cs="Arial" w:hAnsi="Arial"/>
              </w:rPr>
              <w:t>190</w:t>
            </w:r>
          </w:p>
        </w:tc>
      </w:tr>
      <w:tr>
        <w:trPr>
          <w:trHeight w:hRule="atLeast" w:val="284"/>
          <w:cantSplit w:val="false"/>
        </w:trPr>
        <w:tc>
          <w:tcPr>
            <w:tcW w:type="dxa" w:w="1428"/>
            <w:tcBorders/>
            <w:shd w:fill="auto" w:val="clear"/>
            <w:tcMar>
              <w:top w:type="dxa" w:w="0"/>
              <w:left w:type="dxa" w:w="108"/>
              <w:bottom w:type="dxa" w:w="0"/>
              <w:right w:type="dxa" w:w="108"/>
            </w:tcMar>
          </w:tcPr>
          <w:p>
            <w:pPr>
              <w:pStyle w:val="style0"/>
              <w:numPr>
                <w:ilvl w:val="0"/>
                <w:numId w:val="56"/>
              </w:numPr>
              <w:snapToGrid w:val="false"/>
              <w:spacing w:after="0" w:before="0" w:line="240" w:lineRule="auto"/>
              <w:ind w:hanging="360" w:left="720" w:right="110"/>
              <w:jc w:val="both"/>
            </w:pPr>
            <w:r>
              <w:rPr>
                <w:rFonts w:ascii="Arial" w:cs="Arial" w:hAnsi="Arial"/>
              </w:rPr>
            </w:r>
          </w:p>
        </w:tc>
        <w:tc>
          <w:tcPr>
            <w:tcW w:type="dxa" w:w="6618"/>
            <w:tcBorders/>
            <w:shd w:fill="auto" w:val="clear"/>
            <w:tcMar>
              <w:top w:type="dxa" w:w="0"/>
              <w:left w:type="dxa" w:w="108"/>
              <w:bottom w:type="dxa" w:w="0"/>
              <w:right w:type="dxa" w:w="108"/>
            </w:tcMar>
            <w:vAlign w:val="center"/>
          </w:tcPr>
          <w:p>
            <w:pPr>
              <w:pStyle w:val="style0"/>
              <w:spacing w:after="60" w:before="0" w:line="240" w:lineRule="auto"/>
              <w:ind w:hanging="0" w:left="0" w:right="110"/>
              <w:jc w:val="both"/>
            </w:pPr>
            <w:r>
              <w:rPr>
                <w:rFonts w:ascii="Arial" w:cs="Arial" w:hAnsi="Arial"/>
                <w:color w:val="000000"/>
              </w:rPr>
              <w:t xml:space="preserve">Conocimiento para implementar un plan anual de retiro o  desincorporación de Propiedad, Planta y Equipo en fases de obsolescencia, inutilizable, </w:t>
            </w:r>
            <w:r>
              <w:rPr>
                <w:rFonts w:ascii="Arial" w:cs="Arial" w:hAnsi="Arial"/>
                <w:color w:val="000000"/>
                <w:shd w:fill="FFFFFF" w:val="clear"/>
              </w:rPr>
              <w:t>o en mal estado difícil de recuperar como  de  funcionar y estos no sean susceptibles a reparación y así mantener  depurado los estados financieros</w:t>
            </w:r>
            <w:r>
              <w:rPr>
                <w:rFonts w:ascii="Arial" w:cs="Arial" w:hAnsi="Arial"/>
              </w:rPr>
              <w:t>……………….</w:t>
            </w:r>
          </w:p>
        </w:tc>
        <w:tc>
          <w:tcPr>
            <w:tcW w:type="dxa" w:w="840"/>
            <w:tcBorders/>
            <w:shd w:fill="auto" w:val="clear"/>
            <w:tcMar>
              <w:top w:type="dxa" w:w="0"/>
              <w:left w:type="dxa" w:w="108"/>
              <w:bottom w:type="dxa" w:w="0"/>
              <w:right w:type="dxa" w:w="108"/>
            </w:tcMar>
            <w:vAlign w:val="bottom"/>
          </w:tcPr>
          <w:p>
            <w:pPr>
              <w:pStyle w:val="style0"/>
              <w:spacing w:after="60" w:before="0" w:line="240" w:lineRule="auto"/>
              <w:jc w:val="center"/>
            </w:pPr>
            <w:r>
              <w:rPr>
                <w:rFonts w:ascii="Arial" w:cs="Arial" w:hAnsi="Arial"/>
              </w:rPr>
              <w:t>192</w:t>
            </w:r>
          </w:p>
        </w:tc>
      </w:tr>
      <w:tr>
        <w:trPr>
          <w:trHeight w:hRule="atLeast" w:val="284"/>
          <w:cantSplit w:val="false"/>
        </w:trPr>
        <w:tc>
          <w:tcPr>
            <w:tcW w:type="dxa" w:w="1428"/>
            <w:tcBorders/>
            <w:shd w:fill="auto" w:val="clear"/>
            <w:tcMar>
              <w:top w:type="dxa" w:w="0"/>
              <w:left w:type="dxa" w:w="108"/>
              <w:bottom w:type="dxa" w:w="0"/>
              <w:right w:type="dxa" w:w="108"/>
            </w:tcMar>
          </w:tcPr>
          <w:p>
            <w:pPr>
              <w:pStyle w:val="style0"/>
              <w:numPr>
                <w:ilvl w:val="0"/>
                <w:numId w:val="56"/>
              </w:numPr>
              <w:snapToGrid w:val="false"/>
              <w:spacing w:after="0" w:before="0" w:line="240" w:lineRule="auto"/>
              <w:ind w:hanging="360" w:left="720" w:right="110"/>
              <w:jc w:val="both"/>
            </w:pPr>
            <w:r>
              <w:rPr>
                <w:rFonts w:ascii="Arial" w:cs="Arial" w:hAnsi="Arial"/>
              </w:rPr>
            </w:r>
          </w:p>
        </w:tc>
        <w:tc>
          <w:tcPr>
            <w:tcW w:type="dxa" w:w="6618"/>
            <w:tcBorders/>
            <w:shd w:fill="auto" w:val="clear"/>
            <w:tcMar>
              <w:top w:type="dxa" w:w="0"/>
              <w:left w:type="dxa" w:w="108"/>
              <w:bottom w:type="dxa" w:w="0"/>
              <w:right w:type="dxa" w:w="108"/>
            </w:tcMar>
            <w:vAlign w:val="center"/>
          </w:tcPr>
          <w:p>
            <w:pPr>
              <w:pStyle w:val="style0"/>
              <w:spacing w:after="60" w:before="0" w:line="240" w:lineRule="auto"/>
              <w:ind w:hanging="0" w:left="0" w:right="110"/>
              <w:jc w:val="both"/>
            </w:pPr>
            <w:r>
              <w:rPr>
                <w:rFonts w:ascii="Arial" w:cs="Arial" w:hAnsi="Arial"/>
                <w:color w:val="000000"/>
              </w:rPr>
              <w:t>Opinión sobre Implementación de un plan de Ecoeficiencia permanente en la institución</w:t>
            </w:r>
            <w:r>
              <w:rPr>
                <w:rFonts w:ascii="Arial" w:cs="Arial" w:hAnsi="Arial"/>
              </w:rPr>
              <w:t>………………………………..………</w:t>
            </w:r>
          </w:p>
        </w:tc>
        <w:tc>
          <w:tcPr>
            <w:tcW w:type="dxa" w:w="840"/>
            <w:tcBorders/>
            <w:shd w:fill="auto" w:val="clear"/>
            <w:tcMar>
              <w:top w:type="dxa" w:w="0"/>
              <w:left w:type="dxa" w:w="108"/>
              <w:bottom w:type="dxa" w:w="0"/>
              <w:right w:type="dxa" w:w="108"/>
            </w:tcMar>
            <w:vAlign w:val="bottom"/>
          </w:tcPr>
          <w:p>
            <w:pPr>
              <w:pStyle w:val="style0"/>
              <w:spacing w:after="60" w:before="0" w:line="240" w:lineRule="auto"/>
              <w:jc w:val="center"/>
            </w:pPr>
            <w:r>
              <w:rPr>
                <w:rFonts w:ascii="Arial" w:cs="Arial" w:hAnsi="Arial"/>
              </w:rPr>
              <w:t>193</w:t>
            </w:r>
          </w:p>
        </w:tc>
      </w:tr>
      <w:tr>
        <w:trPr>
          <w:trHeight w:hRule="atLeast" w:val="284"/>
          <w:cantSplit w:val="false"/>
        </w:trPr>
        <w:tc>
          <w:tcPr>
            <w:tcW w:type="dxa" w:w="1428"/>
            <w:tcBorders/>
            <w:shd w:fill="auto" w:val="clear"/>
            <w:tcMar>
              <w:top w:type="dxa" w:w="0"/>
              <w:left w:type="dxa" w:w="108"/>
              <w:bottom w:type="dxa" w:w="0"/>
              <w:right w:type="dxa" w:w="108"/>
            </w:tcMar>
          </w:tcPr>
          <w:p>
            <w:pPr>
              <w:pStyle w:val="style0"/>
              <w:numPr>
                <w:ilvl w:val="0"/>
                <w:numId w:val="56"/>
              </w:numPr>
              <w:snapToGrid w:val="false"/>
              <w:spacing w:after="0" w:before="0" w:line="240" w:lineRule="auto"/>
              <w:ind w:hanging="360" w:left="720" w:right="110"/>
              <w:jc w:val="both"/>
            </w:pPr>
            <w:r>
              <w:rPr>
                <w:rFonts w:ascii="Arial" w:cs="Arial" w:hAnsi="Arial"/>
              </w:rPr>
            </w:r>
          </w:p>
        </w:tc>
        <w:tc>
          <w:tcPr>
            <w:tcW w:type="dxa" w:w="6618"/>
            <w:tcBorders/>
            <w:shd w:fill="auto" w:val="clear"/>
            <w:tcMar>
              <w:top w:type="dxa" w:w="0"/>
              <w:left w:type="dxa" w:w="108"/>
              <w:bottom w:type="dxa" w:w="0"/>
              <w:right w:type="dxa" w:w="108"/>
            </w:tcMar>
            <w:vAlign w:val="center"/>
          </w:tcPr>
          <w:p>
            <w:pPr>
              <w:pStyle w:val="style0"/>
              <w:spacing w:after="60" w:before="0" w:line="240" w:lineRule="auto"/>
              <w:ind w:hanging="0" w:left="0" w:right="110"/>
              <w:jc w:val="both"/>
            </w:pPr>
            <w:r>
              <w:rPr>
                <w:rFonts w:ascii="Arial" w:cs="Arial" w:hAnsi="Arial"/>
                <w:color w:val="000000"/>
              </w:rPr>
              <w:t xml:space="preserve">Conocimiento sobre la intención de los Directivos en desincorporar </w:t>
            </w:r>
            <w:r>
              <w:rPr>
                <w:rFonts w:ascii="Arial" w:cs="Arial" w:hAnsi="Arial"/>
                <w:color w:val="000000"/>
                <w:shd w:fill="FFFFFF" w:val="clear"/>
              </w:rPr>
              <w:t>de los Bienes Nacionales en estado de Obsolescencia, deterioro y corrosión</w:t>
            </w:r>
            <w:r>
              <w:rPr>
                <w:rFonts w:ascii="Arial" w:cs="Arial" w:hAnsi="Arial"/>
              </w:rPr>
              <w:t xml:space="preserve"> …………………………….</w:t>
            </w:r>
          </w:p>
        </w:tc>
        <w:tc>
          <w:tcPr>
            <w:tcW w:type="dxa" w:w="840"/>
            <w:tcBorders/>
            <w:shd w:fill="auto" w:val="clear"/>
            <w:tcMar>
              <w:top w:type="dxa" w:w="0"/>
              <w:left w:type="dxa" w:w="108"/>
              <w:bottom w:type="dxa" w:w="0"/>
              <w:right w:type="dxa" w:w="108"/>
            </w:tcMar>
            <w:vAlign w:val="bottom"/>
          </w:tcPr>
          <w:p>
            <w:pPr>
              <w:pStyle w:val="style0"/>
              <w:spacing w:after="60" w:before="0" w:line="240" w:lineRule="auto"/>
              <w:jc w:val="center"/>
            </w:pPr>
            <w:r>
              <w:rPr>
                <w:rFonts w:ascii="Arial" w:cs="Arial" w:hAnsi="Arial"/>
              </w:rPr>
              <w:t>195</w:t>
            </w:r>
          </w:p>
        </w:tc>
      </w:tr>
      <w:tr>
        <w:trPr>
          <w:trHeight w:hRule="atLeast" w:val="284"/>
          <w:cantSplit w:val="false"/>
        </w:trPr>
        <w:tc>
          <w:tcPr>
            <w:tcW w:type="dxa" w:w="1428"/>
            <w:tcBorders/>
            <w:shd w:fill="auto" w:val="clear"/>
            <w:tcMar>
              <w:top w:type="dxa" w:w="0"/>
              <w:left w:type="dxa" w:w="108"/>
              <w:bottom w:type="dxa" w:w="0"/>
              <w:right w:type="dxa" w:w="108"/>
            </w:tcMar>
          </w:tcPr>
          <w:p>
            <w:pPr>
              <w:pStyle w:val="style0"/>
              <w:numPr>
                <w:ilvl w:val="0"/>
                <w:numId w:val="56"/>
              </w:numPr>
              <w:snapToGrid w:val="false"/>
              <w:spacing w:after="0" w:before="0" w:line="240" w:lineRule="auto"/>
              <w:ind w:hanging="360" w:left="720" w:right="110"/>
              <w:jc w:val="both"/>
            </w:pPr>
            <w:r>
              <w:rPr>
                <w:rFonts w:ascii="Arial" w:cs="Arial" w:hAnsi="Arial"/>
              </w:rPr>
            </w:r>
          </w:p>
        </w:tc>
        <w:tc>
          <w:tcPr>
            <w:tcW w:type="dxa" w:w="6618"/>
            <w:tcBorders/>
            <w:shd w:fill="auto" w:val="clear"/>
            <w:tcMar>
              <w:top w:type="dxa" w:w="0"/>
              <w:left w:type="dxa" w:w="108"/>
              <w:bottom w:type="dxa" w:w="0"/>
              <w:right w:type="dxa" w:w="108"/>
            </w:tcMar>
            <w:vAlign w:val="center"/>
          </w:tcPr>
          <w:p>
            <w:pPr>
              <w:pStyle w:val="style0"/>
              <w:spacing w:after="60" w:before="0" w:line="240" w:lineRule="auto"/>
              <w:ind w:hanging="0" w:left="0" w:right="110"/>
              <w:jc w:val="both"/>
            </w:pPr>
            <w:r>
              <w:rPr>
                <w:rFonts w:ascii="Arial" w:cs="Arial" w:hAnsi="Arial"/>
                <w:color w:val="000000"/>
              </w:rPr>
              <w:t xml:space="preserve">Opinión para delegar a la comisión </w:t>
            </w:r>
            <w:r>
              <w:rPr>
                <w:rFonts w:ascii="Arial" w:cs="Arial" w:hAnsi="Arial"/>
                <w:color w:val="000000"/>
                <w:shd w:fill="FFFFFF" w:val="clear"/>
              </w:rPr>
              <w:t>realizar anualmente un estudio de factibilidad con respecto a si existe bienes Nacionales en estados de de Obsolescencia, deterioro y corrosión y gestiones su respectivo proceso</w:t>
            </w:r>
            <w:r>
              <w:rPr>
                <w:rFonts w:ascii="Arial" w:cs="Arial" w:hAnsi="Arial"/>
              </w:rPr>
              <w:t>…………………..…</w:t>
            </w:r>
          </w:p>
        </w:tc>
        <w:tc>
          <w:tcPr>
            <w:tcW w:type="dxa" w:w="840"/>
            <w:tcBorders/>
            <w:shd w:fill="auto" w:val="clear"/>
            <w:tcMar>
              <w:top w:type="dxa" w:w="0"/>
              <w:left w:type="dxa" w:w="108"/>
              <w:bottom w:type="dxa" w:w="0"/>
              <w:right w:type="dxa" w:w="108"/>
            </w:tcMar>
            <w:vAlign w:val="bottom"/>
          </w:tcPr>
          <w:p>
            <w:pPr>
              <w:pStyle w:val="style0"/>
              <w:spacing w:after="60" w:before="0" w:line="240" w:lineRule="auto"/>
              <w:jc w:val="center"/>
            </w:pPr>
            <w:r>
              <w:rPr>
                <w:rFonts w:ascii="Arial" w:cs="Arial" w:eastAsia="Arial" w:hAnsi="Arial"/>
              </w:rPr>
              <w:t xml:space="preserve"> </w:t>
            </w:r>
            <w:r>
              <w:rPr>
                <w:rFonts w:ascii="Arial" w:cs="Arial" w:hAnsi="Arial"/>
              </w:rPr>
              <w:t>198</w:t>
            </w:r>
          </w:p>
        </w:tc>
      </w:tr>
      <w:tr>
        <w:trPr>
          <w:trHeight w:hRule="atLeast" w:val="284"/>
          <w:cantSplit w:val="false"/>
        </w:trPr>
        <w:tc>
          <w:tcPr>
            <w:tcW w:type="dxa" w:w="1428"/>
            <w:tcBorders/>
            <w:shd w:fill="auto" w:val="clear"/>
            <w:tcMar>
              <w:top w:type="dxa" w:w="0"/>
              <w:left w:type="dxa" w:w="108"/>
              <w:bottom w:type="dxa" w:w="0"/>
              <w:right w:type="dxa" w:w="108"/>
            </w:tcMar>
          </w:tcPr>
          <w:p>
            <w:pPr>
              <w:pStyle w:val="style0"/>
              <w:numPr>
                <w:ilvl w:val="0"/>
                <w:numId w:val="56"/>
              </w:numPr>
              <w:snapToGrid w:val="false"/>
              <w:spacing w:after="0" w:before="0" w:line="240" w:lineRule="auto"/>
              <w:ind w:hanging="360" w:left="720" w:right="110"/>
              <w:jc w:val="both"/>
            </w:pPr>
            <w:r>
              <w:rPr>
                <w:rFonts w:ascii="Arial" w:cs="Arial" w:hAnsi="Arial"/>
              </w:rPr>
            </w:r>
          </w:p>
        </w:tc>
        <w:tc>
          <w:tcPr>
            <w:tcW w:type="dxa" w:w="6618"/>
            <w:tcBorders/>
            <w:shd w:fill="auto" w:val="clear"/>
            <w:tcMar>
              <w:top w:type="dxa" w:w="0"/>
              <w:left w:type="dxa" w:w="108"/>
              <w:bottom w:type="dxa" w:w="0"/>
              <w:right w:type="dxa" w:w="108"/>
            </w:tcMar>
          </w:tcPr>
          <w:p>
            <w:pPr>
              <w:pStyle w:val="style0"/>
              <w:spacing w:after="200" w:before="0" w:line="240" w:lineRule="auto"/>
              <w:jc w:val="both"/>
            </w:pPr>
            <w:r>
              <w:rPr>
                <w:rFonts w:ascii="Arial" w:cs="Arial" w:hAnsi="Arial"/>
                <w:color w:val="000000"/>
              </w:rPr>
              <w:t xml:space="preserve">Conocimiento sobre la gestión de los directivos con respecto a la información </w:t>
            </w:r>
            <w:r>
              <w:rPr>
                <w:rFonts w:ascii="Arial" w:cs="Arial" w:hAnsi="Arial"/>
                <w:color w:val="000000"/>
                <w:shd w:fill="FFFFFF" w:val="clear"/>
              </w:rPr>
              <w:t>ante la Empresa Siderúrgica para la enajenación, permuta o donación de las chatarras</w:t>
            </w:r>
            <w:r>
              <w:rPr>
                <w:rFonts w:ascii="Arial" w:cs="Arial" w:hAnsi="Arial"/>
              </w:rPr>
              <w:t>………………………………..</w:t>
            </w:r>
          </w:p>
        </w:tc>
        <w:tc>
          <w:tcPr>
            <w:tcW w:type="dxa" w:w="840"/>
            <w:tcBorders/>
            <w:shd w:fill="auto" w:val="clear"/>
            <w:tcMar>
              <w:top w:type="dxa" w:w="0"/>
              <w:left w:type="dxa" w:w="108"/>
              <w:bottom w:type="dxa" w:w="0"/>
              <w:right w:type="dxa" w:w="108"/>
            </w:tcMar>
            <w:vAlign w:val="bottom"/>
          </w:tcPr>
          <w:p>
            <w:pPr>
              <w:pStyle w:val="style0"/>
              <w:spacing w:after="60" w:before="0" w:line="240" w:lineRule="auto"/>
              <w:jc w:val="center"/>
            </w:pPr>
            <w:r>
              <w:rPr>
                <w:rFonts w:ascii="Arial" w:cs="Arial" w:hAnsi="Arial"/>
              </w:rPr>
              <w:t>200</w:t>
            </w:r>
          </w:p>
        </w:tc>
      </w:tr>
      <w:tr>
        <w:trPr>
          <w:trHeight w:hRule="atLeast" w:val="574"/>
          <w:cantSplit w:val="false"/>
        </w:trPr>
        <w:tc>
          <w:tcPr>
            <w:tcW w:type="dxa" w:w="1428"/>
            <w:tcBorders/>
            <w:shd w:fill="auto" w:val="clear"/>
            <w:tcMar>
              <w:top w:type="dxa" w:w="0"/>
              <w:left w:type="dxa" w:w="108"/>
              <w:bottom w:type="dxa" w:w="0"/>
              <w:right w:type="dxa" w:w="108"/>
            </w:tcMar>
          </w:tcPr>
          <w:p>
            <w:pPr>
              <w:pStyle w:val="style0"/>
              <w:numPr>
                <w:ilvl w:val="0"/>
                <w:numId w:val="56"/>
              </w:numPr>
              <w:snapToGrid w:val="false"/>
              <w:spacing w:after="0" w:before="0" w:line="240" w:lineRule="auto"/>
              <w:ind w:hanging="360" w:left="720" w:right="110"/>
              <w:jc w:val="both"/>
            </w:pPr>
            <w:r>
              <w:rPr>
                <w:rFonts w:ascii="Arial" w:cs="Arial" w:hAnsi="Arial"/>
              </w:rPr>
            </w:r>
          </w:p>
        </w:tc>
        <w:tc>
          <w:tcPr>
            <w:tcW w:type="dxa" w:w="6618"/>
            <w:tcBorders/>
            <w:shd w:fill="auto" w:val="clear"/>
            <w:tcMar>
              <w:top w:type="dxa" w:w="0"/>
              <w:left w:type="dxa" w:w="108"/>
              <w:bottom w:type="dxa" w:w="0"/>
              <w:right w:type="dxa" w:w="108"/>
            </w:tcMar>
          </w:tcPr>
          <w:p>
            <w:pPr>
              <w:pStyle w:val="style0"/>
              <w:spacing w:after="200" w:before="0" w:line="240" w:lineRule="auto"/>
              <w:jc w:val="both"/>
            </w:pPr>
            <w:r>
              <w:rPr>
                <w:rFonts w:ascii="Arial" w:cs="Arial" w:hAnsi="Arial"/>
                <w:lang w:val="es-VE"/>
              </w:rPr>
              <w:t xml:space="preserve">Conocimiento sobre la visión como elemento para mejorar las estrategias </w:t>
            </w:r>
            <w:r>
              <w:rPr>
                <w:rFonts w:ascii="Arial" w:cs="Arial" w:hAnsi="Arial"/>
                <w:color w:val="000000"/>
                <w:shd w:fill="FFFFFF" w:val="clear"/>
              </w:rPr>
              <w:t>en cuanto a desincorporación de los Bienes Nacionales en estado de Obsolescencia, deterioro y corrosión</w:t>
            </w:r>
            <w:r>
              <w:rPr>
                <w:rFonts w:ascii="Arial" w:cs="Arial" w:hAnsi="Arial"/>
              </w:rPr>
              <w:t xml:space="preserve"> …</w:t>
            </w:r>
          </w:p>
        </w:tc>
        <w:tc>
          <w:tcPr>
            <w:tcW w:type="dxa" w:w="840"/>
            <w:tcBorders/>
            <w:shd w:fill="auto" w:val="clear"/>
            <w:tcMar>
              <w:top w:type="dxa" w:w="0"/>
              <w:left w:type="dxa" w:w="108"/>
              <w:bottom w:type="dxa" w:w="0"/>
              <w:right w:type="dxa" w:w="108"/>
            </w:tcMar>
            <w:vAlign w:val="bottom"/>
          </w:tcPr>
          <w:p>
            <w:pPr>
              <w:pStyle w:val="style0"/>
              <w:spacing w:after="60" w:before="0" w:line="240" w:lineRule="auto"/>
              <w:jc w:val="center"/>
            </w:pPr>
            <w:r>
              <w:rPr>
                <w:rFonts w:ascii="Arial" w:cs="Arial" w:hAnsi="Arial"/>
              </w:rPr>
              <w:t>202</w:t>
            </w:r>
          </w:p>
        </w:tc>
      </w:tr>
    </w:tbl>
    <w:p>
      <w:pPr>
        <w:pStyle w:val="style0"/>
        <w:spacing w:line="360" w:lineRule="auto"/>
        <w:jc w:val="center"/>
      </w:pPr>
      <w:r>
        <w:rPr>
          <w:rFonts w:ascii="Arial" w:cs="Arial" w:hAnsi="Arial"/>
          <w:b/>
          <w:sz w:val="24"/>
          <w:szCs w:val="24"/>
        </w:rPr>
      </w:r>
    </w:p>
    <w:p>
      <w:pPr>
        <w:pStyle w:val="style0"/>
        <w:pageBreakBefore/>
        <w:spacing w:line="360" w:lineRule="auto"/>
        <w:jc w:val="center"/>
      </w:pPr>
      <w:r>
        <w:rPr>
          <w:rFonts w:ascii="Arial" w:cs="Arial" w:hAnsi="Arial"/>
          <w:b/>
          <w:sz w:val="24"/>
          <w:szCs w:val="24"/>
        </w:rPr>
        <w:t>INTRODUCCION</w:t>
      </w:r>
    </w:p>
    <w:p>
      <w:pPr>
        <w:pStyle w:val="style0"/>
        <w:spacing w:line="360" w:lineRule="auto"/>
        <w:jc w:val="center"/>
      </w:pPr>
      <w:r>
        <w:rPr>
          <w:b/>
        </w:rPr>
      </w:r>
    </w:p>
    <w:p>
      <w:pPr>
        <w:pStyle w:val="style0"/>
        <w:autoSpaceDE w:val="false"/>
        <w:spacing w:after="0" w:before="0" w:line="360" w:lineRule="auto"/>
        <w:jc w:val="both"/>
      </w:pPr>
      <w:r>
        <w:rPr>
          <w:rFonts w:ascii="Times New Roman" w:cs="Times New Roman" w:hAnsi="Times New Roman"/>
          <w:sz w:val="24"/>
          <w:szCs w:val="24"/>
          <w:lang w:eastAsia="es-ES"/>
        </w:rPr>
        <w:tab/>
      </w:r>
      <w:r>
        <w:rPr>
          <w:rFonts w:ascii="Arial" w:cs="Arial" w:hAnsi="Arial"/>
          <w:sz w:val="24"/>
          <w:szCs w:val="24"/>
          <w:lang w:eastAsia="es-ES"/>
        </w:rPr>
        <w:t>Las estrategias son de gran importancia  en las organizaciones  y se presentan cada vez más clara en el mundo de la gerencia. En la actualidad, la mayoría de las organizaciones del sector público se encuentran limitadas por  las leyes, normas, procedimientos y en el manejo de sus recursos económicos,  estas limitante  tiene como consecuencia que la misma  para realizar  cualquier acción que la favorezca debe hacer una cantidad de trámites burocráticos donde la autoricen  ejecutar tal acción.</w:t>
      </w:r>
    </w:p>
    <w:p>
      <w:pPr>
        <w:pStyle w:val="style0"/>
        <w:autoSpaceDE w:val="false"/>
        <w:spacing w:after="0" w:before="0" w:line="360" w:lineRule="auto"/>
        <w:jc w:val="both"/>
      </w:pPr>
      <w:r>
        <w:rPr>
          <w:rFonts w:ascii="Arial" w:cs="Arial" w:hAnsi="Arial"/>
          <w:sz w:val="24"/>
          <w:szCs w:val="24"/>
          <w:lang w:eastAsia="es-ES"/>
        </w:rPr>
      </w:r>
    </w:p>
    <w:p>
      <w:pPr>
        <w:pStyle w:val="style0"/>
        <w:autoSpaceDE w:val="false"/>
        <w:spacing w:after="0" w:before="0" w:line="360" w:lineRule="auto"/>
        <w:jc w:val="both"/>
      </w:pPr>
      <w:r>
        <w:rPr>
          <w:rFonts w:ascii="Arial" w:cs="Arial" w:hAnsi="Arial"/>
          <w:sz w:val="24"/>
          <w:szCs w:val="24"/>
          <w:lang w:eastAsia="es-ES"/>
        </w:rPr>
        <w:tab/>
        <w:t>Trámites que son necesarios cumplir en la administración pública para que quede evidencia de la gestión, algunas veces estos se disipan en el tiempo por negligencia de los responsables en gestionar respuestas positivas o negativas al respecto, sin medir los resultados que podría generar a las instituciones que solicitan información de cómo solucionar o solventar el inconveniente que presenta.</w:t>
      </w:r>
    </w:p>
    <w:p>
      <w:pPr>
        <w:pStyle w:val="style0"/>
        <w:autoSpaceDE w:val="false"/>
        <w:spacing w:after="0" w:before="0" w:line="360" w:lineRule="auto"/>
        <w:jc w:val="both"/>
      </w:pPr>
      <w:r>
        <w:rPr>
          <w:rFonts w:ascii="Arial" w:cs="Arial" w:hAnsi="Arial"/>
          <w:sz w:val="24"/>
          <w:szCs w:val="24"/>
          <w:lang w:eastAsia="es-ES"/>
        </w:rPr>
      </w:r>
    </w:p>
    <w:p>
      <w:pPr>
        <w:pStyle w:val="style0"/>
        <w:autoSpaceDE w:val="false"/>
        <w:spacing w:after="0" w:before="0" w:line="360" w:lineRule="auto"/>
        <w:jc w:val="both"/>
      </w:pPr>
      <w:r>
        <w:rPr>
          <w:rFonts w:ascii="Arial" w:cs="Arial" w:hAnsi="Arial"/>
          <w:sz w:val="24"/>
          <w:szCs w:val="24"/>
          <w:lang w:eastAsia="es-ES"/>
        </w:rPr>
        <w:tab/>
        <w:t>Se hace necesario que la administración pública entre ellos los organismos e instituciones asuman los riesgos y compromisos  para gestionar en  este mundo competitivo de hoy las acciones o estrategias operacionales que beneficien al colectivo,  más no a un particular, y esta tomar decisiones debe ser considerada a la hora de una inspección  o auditoria   puesto que buscar beneficiar a la población y que la inspección  no  se genere sanciones que repercuta en detrimento a la gestión del cuentadante.</w:t>
      </w:r>
    </w:p>
    <w:p>
      <w:pPr>
        <w:pStyle w:val="style0"/>
        <w:autoSpaceDE w:val="false"/>
        <w:spacing w:after="0" w:before="0" w:line="360" w:lineRule="auto"/>
        <w:jc w:val="both"/>
      </w:pPr>
      <w:r>
        <w:rPr>
          <w:rFonts w:ascii="Arial" w:cs="Arial" w:hAnsi="Arial"/>
          <w:sz w:val="24"/>
          <w:szCs w:val="24"/>
          <w:lang w:eastAsia="es-ES"/>
        </w:rPr>
      </w:r>
    </w:p>
    <w:p>
      <w:pPr>
        <w:pStyle w:val="style0"/>
        <w:autoSpaceDE w:val="false"/>
        <w:spacing w:after="0" w:before="0" w:line="360" w:lineRule="auto"/>
        <w:jc w:val="both"/>
      </w:pPr>
      <w:r>
        <w:rPr>
          <w:rFonts w:ascii="Arial" w:cs="Arial" w:hAnsi="Arial"/>
          <w:sz w:val="24"/>
          <w:szCs w:val="24"/>
          <w:lang w:eastAsia="es-ES"/>
        </w:rPr>
        <w:tab/>
        <w:t>En oportunidades  se origina perdida de recursos económicos invertidos en las actividades que las instituciones pública emprenda  por la demora burocrática en proporcionar  respuestas a las solicitudes por parte de los entes rectores, dando pies que los organismos se vean en la obligación de declinar en la cristalización de las actividades por la dilación y por los cambios  permanentes a la cual se encuentra expuesto y por el tiempo del legajo que a la hora de la respuesta debe estar extinguido por los lapso que establece las leyes.</w:t>
      </w:r>
    </w:p>
    <w:p>
      <w:pPr>
        <w:pStyle w:val="style0"/>
        <w:autoSpaceDE w:val="false"/>
        <w:spacing w:after="0" w:before="0" w:line="360" w:lineRule="auto"/>
        <w:jc w:val="both"/>
      </w:pPr>
      <w:r>
        <w:rPr>
          <w:rFonts w:ascii="Arial" w:cs="Arial" w:eastAsia="Arial" w:hAnsi="Arial"/>
          <w:sz w:val="24"/>
          <w:szCs w:val="24"/>
          <w:lang w:eastAsia="es-ES"/>
        </w:rPr>
        <w:t xml:space="preserve"> </w:t>
      </w:r>
    </w:p>
    <w:p>
      <w:pPr>
        <w:pStyle w:val="style0"/>
        <w:autoSpaceDE w:val="false"/>
        <w:spacing w:after="0" w:before="0" w:line="360" w:lineRule="auto"/>
        <w:jc w:val="both"/>
      </w:pPr>
      <w:r>
        <w:rPr>
          <w:rFonts w:ascii="Arial" w:cs="Arial" w:hAnsi="Arial"/>
          <w:sz w:val="24"/>
          <w:szCs w:val="24"/>
          <w:lang w:eastAsia="es-ES"/>
        </w:rPr>
        <w:tab/>
        <w:t>Muchas veces estos se ven  reflejados en auditorías externas realizada por los entes competentes dando pies a emitir sanciones para los cuentadantes más no se busca la raíz que originó la frustración  de la actividad impulsada.</w:t>
      </w:r>
    </w:p>
    <w:p>
      <w:pPr>
        <w:pStyle w:val="style0"/>
        <w:autoSpaceDE w:val="false"/>
        <w:spacing w:after="0" w:before="0" w:line="360" w:lineRule="auto"/>
        <w:jc w:val="both"/>
      </w:pPr>
      <w:r>
        <w:rPr>
          <w:rFonts w:ascii="Arial" w:cs="Arial" w:hAnsi="Arial"/>
          <w:sz w:val="24"/>
          <w:szCs w:val="24"/>
          <w:lang w:eastAsia="es-ES"/>
        </w:rPr>
      </w:r>
    </w:p>
    <w:p>
      <w:pPr>
        <w:pStyle w:val="style0"/>
        <w:autoSpaceDE w:val="false"/>
        <w:spacing w:after="0" w:before="0" w:line="360" w:lineRule="auto"/>
        <w:jc w:val="both"/>
      </w:pPr>
      <w:r>
        <w:rPr>
          <w:rFonts w:ascii="Arial" w:cs="Arial" w:hAnsi="Arial"/>
          <w:sz w:val="24"/>
          <w:szCs w:val="24"/>
          <w:lang w:eastAsia="es-ES"/>
        </w:rPr>
        <w:tab/>
        <w:t>En virtud  de que exista soluciones en las acciones y resultados positivos en beneficio de las instituciones pública en las actividades o proceso que desee organizar y llevar a feliz términos se hace imperioso establecer estrategias financieras – operacionales que se puedan asentar como bases y que permitan ser implementadas por la Administración Pública  puesto que esta produce ventajas así como  beneficios para la misma, permitiendo  aprovechar y maximizar los recursos y así  obtener mayor utilidad.</w:t>
      </w:r>
    </w:p>
    <w:p>
      <w:pPr>
        <w:pStyle w:val="style0"/>
        <w:autoSpaceDE w:val="false"/>
        <w:spacing w:after="0" w:before="0" w:line="360" w:lineRule="auto"/>
        <w:jc w:val="both"/>
      </w:pPr>
      <w:r>
        <w:rPr>
          <w:rFonts w:ascii="Arial" w:cs="Arial" w:hAnsi="Arial"/>
          <w:sz w:val="24"/>
          <w:szCs w:val="24"/>
          <w:lang w:eastAsia="es-ES"/>
        </w:rPr>
      </w:r>
    </w:p>
    <w:p>
      <w:pPr>
        <w:pStyle w:val="style0"/>
        <w:autoSpaceDE w:val="false"/>
        <w:spacing w:after="0" w:before="0" w:line="360" w:lineRule="auto"/>
        <w:jc w:val="both"/>
      </w:pPr>
      <w:r>
        <w:rPr>
          <w:rFonts w:ascii="Times New Roman" w:cs="Times New Roman" w:hAnsi="Times New Roman"/>
          <w:sz w:val="24"/>
          <w:szCs w:val="24"/>
          <w:lang w:eastAsia="es-ES"/>
        </w:rPr>
        <w:tab/>
      </w:r>
      <w:r>
        <w:rPr>
          <w:rFonts w:ascii="Arial" w:cs="Arial" w:hAnsi="Arial"/>
          <w:sz w:val="24"/>
          <w:szCs w:val="24"/>
          <w:lang w:eastAsia="es-ES"/>
        </w:rPr>
        <w:t>De forma que las organizaciones sector público  necesitarán una nueva dilucidación, así como desarrollar estrategias que le garanticen su sobrevivencia, en el logro de sus objetivos organizacionales. Al respecto las estrategias son aquellas acciones que deberán llevarse a cabo para lograr los objetivos de la organización, ya que las misma van a facilitar e influir en el  progreso de la misma, ya que, le permiten a la gerencia medir el grado de desenvolvimiento de la organización que dirigen para así tomar decisiones que le hagan más fácil su trabajo</w:t>
      </w:r>
      <w:r>
        <w:rPr>
          <w:rFonts w:ascii="Times New Roman" w:cs="Times New Roman" w:hAnsi="Times New Roman"/>
          <w:sz w:val="24"/>
          <w:szCs w:val="24"/>
          <w:lang w:eastAsia="es-ES"/>
        </w:rPr>
        <w:t>.</w:t>
      </w:r>
    </w:p>
    <w:p>
      <w:pPr>
        <w:pStyle w:val="style0"/>
        <w:autoSpaceDE w:val="false"/>
        <w:spacing w:after="0" w:before="0" w:line="360" w:lineRule="auto"/>
        <w:jc w:val="both"/>
      </w:pPr>
      <w:r>
        <w:rPr>
          <w:rFonts w:ascii="Times New Roman" w:cs="Times New Roman" w:hAnsi="Times New Roman"/>
          <w:sz w:val="24"/>
          <w:szCs w:val="24"/>
          <w:lang w:eastAsia="es-ES"/>
        </w:rPr>
      </w:r>
    </w:p>
    <w:p>
      <w:pPr>
        <w:pStyle w:val="style0"/>
        <w:autoSpaceDE w:val="false"/>
        <w:spacing w:after="0" w:before="0" w:line="360" w:lineRule="auto"/>
        <w:jc w:val="both"/>
      </w:pPr>
      <w:r>
        <w:rPr>
          <w:rFonts w:ascii="Times New Roman" w:cs="Times New Roman" w:hAnsi="Times New Roman"/>
          <w:sz w:val="24"/>
          <w:szCs w:val="24"/>
          <w:lang w:eastAsia="es-ES"/>
        </w:rPr>
        <w:tab/>
      </w:r>
      <w:r>
        <w:rPr>
          <w:rFonts w:ascii="Arial" w:cs="Arial" w:hAnsi="Arial"/>
          <w:sz w:val="24"/>
          <w:szCs w:val="24"/>
          <w:lang w:eastAsia="es-ES"/>
        </w:rPr>
        <w:t>Por otra parte, la planificación estratégica, involucra verificar el ambiente, investigar alternativas de acción, definir la naturaleza de la  organización, identificar prioridades, elegir estrategias y elaborar programas de acción en presencia de un sin fin de factores de cambios como de  riesgos, los cuales la sociedades debe afrontar.</w:t>
      </w:r>
    </w:p>
    <w:p>
      <w:pPr>
        <w:pStyle w:val="style0"/>
        <w:autoSpaceDE w:val="false"/>
        <w:spacing w:after="0" w:before="0" w:line="360" w:lineRule="auto"/>
        <w:jc w:val="both"/>
      </w:pPr>
      <w:r>
        <w:rPr>
          <w:rFonts w:ascii="Arial" w:cs="Arial" w:hAnsi="Arial"/>
          <w:sz w:val="24"/>
          <w:szCs w:val="24"/>
          <w:lang w:eastAsia="es-ES"/>
        </w:rPr>
      </w:r>
    </w:p>
    <w:p>
      <w:pPr>
        <w:pStyle w:val="style0"/>
        <w:autoSpaceDE w:val="false"/>
        <w:spacing w:after="0" w:before="0" w:line="360" w:lineRule="auto"/>
        <w:jc w:val="both"/>
      </w:pPr>
      <w:r>
        <w:rPr>
          <w:rFonts w:ascii="Arial" w:cs="Arial" w:hAnsi="Arial"/>
          <w:sz w:val="24"/>
          <w:szCs w:val="24"/>
          <w:lang w:eastAsia="es-ES"/>
        </w:rPr>
        <w:tab/>
        <w:t>Por tal motivo,  se establecen los procesos formales de la gerencia estratégica, que consiste en ayudar a formular las metas de la organización, determinar sus objetivos y estrategias actuales, análisis de los recursos de la organización, identificar las oportunidades y amenazas estratégicas, determinar el grado de cambio requerido en la estrategia actual, identificar, evaluar y seleccionar las mejores opciones de estratégicas financieras y estrategias operacionales para medir y controlar su implementación, así mismo, hay que considerar que éstas son manejadas de manera distintas en diversos tipos de organizaciones</w:t>
      </w:r>
      <w:r>
        <w:rPr>
          <w:rFonts w:ascii="Times New Roman" w:cs="Times New Roman" w:hAnsi="Times New Roman"/>
          <w:sz w:val="24"/>
          <w:szCs w:val="24"/>
          <w:lang w:eastAsia="es-ES"/>
        </w:rPr>
        <w:t>.</w:t>
      </w:r>
    </w:p>
    <w:p>
      <w:pPr>
        <w:pStyle w:val="style0"/>
        <w:autoSpaceDE w:val="false"/>
        <w:spacing w:after="0" w:before="0" w:line="360" w:lineRule="auto"/>
        <w:jc w:val="both"/>
      </w:pPr>
      <w:r>
        <w:rPr>
          <w:rFonts w:ascii="Times New Roman" w:cs="Times New Roman" w:hAnsi="Times New Roman"/>
          <w:sz w:val="24"/>
          <w:szCs w:val="24"/>
          <w:lang w:eastAsia="es-ES"/>
        </w:rPr>
      </w:r>
    </w:p>
    <w:p>
      <w:pPr>
        <w:pStyle w:val="style0"/>
        <w:autoSpaceDE w:val="false"/>
        <w:spacing w:after="0" w:before="0" w:line="360" w:lineRule="auto"/>
        <w:jc w:val="both"/>
      </w:pPr>
      <w:r>
        <w:rPr>
          <w:rFonts w:ascii="Times New Roman" w:cs="Times New Roman" w:hAnsi="Times New Roman"/>
          <w:sz w:val="24"/>
          <w:szCs w:val="24"/>
          <w:lang w:eastAsia="es-ES"/>
        </w:rPr>
        <w:tab/>
      </w:r>
      <w:r>
        <w:rPr>
          <w:rFonts w:ascii="Arial" w:cs="Arial" w:hAnsi="Arial"/>
          <w:color w:val="000000"/>
          <w:sz w:val="24"/>
          <w:szCs w:val="24"/>
          <w:lang w:eastAsia="es-ES"/>
        </w:rPr>
        <w:t xml:space="preserve">Hoy por hoy se hace necesario  trabajar con estrategias financieras y estrategias operacionales por ser  una vía que pueden utilizar las organizaciones públicas para lograr sus objetivos o metas sin esperar la concesión del Gobierno  Nacional para funcionar,  pudiendo las mismas bien producir o ayudar a producir para minimizar  los gastos a papá estado así que  los recursos obtenidos se  deben manejar o reinvertir   de   manera transparente, eficaz y eficiente en beneficio de la organización </w:t>
      </w:r>
    </w:p>
    <w:p>
      <w:pPr>
        <w:pStyle w:val="style0"/>
        <w:spacing w:line="360" w:lineRule="auto"/>
        <w:jc w:val="both"/>
      </w:pPr>
      <w:r>
        <w:rPr>
          <w:rFonts w:ascii="Arial" w:cs="Arial" w:hAnsi="Arial"/>
          <w:color w:val="000000"/>
          <w:sz w:val="24"/>
          <w:szCs w:val="24"/>
          <w:lang w:eastAsia="es-ES"/>
        </w:rPr>
        <w:tab/>
        <w:t xml:space="preserve">La estrategia operacional permite desarrollar un plan bien sea a corto o largo plazo dependiendo el objetivo que desee alcanzar la organización o empresa con el fin de determinar  la mejor utilización de los  recursos tomando en consideración los factores que puedan afectar las estrategias operacionales tales como: la tecnología disponible, los trabajadores, los proveedores y otros agentes externos que escape del control de la organización, mientras las </w:t>
      </w:r>
      <w:r>
        <w:rPr>
          <w:rFonts w:ascii="Arial" w:cs="Arial" w:hAnsi="Arial"/>
          <w:sz w:val="24"/>
          <w:szCs w:val="24"/>
          <w:lang w:eastAsia="es-ES"/>
        </w:rPr>
        <w:t xml:space="preserve"> estrategia  </w:t>
      </w:r>
      <w:r>
        <w:rPr>
          <w:rFonts w:ascii="Arial" w:cs="Arial" w:hAnsi="Arial"/>
          <w:color w:val="000000"/>
          <w:sz w:val="24"/>
          <w:szCs w:val="24"/>
          <w:lang w:eastAsia="es-ES"/>
        </w:rPr>
        <w:t>financieras es la que permite que una organización alcance los objetivos económicos, esta estrategia la formula la alta dirección para cumplir con la visión y misión de la empresa.</w:t>
      </w:r>
    </w:p>
    <w:p>
      <w:pPr>
        <w:pStyle w:val="style0"/>
        <w:spacing w:line="360" w:lineRule="auto"/>
        <w:jc w:val="both"/>
      </w:pPr>
      <w:r>
        <w:rPr>
          <w:rFonts w:ascii="Arial" w:cs="Arial" w:hAnsi="Arial"/>
          <w:color w:val="000000"/>
          <w:sz w:val="24"/>
          <w:szCs w:val="24"/>
          <w:lang w:eastAsia="es-ES"/>
        </w:rPr>
        <w:tab/>
      </w:r>
      <w:r>
        <w:rPr>
          <w:rFonts w:ascii="Arial" w:cs="Arial" w:hAnsi="Arial"/>
          <w:sz w:val="24"/>
          <w:szCs w:val="24"/>
        </w:rPr>
        <w:t xml:space="preserve">En este sentido, se presentará un proyecto de investigación, el cual se orientará al área operacional y financiera, donde se  estilará como referencia para establecer las estrategias financieras  -  operacionales  para la reutilización de bienes nacionales de Instituto Universitario de Tecnología de Yaracuy como insumo para la Producción Automotriz y la Construcción Civil en Venezuela, </w:t>
      </w:r>
      <w:r>
        <w:rPr>
          <w:rFonts w:ascii="Arial" w:cs="Arial" w:hAnsi="Arial"/>
          <w:b/>
          <w:sz w:val="24"/>
          <w:szCs w:val="24"/>
        </w:rPr>
        <w:t xml:space="preserve"> </w:t>
      </w:r>
      <w:r>
        <w:rPr>
          <w:rFonts w:ascii="Arial" w:cs="Arial" w:hAnsi="Arial"/>
          <w:sz w:val="24"/>
          <w:szCs w:val="24"/>
        </w:rPr>
        <w:t>a través de esta técnica del reciclaje podría lograrse la transformación de eso bienes a materiales metálicos o ferroso para sea utilizado en los dos propósito descrito con el fin de beneficiar a la población venezolana  con los programas sociales que el Gobierno Nacional tenga implementado..</w:t>
      </w:r>
    </w:p>
    <w:p>
      <w:pPr>
        <w:pStyle w:val="style0"/>
        <w:spacing w:line="360" w:lineRule="auto"/>
        <w:ind w:firstLine="567" w:left="0" w:right="0"/>
        <w:jc w:val="both"/>
      </w:pPr>
      <w:r>
        <w:rPr>
          <w:rFonts w:ascii="Arial" w:cs="Arial" w:eastAsia="Arial" w:hAnsi="Arial"/>
          <w:sz w:val="24"/>
          <w:szCs w:val="24"/>
        </w:rPr>
        <w:t xml:space="preserve">           </w:t>
      </w:r>
      <w:r>
        <w:rPr>
          <w:rFonts w:ascii="Arial" w:cs="Arial" w:hAnsi="Arial"/>
          <w:bCs/>
          <w:sz w:val="24"/>
          <w:szCs w:val="24"/>
          <w:lang w:val="es-VE"/>
        </w:rPr>
        <w:t>En consecuencia, para el mejor desarrollo de la presente investigación se presenta a continuación la estructura metodológica:</w:t>
      </w:r>
    </w:p>
    <w:p>
      <w:pPr>
        <w:pStyle w:val="style197"/>
        <w:tabs>
          <w:tab w:leader="none" w:pos="480" w:val="left"/>
        </w:tabs>
        <w:spacing w:after="0" w:before="0" w:line="360" w:lineRule="auto"/>
        <w:ind w:hanging="0" w:left="240" w:right="0"/>
        <w:jc w:val="both"/>
      </w:pPr>
      <w:r>
        <w:rPr>
          <w:rFonts w:ascii="Arial" w:cs="Arial" w:eastAsia="Calibri" w:hAnsi="Arial"/>
          <w:bCs/>
        </w:rPr>
        <w:tab/>
        <w:t>Comienza con el</w:t>
      </w:r>
      <w:r>
        <w:rPr>
          <w:rFonts w:ascii="Arial" w:cs="Arial" w:hAnsi="Arial"/>
          <w:szCs w:val="20"/>
        </w:rPr>
        <w:t xml:space="preserve"> Capitulo I: Referido al planteamiento de la situación, en donde se sintetizan  algunos elementos primarios de la problemática que motivó la realización del presente trabajo y, que dará origen a un conjunto de interrogantes.  Igualmente contempla los objetivos (generales y específicos) de la investigación y su justificación.</w:t>
      </w:r>
    </w:p>
    <w:p>
      <w:pPr>
        <w:pStyle w:val="style197"/>
        <w:tabs>
          <w:tab w:leader="none" w:pos="948" w:val="left"/>
        </w:tabs>
        <w:spacing w:after="0" w:before="0" w:line="360" w:lineRule="auto"/>
        <w:ind w:hanging="0" w:left="708" w:right="0"/>
        <w:jc w:val="both"/>
      </w:pPr>
      <w:r>
        <w:rPr>
          <w:rFonts w:ascii="Arial" w:cs="Arial" w:hAnsi="Arial"/>
          <w:szCs w:val="20"/>
        </w:rPr>
        <w:tab/>
        <w:tab/>
        <w:t xml:space="preserve">Seguidamente   el Capitulo II: Estructurado por los antecedentes de la investigación similares, bases teóricas y legales y definiciones de términos. </w:t>
      </w:r>
    </w:p>
    <w:p>
      <w:pPr>
        <w:pStyle w:val="style197"/>
        <w:tabs>
          <w:tab w:leader="none" w:pos="948" w:val="left"/>
        </w:tabs>
        <w:spacing w:after="0" w:before="0" w:line="360" w:lineRule="auto"/>
        <w:ind w:hanging="0" w:left="708" w:right="0"/>
        <w:jc w:val="both"/>
      </w:pPr>
      <w:r>
        <w:rPr>
          <w:rFonts w:ascii="Arial" w:cs="Arial" w:hAnsi="Arial"/>
          <w:szCs w:val="20"/>
        </w:rPr>
        <w:tab/>
        <w:tab/>
        <w:t>Continúa el Capítulo III: Compuesto por el marco metodológico, donde  se destacan tipo y diseño de la investigación, población y cálculo de la muestra, instrumento de recolección de datos y la operacionalización de las variables.</w:t>
      </w:r>
    </w:p>
    <w:p>
      <w:pPr>
        <w:pStyle w:val="style197"/>
        <w:tabs>
          <w:tab w:leader="none" w:pos="948" w:val="left"/>
        </w:tabs>
        <w:spacing w:after="0" w:before="0" w:line="360" w:lineRule="auto"/>
        <w:ind w:hanging="0" w:left="708" w:right="0"/>
        <w:jc w:val="both"/>
      </w:pPr>
      <w:r>
        <w:rPr>
          <w:rFonts w:ascii="Arial" w:cs="Arial" w:hAnsi="Arial"/>
          <w:szCs w:val="20"/>
        </w:rPr>
        <w:t>Asimismo el Capítulo IV: Presenta el análisis e interpretación de los resultados mediante cuadro y sus gráficos, explicando cada uno de sus aspectos teóricos que sustenta las estrategias financieras - operacionales.</w:t>
      </w:r>
    </w:p>
    <w:p>
      <w:pPr>
        <w:pStyle w:val="style197"/>
        <w:tabs>
          <w:tab w:leader="none" w:pos="948" w:val="left"/>
        </w:tabs>
        <w:spacing w:after="0" w:before="0" w:line="360" w:lineRule="auto"/>
        <w:ind w:hanging="0" w:left="708" w:right="0"/>
        <w:jc w:val="both"/>
      </w:pPr>
      <w:r>
        <w:rPr>
          <w:rFonts w:ascii="Arial" w:cs="Arial" w:hAnsi="Arial"/>
          <w:szCs w:val="20"/>
        </w:rPr>
        <w:tab/>
        <w:tab/>
        <w:t xml:space="preserve">Prosigue el Capítulo V: contiene el </w:t>
      </w:r>
      <w:r>
        <w:rPr>
          <w:rFonts w:ascii="Arial" w:cs="Arial" w:hAnsi="Arial"/>
        </w:rPr>
        <w:t>desarrollo de la propuesta</w:t>
      </w:r>
      <w:r>
        <w:rPr>
          <w:rFonts w:ascii="Arial" w:cs="Arial" w:hAnsi="Arial"/>
          <w:szCs w:val="20"/>
        </w:rPr>
        <w:t xml:space="preserve"> además muestra conclusiones y recomendaciones de la investigación. </w:t>
      </w:r>
    </w:p>
    <w:p>
      <w:pPr>
        <w:pStyle w:val="style0"/>
        <w:spacing w:line="360" w:lineRule="auto"/>
        <w:jc w:val="both"/>
      </w:pPr>
      <w:r>
        <w:rPr>
          <w:rFonts w:ascii="Arial" w:cs="Arial" w:hAnsi="Arial"/>
          <w:color w:val="000000"/>
          <w:sz w:val="24"/>
          <w:szCs w:val="24"/>
          <w:lang w:eastAsia="es-ES" w:val="es-VE"/>
        </w:rPr>
      </w:r>
    </w:p>
    <w:p>
      <w:pPr>
        <w:pStyle w:val="style0"/>
        <w:shd w:fill="FFFFFF" w:val="clear"/>
        <w:spacing w:line="230" w:lineRule="atLeast"/>
      </w:pPr>
      <w:r>
        <w:rPr>
          <w:rFonts w:ascii="Arial" w:cs="Arial" w:hAnsi="Arial"/>
          <w:color w:val="000000"/>
          <w:sz w:val="16"/>
          <w:szCs w:val="16"/>
        </w:rPr>
      </w:r>
    </w:p>
    <w:p>
      <w:pPr>
        <w:pStyle w:val="style0"/>
        <w:shd w:fill="FFFFFF" w:val="clear"/>
        <w:spacing w:line="230" w:lineRule="atLeast"/>
      </w:pPr>
      <w:r>
        <w:rPr>
          <w:rFonts w:ascii="Arial" w:cs="Arial" w:eastAsia="Arial" w:hAnsi="Arial"/>
          <w:color w:val="000000"/>
          <w:sz w:val="16"/>
          <w:szCs w:val="16"/>
        </w:rPr>
        <w:t xml:space="preserve"> </w:t>
      </w:r>
    </w:p>
    <w:p>
      <w:pPr>
        <w:pStyle w:val="style0"/>
        <w:autoSpaceDE w:val="false"/>
        <w:spacing w:after="0" w:before="0" w:line="360" w:lineRule="auto"/>
        <w:jc w:val="both"/>
      </w:pPr>
      <w:r>
        <w:rPr>
          <w:rFonts w:ascii="Arial" w:cs="Arial" w:hAnsi="Arial"/>
          <w:color w:val="000000"/>
          <w:sz w:val="24"/>
          <w:szCs w:val="24"/>
          <w:lang w:eastAsia="es-ES"/>
        </w:rPr>
      </w:r>
    </w:p>
    <w:p>
      <w:pPr>
        <w:pStyle w:val="style0"/>
        <w:autoSpaceDE w:val="false"/>
        <w:spacing w:after="0" w:before="0" w:line="360" w:lineRule="auto"/>
        <w:jc w:val="both"/>
      </w:pPr>
      <w:r>
        <w:rPr>
          <w:rFonts w:ascii="Arial" w:cs="Arial" w:hAnsi="Arial"/>
          <w:sz w:val="24"/>
          <w:szCs w:val="24"/>
          <w:lang w:eastAsia="es-ES"/>
        </w:rPr>
      </w:r>
    </w:p>
    <w:p>
      <w:pPr>
        <w:pStyle w:val="style0"/>
        <w:autoSpaceDE w:val="false"/>
        <w:spacing w:after="0" w:before="0" w:line="360" w:lineRule="auto"/>
        <w:jc w:val="both"/>
      </w:pPr>
      <w:r>
        <w:rPr>
          <w:rFonts w:ascii="Times New Roman" w:cs="Times New Roman" w:hAnsi="Times New Roman"/>
          <w:sz w:val="24"/>
          <w:szCs w:val="24"/>
          <w:lang w:eastAsia="es-ES"/>
        </w:rPr>
      </w:r>
    </w:p>
    <w:p>
      <w:pPr>
        <w:pStyle w:val="style0"/>
        <w:autoSpaceDE w:val="false"/>
        <w:spacing w:after="0" w:before="0" w:line="360" w:lineRule="auto"/>
        <w:jc w:val="both"/>
      </w:pPr>
      <w:r>
        <w:rPr>
          <w:rFonts w:ascii="Times New Roman" w:cs="Times New Roman" w:hAnsi="Times New Roman"/>
          <w:sz w:val="24"/>
          <w:szCs w:val="24"/>
          <w:lang w:eastAsia="es-ES"/>
        </w:rPr>
      </w:r>
    </w:p>
    <w:p>
      <w:pPr>
        <w:pStyle w:val="style0"/>
        <w:autoSpaceDE w:val="false"/>
        <w:spacing w:after="0" w:before="0" w:line="360" w:lineRule="auto"/>
        <w:jc w:val="both"/>
      </w:pPr>
      <w:r>
        <w:rPr>
          <w:rFonts w:ascii="Arial" w:cs="Arial" w:hAnsi="Arial"/>
          <w:sz w:val="24"/>
          <w:szCs w:val="24"/>
          <w:lang w:eastAsia="es-ES"/>
        </w:rPr>
      </w:r>
    </w:p>
    <w:p>
      <w:pPr>
        <w:pStyle w:val="style0"/>
        <w:autoSpaceDE w:val="false"/>
        <w:spacing w:after="0" w:before="0" w:line="360" w:lineRule="auto"/>
        <w:jc w:val="both"/>
      </w:pPr>
      <w:r>
        <w:rPr>
          <w:rFonts w:ascii="Times New Roman" w:cs="Times New Roman" w:hAnsi="Times New Roman"/>
          <w:sz w:val="24"/>
          <w:szCs w:val="24"/>
          <w:lang w:eastAsia="es-ES"/>
        </w:rPr>
        <w:tab/>
      </w:r>
    </w:p>
    <w:p>
      <w:pPr>
        <w:pStyle w:val="style0"/>
        <w:autoSpaceDE w:val="false"/>
        <w:spacing w:after="0" w:before="0" w:line="360" w:lineRule="auto"/>
        <w:jc w:val="both"/>
      </w:pPr>
      <w:r>
        <w:rPr>
          <w:rFonts w:ascii="Times New Roman" w:cs="Times New Roman" w:hAnsi="Times New Roman"/>
          <w:sz w:val="24"/>
          <w:szCs w:val="24"/>
          <w:lang w:eastAsia="es-ES"/>
        </w:rPr>
        <w:tab/>
      </w:r>
    </w:p>
    <w:p>
      <w:pPr>
        <w:pStyle w:val="style0"/>
        <w:autoSpaceDE w:val="false"/>
        <w:spacing w:after="0" w:before="0" w:line="360" w:lineRule="auto"/>
        <w:jc w:val="both"/>
      </w:pPr>
      <w:r>
        <w:rPr>
          <w:rFonts w:ascii="Times New Roman" w:cs="Times New Roman" w:hAnsi="Times New Roman"/>
          <w:sz w:val="24"/>
          <w:szCs w:val="24"/>
          <w:lang w:eastAsia="es-ES"/>
        </w:rPr>
        <w:t xml:space="preserve">. </w:t>
      </w:r>
    </w:p>
    <w:p>
      <w:pPr>
        <w:pStyle w:val="style0"/>
        <w:pageBreakBefore/>
        <w:spacing w:line="360" w:lineRule="auto"/>
        <w:jc w:val="center"/>
      </w:pPr>
      <w:r>
        <w:rPr>
          <w:rFonts w:ascii="Arial" w:cs="Arial" w:hAnsi="Arial"/>
          <w:b/>
          <w:sz w:val="24"/>
          <w:szCs w:val="24"/>
          <w:lang w:eastAsia="es-VE" w:val="es-VE"/>
        </w:rPr>
      </w:r>
    </w:p>
    <w:p>
      <w:pPr>
        <w:pStyle w:val="style0"/>
        <w:jc w:val="center"/>
      </w:pPr>
      <w:r>
        <w:rPr>
          <w:rFonts w:ascii="Arial" w:cs="Arial" w:hAnsi="Arial"/>
          <w:b/>
          <w:sz w:val="24"/>
          <w:szCs w:val="24"/>
        </w:rPr>
        <w:t>CAPITULO I</w:t>
      </w:r>
    </w:p>
    <w:p>
      <w:pPr>
        <w:pStyle w:val="style202"/>
        <w:jc w:val="center"/>
      </w:pPr>
      <w:r>
        <w:rPr>
          <w:rFonts w:ascii="Arial" w:cs="Arial" w:hAnsi="Arial"/>
          <w:b/>
          <w:i w:val="false"/>
          <w:color w:val="000000"/>
          <w:lang w:val="es-VE"/>
        </w:rPr>
      </w:r>
    </w:p>
    <w:p>
      <w:pPr>
        <w:pStyle w:val="style202"/>
        <w:jc w:val="center"/>
      </w:pPr>
      <w:r>
        <w:rPr>
          <w:rFonts w:ascii="Arial" w:cs="Arial" w:hAnsi="Arial"/>
          <w:b/>
          <w:i w:val="false"/>
          <w:color w:val="000000"/>
          <w:lang w:val="es-VE"/>
        </w:rPr>
        <w:t>EL PROBLEMA</w:t>
      </w:r>
    </w:p>
    <w:p>
      <w:pPr>
        <w:pStyle w:val="style202"/>
      </w:pPr>
      <w:r>
        <w:rPr>
          <w:rFonts w:ascii="Arial" w:cs="Arial" w:hAnsi="Arial"/>
          <w:b/>
          <w:i w:val="false"/>
          <w:color w:val="000000"/>
          <w:lang w:val="es-VE"/>
        </w:rPr>
      </w:r>
    </w:p>
    <w:p>
      <w:pPr>
        <w:pStyle w:val="style0"/>
      </w:pPr>
      <w:r>
        <w:rPr>
          <w:lang w:val="es-VE"/>
        </w:rPr>
      </w:r>
    </w:p>
    <w:p>
      <w:pPr>
        <w:pStyle w:val="style202"/>
      </w:pPr>
      <w:r>
        <w:rPr>
          <w:rFonts w:ascii="Arial" w:cs="Arial" w:hAnsi="Arial"/>
          <w:b/>
          <w:i w:val="false"/>
          <w:color w:val="000000"/>
          <w:lang w:val="es-VE"/>
        </w:rPr>
        <w:t>Planteamiento del Problema</w:t>
      </w:r>
    </w:p>
    <w:p>
      <w:pPr>
        <w:pStyle w:val="style204"/>
        <w:spacing w:line="360" w:lineRule="auto"/>
        <w:ind w:firstLine="357" w:left="0" w:right="0"/>
        <w:jc w:val="both"/>
      </w:pPr>
      <w:r>
        <w:rPr>
          <w:rFonts w:ascii="Arial" w:cs="Arial" w:hAnsi="Arial"/>
          <w:color w:val="333333"/>
          <w:sz w:val="24"/>
          <w:szCs w:val="24"/>
          <w:lang w:eastAsia="es-ES" w:val="es-VE"/>
        </w:rPr>
      </w:r>
    </w:p>
    <w:p>
      <w:pPr>
        <w:pStyle w:val="style204"/>
        <w:spacing w:line="360" w:lineRule="auto"/>
        <w:ind w:firstLine="357" w:left="0" w:right="0"/>
        <w:jc w:val="both"/>
      </w:pPr>
      <w:r>
        <w:rPr>
          <w:rFonts w:ascii="Arial" w:cs="Arial" w:hAnsi="Arial"/>
          <w:color w:val="333333"/>
          <w:sz w:val="24"/>
          <w:szCs w:val="24"/>
          <w:lang w:eastAsia="es-ES" w:val="es-VE"/>
        </w:rPr>
      </w:r>
    </w:p>
    <w:p>
      <w:pPr>
        <w:pStyle w:val="style204"/>
        <w:spacing w:line="360" w:lineRule="auto"/>
        <w:ind w:hanging="0" w:left="0" w:right="0"/>
        <w:jc w:val="both"/>
      </w:pPr>
      <w:r>
        <w:rPr>
          <w:rFonts w:ascii="Arial" w:cs="Arial" w:hAnsi="Arial"/>
          <w:color w:val="333333"/>
          <w:sz w:val="24"/>
          <w:szCs w:val="24"/>
          <w:lang w:eastAsia="es-ES" w:val="es-VE"/>
        </w:rPr>
        <w:tab/>
      </w:r>
      <w:r>
        <w:rPr>
          <w:rFonts w:ascii="Arial" w:cs="Arial" w:hAnsi="Arial"/>
          <w:sz w:val="24"/>
          <w:szCs w:val="24"/>
          <w:lang w:eastAsia="es-ES"/>
        </w:rPr>
        <w:t xml:space="preserve">En el moderno mundo económico -  financiero internacional el manejo de recursos describe los aspectos monetarios en el cual se permite a los dirigentes financieros entender los sucesos que puedan afectar a las empresas en aras de que los mismos tomen las medidas necesarias para evitar los peligros y riegos; esto con el fin de aprovechar las oportunidades del entorno y realizar las transacciones con mayor eficiencia. Entre los sucesos que pueden afectar a las empresas, se encuentran: las variaciones de los tipos de cambio, así como de las tasas de interés, tasa de inflación, el riesgo político, el financiero, el operacional,  el   económico  y los valores de los activos, en síntesis, el denominado riesgo país.   </w:t>
      </w:r>
    </w:p>
    <w:p>
      <w:pPr>
        <w:pStyle w:val="style201"/>
        <w:ind w:hanging="0" w:left="0" w:right="0"/>
        <w:jc w:val="both"/>
      </w:pPr>
      <w:r>
        <w:rPr>
          <w:rFonts w:ascii="Arial" w:cs="Arial" w:hAnsi="Arial"/>
          <w:sz w:val="24"/>
          <w:szCs w:val="24"/>
          <w:lang w:eastAsia="es-ES"/>
        </w:rPr>
        <w:tab/>
        <w:t>Con respecto a estas aseveraciones, Sierra y otros (2004) expresan:</w:t>
      </w:r>
    </w:p>
    <w:p>
      <w:pPr>
        <w:pStyle w:val="style205"/>
        <w:spacing w:line="240" w:lineRule="auto"/>
        <w:ind w:hanging="0" w:left="357" w:right="0"/>
        <w:jc w:val="both"/>
      </w:pPr>
      <w:r>
        <w:rPr>
          <w:rFonts w:ascii="Arial" w:cs="Arial" w:hAnsi="Arial"/>
          <w:sz w:val="24"/>
          <w:szCs w:val="24"/>
          <w:lang w:eastAsia="es-ES"/>
        </w:rPr>
      </w:r>
    </w:p>
    <w:p>
      <w:pPr>
        <w:pStyle w:val="style205"/>
        <w:spacing w:line="240" w:lineRule="auto"/>
        <w:ind w:hanging="0" w:left="1134" w:right="1134"/>
        <w:jc w:val="both"/>
      </w:pPr>
      <w:r>
        <w:rPr>
          <w:rFonts w:ascii="Arial" w:cs="Arial" w:hAnsi="Arial"/>
          <w:sz w:val="24"/>
          <w:szCs w:val="24"/>
          <w:lang w:eastAsia="es-ES"/>
        </w:rPr>
        <w:t>La creciente globalización crea oportunidades sin precedentes para el crecimiento y el progreso. Sin embargo, aumenta también el riesgo. El principal, es el riesgo cambiario, relacionado con la volatilidad de los tipos de cambios, sobre todo en el régimen flotante. (p.76)</w:t>
      </w:r>
    </w:p>
    <w:p>
      <w:pPr>
        <w:pStyle w:val="style200"/>
        <w:spacing w:line="360" w:lineRule="auto"/>
        <w:ind w:firstLine="357" w:left="0" w:right="0"/>
        <w:jc w:val="both"/>
      </w:pPr>
      <w:r>
        <w:rPr>
          <w:rFonts w:ascii="Arial" w:cs="Arial" w:hAnsi="Arial"/>
          <w:sz w:val="24"/>
          <w:szCs w:val="24"/>
          <w:lang w:eastAsia="es-ES"/>
        </w:rPr>
      </w:r>
    </w:p>
    <w:p>
      <w:pPr>
        <w:pStyle w:val="style200"/>
        <w:spacing w:line="360" w:lineRule="auto"/>
        <w:ind w:firstLine="357" w:left="0" w:right="0"/>
        <w:jc w:val="both"/>
      </w:pPr>
      <w:r>
        <w:rPr>
          <w:rFonts w:ascii="Arial" w:cs="Arial" w:hAnsi="Arial"/>
          <w:sz w:val="24"/>
          <w:szCs w:val="24"/>
          <w:lang w:eastAsia="es-ES"/>
        </w:rPr>
        <w:tab/>
        <w:t>A pesar de que existen medidas prevista para evitar los peligros financieros en las organizaciones, recientemente han estallado crisis financieras en media docena de países del mundo, y las consecuencias internas que han conllevado estos conflictos han sido muy graves, se describen: quiebra de bancos, de  empresas, desempleo, recrudecimiento de la carga fiscal, agotamiento de las reservas de divisas, depresión económica, y en algunos casos, disturbios políticos y sociales.</w:t>
      </w:r>
    </w:p>
    <w:p>
      <w:pPr>
        <w:pStyle w:val="style203"/>
      </w:pPr>
      <w:r>
        <w:rPr>
          <w:rFonts w:ascii="Arial" w:cs="Arial" w:hAnsi="Arial"/>
          <w:sz w:val="24"/>
          <w:szCs w:val="24"/>
          <w:lang w:eastAsia="es-ES"/>
        </w:rPr>
        <w:t xml:space="preserve">Al respecto </w:t>
      </w:r>
      <w:r>
        <w:rPr>
          <w:rFonts w:ascii="Arial" w:cs="Arial" w:hAnsi="Arial"/>
          <w:sz w:val="24"/>
          <w:szCs w:val="24"/>
        </w:rPr>
        <w:t>Spiegel</w:t>
      </w:r>
      <w:r>
        <w:rPr>
          <w:rFonts w:ascii="Arial" w:cs="Arial" w:hAnsi="Arial"/>
          <w:sz w:val="24"/>
          <w:szCs w:val="24"/>
          <w:lang w:eastAsia="es-ES"/>
        </w:rPr>
        <w:t xml:space="preserve">   (2007), señalan</w:t>
      </w:r>
      <w:r>
        <w:rPr>
          <w:rFonts w:ascii="Arial" w:cs="Arial" w:hAnsi="Arial"/>
          <w:color w:val="FF0000"/>
          <w:sz w:val="24"/>
          <w:szCs w:val="24"/>
          <w:lang w:eastAsia="es-ES"/>
        </w:rPr>
        <w:t>:</w:t>
      </w:r>
    </w:p>
    <w:p>
      <w:pPr>
        <w:pStyle w:val="style205"/>
        <w:ind w:hanging="0" w:left="1134" w:right="1134"/>
        <w:jc w:val="both"/>
      </w:pPr>
      <w:r>
        <w:rPr>
          <w:rFonts w:ascii="Arial" w:cs="Arial" w:hAnsi="Arial"/>
          <w:sz w:val="24"/>
          <w:szCs w:val="24"/>
          <w:lang w:eastAsia="es-ES"/>
        </w:rPr>
        <w:t>Los primeros análisis de las causas pusieron de manifiesto deficiencias en los fundamentos económicos de los países afectados, excesivo endeudamiento a corto plazo con el extranjero por parte  de los sectores públicos y privados, e inestabilidad de los flujos de capital a corto plazo (p. 13)</w:t>
      </w:r>
    </w:p>
    <w:p>
      <w:pPr>
        <w:pStyle w:val="style205"/>
        <w:ind w:hanging="0" w:left="360" w:right="0"/>
        <w:jc w:val="both"/>
      </w:pPr>
      <w:r>
        <w:rPr>
          <w:rFonts w:ascii="Arial" w:cs="Arial" w:hAnsi="Arial"/>
          <w:sz w:val="24"/>
          <w:szCs w:val="24"/>
          <w:lang w:eastAsia="es-ES"/>
        </w:rPr>
      </w:r>
    </w:p>
    <w:p>
      <w:pPr>
        <w:pStyle w:val="style204"/>
        <w:spacing w:line="360" w:lineRule="auto"/>
        <w:ind w:hanging="0" w:left="0" w:right="0"/>
        <w:jc w:val="both"/>
      </w:pPr>
      <w:r>
        <w:rPr>
          <w:rFonts w:ascii="Arial" w:cs="Arial" w:hAnsi="Arial"/>
          <w:sz w:val="24"/>
          <w:szCs w:val="24"/>
          <w:lang w:eastAsia="es-ES"/>
        </w:rPr>
        <w:tab/>
        <w:t xml:space="preserve">Por esta razón la comunidad internacional está ampliando la asistencia para la consolidación de bancos y demás instituciones financieras y de hecho  el funcionamiento del todo, es decir, del sistema financiero internacional. Tales efectos obligan a administrar adecuadamente y de forma racional los recursos materiales, financieros y humanos con perspectivas de  obtener  la   productividad empresarial e impulsar la innovación financiera. </w:t>
      </w:r>
    </w:p>
    <w:p>
      <w:pPr>
        <w:pStyle w:val="style204"/>
        <w:spacing w:line="360" w:lineRule="auto"/>
        <w:ind w:hanging="0" w:left="0" w:right="0"/>
        <w:jc w:val="both"/>
      </w:pPr>
      <w:r>
        <w:rPr>
          <w:rFonts w:ascii="Arial" w:cs="Arial" w:hAnsi="Arial"/>
          <w:sz w:val="24"/>
          <w:szCs w:val="24"/>
          <w:lang w:eastAsia="es-ES"/>
        </w:rPr>
        <w:tab/>
        <w:t xml:space="preserve">En este orden de ideas, dentro del contexto financiero actual es el punto de partida para tomar numerosas decisiones en el proceso de administrar los recursos y bienes de una organización de manera segura, con tendencia a un buen comportamiento en el futuro y, que esta, pueda predecir la situación económica y financiera en aras del desarrollo y afianzamiento de la economía de un país en particular.   </w:t>
      </w:r>
    </w:p>
    <w:p>
      <w:pPr>
        <w:pStyle w:val="style197"/>
        <w:shd w:fill="FFFFFF" w:val="clear"/>
        <w:spacing w:after="300" w:before="280" w:line="360" w:lineRule="auto"/>
        <w:ind w:firstLine="426" w:left="0" w:right="0"/>
        <w:jc w:val="both"/>
      </w:pPr>
      <w:r>
        <w:rPr>
          <w:rFonts w:ascii="Arial" w:cs="Arial" w:hAnsi="Arial"/>
          <w:color w:val="000000"/>
          <w:lang w:eastAsia="es-ES"/>
        </w:rPr>
        <w:t xml:space="preserve">Con todos los cambios que se han dado últimamente  en el mundo, las instituciones internacionales especializadas han revolucionado todo el ámbito monetario, el cual tiene como objetivo principal el manejo eficiente del capital de trabajo de una organización, siempre tomando en consideración los factores de riesgo financiero, </w:t>
      </w:r>
      <w:r>
        <w:rPr>
          <w:rFonts w:ascii="Arial" w:cs="Arial" w:hAnsi="Arial"/>
          <w:color w:val="000000"/>
        </w:rPr>
        <w:t>el impacto global, considerando como uno de los principales el calentamiento global y otros factores de menor impacto, entre estos, las políticas innovadoras y en algunos casos, dependiendo de la óptica dada, rígidas por parte de los estados, con la finalidad de</w:t>
      </w:r>
      <w:r>
        <w:rPr>
          <w:rFonts w:ascii="Arial" w:cs="Arial" w:hAnsi="Arial"/>
          <w:color w:val="000000"/>
          <w:lang w:eastAsia="es-ES"/>
        </w:rPr>
        <w:t xml:space="preserve"> la </w:t>
      </w:r>
      <w:r>
        <w:rPr>
          <w:rFonts w:ascii="Arial" w:cs="Arial" w:hAnsi="Arial"/>
          <w:color w:val="000000"/>
          <w:shd w:fill="FFFFFF" w:val="clear"/>
        </w:rPr>
        <w:t xml:space="preserve">búsqueda de niveles óptimos de rentabilidad, maximizando el valor de mercado de la organización, </w:t>
      </w:r>
      <w:r>
        <w:rPr>
          <w:rFonts w:ascii="Arial" w:cs="Arial" w:hAnsi="Arial"/>
          <w:color w:val="000000"/>
        </w:rPr>
        <w:t>generando valor agregado a los productos y servicios a</w:t>
      </w:r>
      <w:r>
        <w:rPr>
          <w:rFonts w:ascii="Arial" w:cs="Arial" w:hAnsi="Arial"/>
          <w:color w:val="000000"/>
          <w:shd w:fill="FFFFFF" w:val="clear"/>
        </w:rPr>
        <w:t xml:space="preserve"> partir de la maximización del precio de las acciones;  transmite solidez a los propietarios, y se convierte en una alternativa atractiva para potenciales inversores.</w:t>
      </w:r>
    </w:p>
    <w:p>
      <w:pPr>
        <w:pStyle w:val="style197"/>
        <w:shd w:fill="FFFFFF" w:val="clear"/>
        <w:spacing w:after="300" w:before="280" w:line="375" w:lineRule="atLeast"/>
        <w:jc w:val="both"/>
      </w:pPr>
      <w:r>
        <w:rPr>
          <w:rFonts w:ascii="Arial" w:cs="Arial" w:hAnsi="Arial"/>
          <w:color w:val="000000"/>
        </w:rPr>
        <w:tab/>
        <w:t>Al respecto el mensaje era y aun hoy es claro, si se invierte en elementos que generen valor agregado a productos y servicios, las ganancias llegaran y lo más importante se desarrollaran aptitudes y comportamientos estratégicos que darán a la organización si bien no ventajas, sino herramientas competitivas para la optimización de la rentabilidad.</w:t>
      </w:r>
    </w:p>
    <w:p>
      <w:pPr>
        <w:pStyle w:val="style197"/>
        <w:shd w:fill="FFFFFF" w:val="clear"/>
        <w:spacing w:after="300" w:before="280" w:line="375" w:lineRule="atLeast"/>
        <w:jc w:val="both"/>
      </w:pPr>
      <w:r>
        <w:rPr>
          <w:rFonts w:ascii="Arial" w:cs="Arial" w:hAnsi="Arial"/>
          <w:color w:val="000000"/>
        </w:rPr>
        <w:tab/>
        <w:t>En este mismo contexto, las estrategias no son más que el mejoramiento continuo de los productos y servicios, una gestión del talento humano altamente eficiente, y lo más importante el desarrollo de una relación simbiótica con el entorno que le rodea; y que con acciones concretas contribuyan a eliminar el paradigma existente de que el único propósito de las organizaciones es la obtención de márgenes de rentabilidad financiera a través de una simple transacción de mercado. El futuro de la organización y el logro del bienestar social dependen de ello.</w:t>
      </w:r>
      <w:r>
        <w:rPr>
          <w:rFonts w:ascii="Arial" w:cs="Arial" w:hAnsi="Arial"/>
          <w:color w:val="333333"/>
          <w:lang w:eastAsia="es-ES"/>
        </w:rPr>
        <w:t> </w:t>
      </w:r>
    </w:p>
    <w:p>
      <w:pPr>
        <w:pStyle w:val="style197"/>
        <w:shd w:fill="FFFFFF" w:val="clear"/>
        <w:spacing w:after="225" w:before="0" w:line="360" w:lineRule="auto"/>
        <w:jc w:val="both"/>
      </w:pPr>
      <w:r>
        <w:rPr>
          <w:rFonts w:ascii="Arial" w:cs="Arial" w:hAnsi="Arial"/>
        </w:rPr>
        <w:tab/>
        <w:t>Es incuestionable que durante los últimos años se ha avanzado de manera significativa a la hora de considerar la gestión de las empresas (privadas o públicas) en todos sus ámbitos el financiero, de calidad, el humano, el ambiental y la gestión de los bienes tangibles e intangibles, así como la marca, la reputación corporativa, la ética empresarial, la responsabilidad social corporativa, el buen gobierno, el capital humano, el capital organizativo o capital tecnológico entre otros, como elementos vitales y estratégicos para asegurar el éxito, el cual puede definirse de múltiples maneras, cada empresa escoge su propia fórmula para el logro y satisfacción de sus objetivos, es importante señalar que rara vez se logra con facilidad. </w:t>
      </w:r>
    </w:p>
    <w:p>
      <w:pPr>
        <w:pStyle w:val="style204"/>
        <w:spacing w:line="360" w:lineRule="auto"/>
        <w:ind w:hanging="0" w:left="0" w:right="0"/>
        <w:jc w:val="both"/>
      </w:pPr>
      <w:r>
        <w:rPr>
          <w:rFonts w:ascii="Arial" w:cs="Arial" w:hAnsi="Arial"/>
          <w:sz w:val="24"/>
          <w:szCs w:val="24"/>
          <w:lang w:eastAsia="es-VE" w:val="es-VE"/>
        </w:rPr>
        <w:tab/>
        <w:t>Con relación a la obtención del logro se  requiere tiempo y dedicación,  para alcanzar los objetivos propuestos, para ello se debe canalizar y utilizar bien los recursos. Si bien es cierto el éxito no se alcanza solo, sino que se debe formar un buen equipo para que cumplan con una cantidad incalculable de roles que permitan tener verdadera atribución en el alcance de las metas fijadas.</w:t>
      </w:r>
    </w:p>
    <w:p>
      <w:pPr>
        <w:pStyle w:val="style197"/>
        <w:shd w:fill="FFFFFF" w:val="clear"/>
        <w:spacing w:after="225" w:before="0" w:line="360" w:lineRule="auto"/>
        <w:jc w:val="both"/>
      </w:pPr>
      <w:r>
        <w:rPr>
          <w:rFonts w:ascii="Arial" w:cs="Arial" w:hAnsi="Arial"/>
        </w:rPr>
        <w:tab/>
        <w:t>En este sentido, para llevar a cabo las metas se requiere poner en práctica las operaciones empresariales (públicas y privadas) las cuales  descansan en la gestión de los recursos financieros que obtienen por las actividades que realizan, o según la naturaleza económica que desempeñan; que bajo la figura del financiamiento (propio o de terceros) les permiten alcanzar los objetivos empresariales que exigen sus dueños o la sociedad, en el caso de empresas del estado.</w:t>
      </w:r>
    </w:p>
    <w:p>
      <w:pPr>
        <w:pStyle w:val="style204"/>
        <w:spacing w:line="360" w:lineRule="auto"/>
        <w:ind w:hanging="0" w:left="0" w:right="0"/>
        <w:jc w:val="both"/>
      </w:pPr>
      <w:r>
        <w:rPr>
          <w:rFonts w:ascii="Arial" w:cs="Arial" w:hAnsi="Arial"/>
          <w:sz w:val="24"/>
          <w:szCs w:val="24"/>
          <w:lang w:val="es-VE"/>
        </w:rPr>
        <w:tab/>
        <w:t>Dentro de este contexto, el financiamiento está relacionado con el manejo de los fondos económicos que poseen las organizaciones, es decir, el origen y la evolución de  la fuente de ingresos y la cantidad y periodicidad con que se obtienen. Por esta razón, toda organización debe contar con métodos y herramientas que aseguren su utilización, optimización  eficiente, eficaz y oportuna en la consecución de las metas dando cumplimiento con las normativas internas y legales vigentes y a los cambios que en ellas van surgiendo.</w:t>
      </w:r>
    </w:p>
    <w:p>
      <w:pPr>
        <w:pStyle w:val="style0"/>
        <w:autoSpaceDE w:val="false"/>
        <w:spacing w:after="0" w:before="0" w:line="360" w:lineRule="auto"/>
        <w:jc w:val="both"/>
      </w:pPr>
      <w:r>
        <w:rPr>
          <w:rFonts w:ascii="Arial" w:cs="Arial" w:hAnsi="Arial"/>
          <w:sz w:val="24"/>
          <w:szCs w:val="24"/>
          <w:lang w:val="es-VE"/>
        </w:rPr>
        <w:tab/>
        <w:t xml:space="preserve">Sumado a lo expuesto, se tiene que las fuentes de ingreso </w:t>
      </w:r>
      <w:r>
        <w:rPr>
          <w:rFonts w:ascii="Arial" w:cs="Arial" w:hAnsi="Arial"/>
          <w:color w:val="000000"/>
          <w:sz w:val="24"/>
          <w:szCs w:val="24"/>
          <w:lang w:val="es-VE"/>
        </w:rPr>
        <w:t xml:space="preserve">deben ser    permanentes,  sistemáticas y puntuales, ya </w:t>
      </w:r>
      <w:r>
        <w:rPr>
          <w:rFonts w:ascii="Arial" w:cs="Arial" w:hAnsi="Arial"/>
          <w:sz w:val="24"/>
          <w:szCs w:val="24"/>
          <w:lang w:val="es-VE"/>
        </w:rPr>
        <w:t>que de ello depende la efectiva producción de bienes,  la eficiente prestación del servicio, entre otros, para establecer los planes que darán forma a la posición futura de la empresa y garantizar las operaciones de la misma,  los programas de inversión de sus recursos con base a un estudio de riesgo y rentabilidad, buscando minimizar los costos financieros, de tal manera que se pueda cumplir con los objetivos y metas, y al mismo tiempo, intentar maximizar la satisfacción social, cultural y económica de todos sus integrantes.</w:t>
      </w:r>
    </w:p>
    <w:p>
      <w:pPr>
        <w:pStyle w:val="style0"/>
        <w:autoSpaceDE w:val="false"/>
        <w:spacing w:after="0" w:before="0" w:line="360" w:lineRule="auto"/>
        <w:ind w:firstLine="737" w:left="0" w:right="0"/>
        <w:jc w:val="both"/>
      </w:pPr>
      <w:r>
        <w:rPr>
          <w:rFonts w:ascii="Arial" w:cs="Arial" w:hAnsi="Arial"/>
          <w:sz w:val="24"/>
          <w:szCs w:val="24"/>
          <w:lang w:val="es-VE"/>
        </w:rPr>
      </w:r>
    </w:p>
    <w:p>
      <w:pPr>
        <w:pStyle w:val="style0"/>
        <w:autoSpaceDE w:val="false"/>
        <w:spacing w:after="0" w:before="0" w:line="360" w:lineRule="auto"/>
        <w:jc w:val="both"/>
      </w:pPr>
      <w:r>
        <w:rPr>
          <w:rFonts w:ascii="Arial" w:cs="Arial" w:hAnsi="Arial"/>
          <w:sz w:val="24"/>
          <w:szCs w:val="24"/>
          <w:lang w:val="es-VE"/>
        </w:rPr>
        <w:tab/>
        <w:t xml:space="preserve">Por otra parte, en el sector privado el objetivo fundamental es generar ingresos a corto y en largo plazo y que los mismos generen la sostenibilidad integral de la organización, mientras que las empresas del sector público </w:t>
      </w:r>
      <w:r>
        <w:rPr>
          <w:rFonts w:ascii="Arial" w:cs="Arial" w:hAnsi="Arial"/>
          <w:color w:val="000000"/>
          <w:sz w:val="24"/>
          <w:szCs w:val="24"/>
          <w:shd w:fill="FFFFFF" w:val="clear"/>
        </w:rPr>
        <w:t>son operadas por el gobierno y su propiedad es de titularidad pública su principal objetivo es maximización del bienestar integral de la población y</w:t>
      </w:r>
      <w:r>
        <w:rPr>
          <w:rStyle w:val="style150"/>
          <w:rFonts w:ascii="Arial" w:hAnsi="Arial"/>
          <w:b w:val="false"/>
          <w:color w:val="000000"/>
          <w:sz w:val="24"/>
          <w:szCs w:val="24"/>
          <w:shd w:fill="FFFFFF" w:val="clear"/>
        </w:rPr>
        <w:t xml:space="preserve"> de servir al ciudadano</w:t>
      </w:r>
      <w:r>
        <w:rPr>
          <w:rStyle w:val="style150"/>
          <w:rFonts w:ascii="Arial" w:hAnsi="Arial"/>
          <w:color w:val="000000"/>
          <w:sz w:val="24"/>
          <w:szCs w:val="24"/>
          <w:shd w:fill="FFFFFF" w:val="clear"/>
        </w:rPr>
        <w:t>.</w:t>
      </w:r>
    </w:p>
    <w:p>
      <w:pPr>
        <w:pStyle w:val="style0"/>
        <w:autoSpaceDE w:val="false"/>
        <w:spacing w:after="0" w:before="0" w:line="360" w:lineRule="auto"/>
        <w:jc w:val="both"/>
      </w:pPr>
      <w:r>
        <w:rPr>
          <w:rStyle w:val="style150"/>
          <w:rFonts w:ascii="Arial" w:cs="Arial" w:hAnsi="Arial"/>
          <w:b w:val="false"/>
          <w:color w:val="000000"/>
          <w:sz w:val="24"/>
          <w:szCs w:val="24"/>
          <w:shd w:fill="FFFFFF" w:val="clear"/>
        </w:rPr>
        <w:tab/>
      </w:r>
      <w:r>
        <w:rPr>
          <w:rStyle w:val="style150"/>
          <w:rFonts w:ascii="Arial" w:hAnsi="Arial"/>
          <w:color w:val="000000"/>
          <w:sz w:val="24"/>
          <w:szCs w:val="24"/>
          <w:shd w:fill="FFFFFF" w:val="clear"/>
        </w:rPr>
        <w:t>De esta forma, la empresa pública</w:t>
      </w:r>
      <w:r>
        <w:rPr>
          <w:rFonts w:ascii="Arial" w:cs="Arial" w:hAnsi="Arial"/>
          <w:color w:val="000000"/>
          <w:sz w:val="24"/>
          <w:szCs w:val="24"/>
          <w:shd w:fill="FFFFFF" w:val="clear"/>
        </w:rPr>
        <w:t xml:space="preserve">  </w:t>
      </w:r>
      <w:r>
        <w:rPr>
          <w:rFonts w:ascii="Arial" w:cs="Arial" w:hAnsi="Arial"/>
          <w:sz w:val="24"/>
          <w:szCs w:val="24"/>
          <w:lang w:val="es-VE"/>
        </w:rPr>
        <w:t xml:space="preserve">desempeña un conjunto de funciones direccionada por el gobierno nacional, regional, municipal y por cada una de las instituciones que aplican </w:t>
      </w:r>
      <w:r>
        <w:rPr>
          <w:rFonts w:ascii="Arial" w:cs="Arial" w:hAnsi="Arial"/>
          <w:sz w:val="24"/>
          <w:szCs w:val="24"/>
          <w:shd w:fill="FFFFFF" w:val="clear"/>
        </w:rPr>
        <w:t>políticas, normas, técnicas, sistemas y procedimientos</w:t>
      </w:r>
      <w:r>
        <w:rPr>
          <w:rFonts w:ascii="Arial" w:cs="Arial" w:hAnsi="Arial"/>
          <w:sz w:val="24"/>
          <w:szCs w:val="24"/>
          <w:lang w:val="es-VE"/>
        </w:rPr>
        <w:t xml:space="preserve"> </w:t>
      </w:r>
      <w:r>
        <w:rPr>
          <w:rFonts w:ascii="Arial" w:cs="Arial" w:hAnsi="Arial"/>
          <w:sz w:val="24"/>
          <w:szCs w:val="24"/>
          <w:shd w:fill="FFFFFF" w:val="clear"/>
        </w:rPr>
        <w:t xml:space="preserve">a través de los cuales se racionalizan los recursos para producir bienes y servicios que demanda la sociedad en el cumplimiento de  la Constitución Bolivariana de Venezuela y así </w:t>
      </w:r>
      <w:r>
        <w:rPr>
          <w:rFonts w:ascii="Arial" w:cs="Arial" w:hAnsi="Arial"/>
          <w:sz w:val="24"/>
          <w:szCs w:val="24"/>
          <w:lang w:val="es-VE"/>
        </w:rPr>
        <w:t xml:space="preserve"> satisfacer las necesidades  generales de la población.</w:t>
      </w:r>
    </w:p>
    <w:p>
      <w:pPr>
        <w:pStyle w:val="style0"/>
        <w:autoSpaceDE w:val="false"/>
        <w:spacing w:after="0" w:before="0" w:line="360" w:lineRule="auto"/>
        <w:ind w:firstLine="284" w:left="0" w:right="0"/>
        <w:jc w:val="both"/>
      </w:pPr>
      <w:r>
        <w:rPr>
          <w:rFonts w:ascii="Arial" w:cs="Arial" w:hAnsi="Arial"/>
          <w:sz w:val="24"/>
          <w:szCs w:val="24"/>
          <w:shd w:fill="FFFFFF" w:val="clear"/>
        </w:rPr>
      </w:r>
    </w:p>
    <w:p>
      <w:pPr>
        <w:pStyle w:val="style0"/>
        <w:autoSpaceDE w:val="false"/>
        <w:spacing w:after="0" w:before="0" w:line="360" w:lineRule="auto"/>
        <w:jc w:val="both"/>
      </w:pPr>
      <w:r>
        <w:rPr>
          <w:rFonts w:ascii="Arial" w:cs="Arial" w:hAnsi="Arial"/>
          <w:sz w:val="24"/>
          <w:szCs w:val="24"/>
          <w:shd w:fill="FFFFFF" w:val="clear"/>
        </w:rPr>
        <w:tab/>
        <w:t>En cuanto al financiamiento de las empresas del sector público no están orientadas al beneficio económico sino más bien a la prestación de servicio; a nivel nacional existe organismos del sector público que abarcan gran variedad de servicios, tales como:</w:t>
      </w:r>
      <w:r>
        <w:rPr>
          <w:rFonts w:ascii="Arial" w:cs="Arial" w:hAnsi="Arial"/>
          <w:color w:val="000000"/>
          <w:sz w:val="24"/>
          <w:szCs w:val="24"/>
          <w:shd w:fill="FFFFFF" w:val="clear"/>
        </w:rPr>
        <w:t xml:space="preserve"> escuelas públicas, universidades, instituciones policiales, bomberos, servicios de salud,  transporte público, el ejército entre otros; los recursos financieros de estas organizaciones provienen de los impuestos obtenidos por el estado y en gran parte de la renta petrolera.</w:t>
      </w:r>
    </w:p>
    <w:p>
      <w:pPr>
        <w:pStyle w:val="style0"/>
        <w:autoSpaceDE w:val="false"/>
        <w:spacing w:after="0" w:before="0" w:line="360" w:lineRule="auto"/>
        <w:jc w:val="both"/>
      </w:pPr>
      <w:r>
        <w:rPr>
          <w:rFonts w:ascii="Arial" w:cs="Arial" w:eastAsia="Arial" w:hAnsi="Arial"/>
          <w:color w:val="000000"/>
          <w:sz w:val="24"/>
          <w:szCs w:val="24"/>
          <w:shd w:fill="FFFFFF" w:val="clear"/>
        </w:rPr>
        <w:t xml:space="preserve"> </w:t>
      </w:r>
      <w:r>
        <w:rPr>
          <w:rFonts w:ascii="Arial" w:cs="Arial" w:hAnsi="Arial"/>
          <w:color w:val="000000"/>
          <w:sz w:val="24"/>
          <w:szCs w:val="24"/>
        </w:rPr>
        <w:br/>
      </w:r>
      <w:r>
        <w:rPr>
          <w:rFonts w:ascii="Arial" w:cs="Arial" w:hAnsi="Arial"/>
          <w:sz w:val="24"/>
          <w:szCs w:val="24"/>
          <w:shd w:fill="FFFFFF" w:val="clear"/>
        </w:rPr>
        <w:t xml:space="preserve">      </w:t>
        <w:tab/>
        <w:t xml:space="preserve">Es importante mencionar que los recursos financieros asignados  a las  empresas del estado, o en su defecto del sector público, de acuerdo con su ámbito y estructura (internacional, nacional, estatal o municipal) son invertidos para adquirir los activos fijos, entre estos, bienes materiales, muebles, inmuebles, terreno, maquinarias y vehículos, afectos al cumplimiento de la función pública y por ser propiedades del estado  reciben el nombre </w:t>
      </w:r>
      <w:r>
        <w:rPr>
          <w:rFonts w:ascii="Arial" w:cs="Arial" w:hAnsi="Arial"/>
          <w:sz w:val="24"/>
          <w:szCs w:val="24"/>
          <w:lang w:val="es-VE"/>
        </w:rPr>
        <w:t xml:space="preserve"> de bienes de  dominio público o bienes nacionales.</w:t>
      </w:r>
    </w:p>
    <w:p>
      <w:pPr>
        <w:pStyle w:val="style0"/>
        <w:autoSpaceDE w:val="false"/>
        <w:spacing w:after="0" w:before="0" w:line="360" w:lineRule="auto"/>
        <w:ind w:firstLine="284" w:left="0" w:right="0"/>
        <w:jc w:val="both"/>
      </w:pPr>
      <w:r>
        <w:rPr>
          <w:rFonts w:ascii="Arial" w:cs="Arial" w:hAnsi="Arial"/>
          <w:b/>
          <w:sz w:val="24"/>
          <w:szCs w:val="24"/>
          <w:lang w:val="es-VE"/>
        </w:rPr>
      </w:r>
    </w:p>
    <w:p>
      <w:pPr>
        <w:pStyle w:val="style0"/>
        <w:autoSpaceDE w:val="false"/>
        <w:spacing w:after="0" w:before="0" w:line="360" w:lineRule="auto"/>
        <w:jc w:val="both"/>
      </w:pPr>
      <w:r>
        <w:rPr>
          <w:rFonts w:ascii="Arial" w:cs="Arial" w:hAnsi="Arial"/>
          <w:sz w:val="24"/>
          <w:szCs w:val="24"/>
          <w:lang w:val="es-VE"/>
        </w:rPr>
        <w:tab/>
        <w:t>Por otra parte, se invierten además en sueldos, pago de intereses, compra de bienes de consumo, gastos de inversión o de capital., cuyo objetivo es aumentar la capacidad productiva de la economía, construcción de escuelas, carreteras, y finalmente las  erogaciones del estado que no generan obligación o contraprestación por parte de los beneficiarios: jubilación, pensión, servicios sociales (educación, salud, vivienda); todas estos gastos e inversiones van dirigidos a cada una de las instituciones u organizaciones de la nación.</w:t>
      </w:r>
    </w:p>
    <w:p>
      <w:pPr>
        <w:pStyle w:val="style0"/>
        <w:autoSpaceDE w:val="false"/>
        <w:spacing w:after="0" w:before="0" w:line="360" w:lineRule="auto"/>
        <w:ind w:firstLine="284" w:left="0" w:right="0"/>
        <w:jc w:val="both"/>
      </w:pPr>
      <w:r>
        <w:rPr>
          <w:rFonts w:ascii="Arial" w:cs="Arial" w:hAnsi="Arial"/>
          <w:sz w:val="24"/>
          <w:szCs w:val="24"/>
          <w:lang w:val="es-VE"/>
        </w:rPr>
      </w:r>
    </w:p>
    <w:p>
      <w:pPr>
        <w:pStyle w:val="style190"/>
        <w:spacing w:line="360" w:lineRule="auto"/>
        <w:jc w:val="both"/>
      </w:pPr>
      <w:r>
        <w:rPr>
          <w:rFonts w:ascii="Arial" w:cs="Arial" w:hAnsi="Arial"/>
          <w:sz w:val="24"/>
          <w:szCs w:val="24"/>
          <w:lang w:val="es-VE"/>
        </w:rPr>
        <w:tab/>
        <w:t>En este orden de ideas, el Decreto con Rango, Valor y Fuerza de Ley Orgánica de Bienes Públicos  en su artículo 5 numeral 1 considera como  bienes públicos los siguientes:</w:t>
      </w:r>
    </w:p>
    <w:p>
      <w:pPr>
        <w:pStyle w:val="style190"/>
        <w:spacing w:line="360" w:lineRule="auto"/>
        <w:ind w:firstLine="284" w:left="0" w:right="0"/>
        <w:jc w:val="both"/>
      </w:pPr>
      <w:r>
        <w:rPr>
          <w:rFonts w:ascii="Arial" w:cs="Arial" w:hAnsi="Arial"/>
          <w:sz w:val="24"/>
          <w:szCs w:val="24"/>
          <w:lang w:val="es-VE"/>
        </w:rPr>
      </w:r>
    </w:p>
    <w:p>
      <w:pPr>
        <w:pStyle w:val="style205"/>
        <w:shd w:fill="FFFFFF" w:val="clear"/>
        <w:spacing w:after="0" w:before="0" w:line="240" w:lineRule="auto"/>
        <w:ind w:hanging="0" w:left="1134" w:right="1134"/>
        <w:jc w:val="both"/>
      </w:pPr>
      <w:r>
        <w:rPr>
          <w:rFonts w:ascii="Arial" w:cs="Arial" w:hAnsi="Arial"/>
          <w:color w:val="000000"/>
          <w:sz w:val="24"/>
          <w:szCs w:val="24"/>
        </w:rPr>
        <w:t>Los bienes muebles e inmuebles, títulos valor, acciones, cuotas o participaciones en sociedades y demás derechos, de dominio público o de dominio privado, que hayan adquirido o adquieran los órganos y entes que conforman el Sector Público, independientemente del nivel de gobierno al que pertenezcan</w:t>
      </w:r>
      <w:r>
        <w:rPr>
          <w:rFonts w:ascii="Arial" w:cs="Arial" w:hAnsi="Arial"/>
          <w:color w:val="FF0000"/>
          <w:sz w:val="24"/>
          <w:szCs w:val="24"/>
          <w:shd w:fill="FFFFFF" w:val="clear"/>
        </w:rPr>
        <w:t>.</w:t>
      </w:r>
    </w:p>
    <w:p>
      <w:pPr>
        <w:pStyle w:val="style205"/>
        <w:spacing w:after="0" w:before="0" w:line="240" w:lineRule="auto"/>
        <w:ind w:hanging="0" w:left="851" w:right="737"/>
        <w:jc w:val="both"/>
      </w:pPr>
      <w:r>
        <w:rPr>
          <w:rFonts w:ascii="Arial" w:cs="Arial" w:hAnsi="Arial"/>
          <w:color w:val="FF0000"/>
          <w:sz w:val="24"/>
          <w:szCs w:val="24"/>
          <w:shd w:fill="FFFFFF" w:val="clear"/>
        </w:rPr>
      </w:r>
    </w:p>
    <w:p>
      <w:pPr>
        <w:pStyle w:val="style205"/>
        <w:spacing w:after="0" w:before="0" w:line="240" w:lineRule="auto"/>
        <w:ind w:hanging="0" w:left="851" w:right="737"/>
        <w:jc w:val="both"/>
      </w:pPr>
      <w:r>
        <w:rPr>
          <w:rFonts w:ascii="Arial" w:cs="Arial" w:hAnsi="Arial"/>
          <w:color w:val="FF0000"/>
          <w:sz w:val="24"/>
          <w:szCs w:val="24"/>
          <w:shd w:fill="FFFFFF" w:val="clear"/>
        </w:rPr>
      </w:r>
    </w:p>
    <w:p>
      <w:pPr>
        <w:pStyle w:val="style190"/>
        <w:spacing w:line="360" w:lineRule="auto"/>
        <w:jc w:val="both"/>
      </w:pPr>
      <w:r>
        <w:rPr>
          <w:rFonts w:ascii="Arial" w:cs="Arial" w:hAnsi="Arial"/>
          <w:color w:val="000000"/>
          <w:sz w:val="24"/>
          <w:szCs w:val="24"/>
          <w:shd w:fill="FFFFFF" w:val="clear"/>
        </w:rPr>
        <w:tab/>
        <w:t>Aquí se puede identificar claramente cuales bienes conforman los bienes de dominio público. Además, la misma Ley Orgánica de Bienes Público  conceptualiza a los bienes nacionales de la siguiente forma:</w:t>
      </w:r>
    </w:p>
    <w:p>
      <w:pPr>
        <w:pStyle w:val="style190"/>
        <w:spacing w:line="360" w:lineRule="auto"/>
        <w:jc w:val="both"/>
      </w:pPr>
      <w:r>
        <w:rPr>
          <w:rFonts w:ascii="Arial" w:cs="Arial" w:hAnsi="Arial"/>
          <w:color w:val="FF0000"/>
          <w:sz w:val="24"/>
          <w:szCs w:val="24"/>
          <w:shd w:fill="FFFFFF" w:val="clear"/>
        </w:rPr>
      </w:r>
    </w:p>
    <w:p>
      <w:pPr>
        <w:pStyle w:val="style205"/>
        <w:spacing w:after="0" w:before="0" w:line="240" w:lineRule="auto"/>
        <w:ind w:hanging="0" w:left="1134" w:right="1134"/>
        <w:jc w:val="both"/>
      </w:pPr>
      <w:r>
        <w:rPr>
          <w:rFonts w:ascii="Arial" w:cs="Arial" w:hAnsi="Arial"/>
          <w:color w:val="000000"/>
          <w:sz w:val="24"/>
          <w:szCs w:val="24"/>
          <w:shd w:fill="FFFFFF" w:val="clear"/>
        </w:rPr>
        <w:t>Son Bienes Nacionales, los bienes públicos, de dominio público o privado propiedad de La República, de los institutos autónomos y de las empresas del Estado, de las demás personas en que los entes antes mencionados tengan una participación superior al 50% del capital social y de las consideradas fundaciones del Estado</w:t>
      </w:r>
    </w:p>
    <w:p>
      <w:pPr>
        <w:pStyle w:val="style190"/>
        <w:spacing w:line="360" w:lineRule="auto"/>
        <w:jc w:val="both"/>
      </w:pPr>
      <w:r>
        <w:rPr>
          <w:rFonts w:ascii="Arial" w:cs="Arial" w:hAnsi="Arial"/>
          <w:sz w:val="24"/>
          <w:szCs w:val="24"/>
          <w:shd w:fill="FFFFFF" w:val="clear"/>
        </w:rPr>
      </w:r>
    </w:p>
    <w:p>
      <w:pPr>
        <w:pStyle w:val="style190"/>
        <w:spacing w:line="360" w:lineRule="auto"/>
        <w:jc w:val="both"/>
      </w:pPr>
      <w:r>
        <w:rPr>
          <w:rFonts w:ascii="Arial" w:cs="Arial" w:hAnsi="Arial"/>
          <w:sz w:val="24"/>
          <w:szCs w:val="24"/>
          <w:shd w:fill="FFFFFF" w:val="clear"/>
        </w:rPr>
        <w:tab/>
        <w:t xml:space="preserve">Ahora bien por ser propiedad de la Republica, independientemente del nivel de gobierno al que pertenezca, instituto u organismo, estos bienes no son fáciles de enajenar, permutar o desincorporar por obsolescencias, </w:t>
      </w:r>
      <w:r>
        <w:rPr>
          <w:rFonts w:ascii="Arial" w:cs="Arial" w:hAnsi="Arial"/>
          <w:sz w:val="24"/>
          <w:szCs w:val="24"/>
          <w:lang w:val="es-VE"/>
        </w:rPr>
        <w:t xml:space="preserve">deterioro o daño, </w:t>
      </w:r>
      <w:r>
        <w:rPr>
          <w:rFonts w:ascii="Arial" w:cs="Arial" w:hAnsi="Arial"/>
          <w:sz w:val="24"/>
          <w:szCs w:val="24"/>
          <w:shd w:fill="FFFFFF" w:val="clear"/>
        </w:rPr>
        <w:t xml:space="preserve">para llevar a cabo estos procesos se hace necesario cumplir con unas serie de procedimientos, requisitos  y trámites  exigidos en la Ley Bienes Públicos, los cuales resultan complicados y algunas veces es difícil cumplir  el lapso establecido en la normativa legal.  </w:t>
      </w:r>
    </w:p>
    <w:p>
      <w:pPr>
        <w:pStyle w:val="style190"/>
        <w:spacing w:line="360" w:lineRule="auto"/>
        <w:ind w:firstLine="360" w:left="0" w:right="0"/>
        <w:jc w:val="both"/>
      </w:pPr>
      <w:r>
        <w:rPr>
          <w:rFonts w:ascii="Arial" w:cs="Arial" w:hAnsi="Arial"/>
          <w:sz w:val="24"/>
          <w:szCs w:val="24"/>
          <w:lang w:val="es-VE"/>
        </w:rPr>
      </w:r>
    </w:p>
    <w:p>
      <w:pPr>
        <w:pStyle w:val="style190"/>
        <w:spacing w:line="360" w:lineRule="auto"/>
        <w:jc w:val="both"/>
      </w:pPr>
      <w:r>
        <w:rPr>
          <w:rFonts w:ascii="Arial" w:cs="Arial" w:hAnsi="Arial"/>
          <w:sz w:val="24"/>
          <w:szCs w:val="24"/>
          <w:lang w:val="es-VE"/>
        </w:rPr>
        <w:tab/>
        <w:t>Por ello, de cumplir con los requisitos exigidos y tomar como decisión  realizar la venta o la permuta esto generaría ingresos a la empresa del estado o los ingresos de otros bienes con la misma característica de igual valor pero en buen estado. Esto permitirá a la organización u institución el derecho y el goce de los mismos en beneficio de una comunidad o colectivo. Operativamente, p</w:t>
      </w:r>
      <w:r>
        <w:rPr>
          <w:rFonts w:ascii="Arial" w:cs="Arial" w:hAnsi="Arial"/>
          <w:sz w:val="24"/>
          <w:szCs w:val="24"/>
          <w:shd w:fill="FFFFFF" w:val="clear"/>
        </w:rPr>
        <w:t xml:space="preserve">ara incluir un activo en las empresas del estado o privadas dentro del grupo contable conocido como “propiedad, planta y equipo” este debe cumplir con una serie  de requisitos,  debe tener carácter permanente y debe representar bienes de la empresa que son necesarios para su funcionamiento, ya que se adquieren para utilizarse y no para venderse, </w:t>
      </w:r>
      <w:r>
        <w:rPr>
          <w:rFonts w:ascii="Arial" w:cs="Arial" w:hAnsi="Arial"/>
          <w:sz w:val="24"/>
          <w:szCs w:val="24"/>
          <w:lang w:val="es-VE"/>
        </w:rPr>
        <w:t xml:space="preserve">    </w:t>
      </w:r>
      <w:r>
        <w:rPr>
          <w:rFonts w:ascii="Arial" w:cs="Arial" w:hAnsi="Arial"/>
          <w:sz w:val="24"/>
          <w:szCs w:val="24"/>
          <w:shd w:fill="FFFFFF" w:val="clear"/>
        </w:rPr>
        <w:t>evidentemente todos estos activos, excepto el terreno, se van deteriorando con el tiempo y el uso. Esta disminución de valor que van experimentando se debe reflejar en una cuenta contablemente año tras año, a través de la cuenta de “depreciación”.</w:t>
      </w:r>
    </w:p>
    <w:p>
      <w:pPr>
        <w:pStyle w:val="style0"/>
        <w:autoSpaceDE w:val="false"/>
        <w:spacing w:after="0" w:before="0" w:line="240" w:lineRule="auto"/>
        <w:ind w:firstLine="284" w:left="0" w:right="0"/>
        <w:jc w:val="both"/>
      </w:pPr>
      <w:r>
        <w:rPr>
          <w:rFonts w:ascii="Arial" w:cs="Arial" w:eastAsia="Arial" w:hAnsi="Arial"/>
          <w:sz w:val="24"/>
          <w:szCs w:val="24"/>
          <w:shd w:fill="FFFFFF" w:val="clear"/>
        </w:rPr>
        <w:t xml:space="preserve"> </w:t>
      </w:r>
    </w:p>
    <w:p>
      <w:pPr>
        <w:pStyle w:val="style0"/>
        <w:autoSpaceDE w:val="false"/>
        <w:spacing w:after="0" w:before="0" w:line="360" w:lineRule="auto"/>
        <w:jc w:val="both"/>
      </w:pPr>
      <w:r>
        <w:rPr>
          <w:rFonts w:ascii="Arial" w:cs="Arial" w:eastAsia="Arial" w:hAnsi="Arial"/>
          <w:sz w:val="24"/>
          <w:szCs w:val="24"/>
          <w:shd w:fill="FFFFFF" w:val="clear"/>
        </w:rPr>
        <w:t xml:space="preserve"> </w:t>
      </w:r>
      <w:r>
        <w:rPr>
          <w:rFonts w:ascii="Arial" w:cs="Arial" w:hAnsi="Arial"/>
          <w:sz w:val="24"/>
          <w:szCs w:val="24"/>
          <w:shd w:fill="FFFFFF" w:val="clear"/>
        </w:rPr>
        <w:tab/>
        <w:t xml:space="preserve">Cabe señalar que los activos se desgastan físicamente, tanto por el uso como por el transcurrir del tiempo, sufriendo un proceso de deterioro, corrosión, pérdida, obsolescencia y que los mismos no sean susceptibles de reparación.  </w:t>
      </w:r>
    </w:p>
    <w:p>
      <w:pPr>
        <w:pStyle w:val="style204"/>
        <w:spacing w:line="360" w:lineRule="auto"/>
        <w:ind w:hanging="0" w:left="0" w:right="0"/>
        <w:jc w:val="both"/>
      </w:pPr>
      <w:r>
        <w:rPr>
          <w:rFonts w:ascii="Arial" w:cs="Arial" w:hAnsi="Arial"/>
          <w:sz w:val="24"/>
          <w:szCs w:val="24"/>
          <w:shd w:fill="FFFFFF" w:val="clear"/>
        </w:rPr>
        <w:tab/>
        <w:t xml:space="preserve">Es evidente que en el país en la mayoría de las Instituciones públicas del Estado a nivel nacional  se encuentra una gran cantidad de activos fijos con las especificaciones antes señaladas (deterioradas, en estados de corrosión y pérdida total, en obsolescencia y otras no susceptibles de reparación) trayendo como consecuencia la ocupación de espacios físicos y una mala imagen de ambientación en las instituciones y pérdida económica a la nación. A tal efecto estos activos no le reporta ningún valor agregado ni  aprovechamiento inmediato a la administración del estado. </w:t>
      </w:r>
    </w:p>
    <w:p>
      <w:pPr>
        <w:pStyle w:val="style204"/>
        <w:spacing w:line="360" w:lineRule="auto"/>
        <w:ind w:hanging="0" w:left="0" w:right="0"/>
        <w:jc w:val="both"/>
      </w:pPr>
      <w:r>
        <w:rPr>
          <w:rFonts w:ascii="Arial" w:cs="Arial" w:hAnsi="Arial"/>
          <w:sz w:val="24"/>
          <w:szCs w:val="24"/>
          <w:shd w:fill="FFFFFF" w:val="clear"/>
        </w:rPr>
        <w:tab/>
        <w:t xml:space="preserve">Esta situación no es desconocida para los gerentes nacionales, regionales, locales, de la instituciones y para las personas encargada de las Oficinas de Bienes Nacionales de la República Venezuela,  las cuales no han buscado solucionar por ningún medio, la desincorporación de estos bienes en estado de deterioro por estar  apegadas a las normativas jurídicas establecidas de una manera muy rígidas y engorrosas acarreando  trámites burocráticos en donde una de las primera limitantes es el costo tan elevado para realizar el  estudio de avaluó (peritaje del estado físico de los activos)   y la falta de voluntad política de los responsables para dar respuesta inmediata y expedita para resolver tal problemática. </w:t>
      </w:r>
    </w:p>
    <w:p>
      <w:pPr>
        <w:pStyle w:val="style204"/>
        <w:spacing w:line="360" w:lineRule="auto"/>
        <w:ind w:hanging="0" w:left="0" w:right="0"/>
        <w:jc w:val="both"/>
      </w:pPr>
      <w:r>
        <w:rPr>
          <w:rFonts w:ascii="Arial" w:cs="Arial" w:hAnsi="Arial"/>
          <w:sz w:val="24"/>
          <w:szCs w:val="24"/>
          <w:lang w:val="es-VE"/>
        </w:rPr>
        <w:tab/>
        <w:t>A pesar de que en  la administración pública venezolana se ha venido produciendo desde el año 1999, una serie de reformas en el ordenamiento jurídico que rige los aspectos administrativos y financieros del Estado, esta ha obligado a los organismos públicos nacionales y estadales y a sus entes adscritos, a funcionar en un sistema integral e integrado que abarca los aspectos presupuestarios en cuanto a: gastos corrientes, gastos ordinarios y sus costos, en lo económico, lo financiero, lo patrimonial, lo normativo y de gestión.</w:t>
      </w:r>
    </w:p>
    <w:p>
      <w:pPr>
        <w:pStyle w:val="style204"/>
        <w:spacing w:line="360" w:lineRule="auto"/>
        <w:ind w:hanging="0" w:left="0" w:right="0"/>
        <w:jc w:val="both"/>
      </w:pPr>
      <w:r>
        <w:rPr>
          <w:rFonts w:ascii="Arial" w:cs="Arial" w:hAnsi="Arial"/>
          <w:sz w:val="24"/>
          <w:szCs w:val="24"/>
          <w:lang w:val="es-VE"/>
        </w:rPr>
        <w:tab/>
        <w:t>En este sentido, las reformas comienzan con la Constitución de la República Bolivariana de Venezuela de 1999 y las leyes de reciente promulgación, tales como la Ley Orgánica de Administración Financiera del Sector Público (LOAFSP) (2000), la Ley Orgánica de la Administración Pública (LOAP) del (2001), la Ley Orgánica de la Contraloría General de la República y del Sistema Nacional de Control Fiscal (LOCGR) (2001),  la Ley Orgánica de Planificación (LOP) (2001) y Decreto con Rango, Valor y Fuerza de Ley Orgánica de Bienes Públicos (LOBP) Gaceta Oficial N° 39.945 de fecha 15 de junio de 2012,  entre otras.</w:t>
      </w:r>
    </w:p>
    <w:p>
      <w:pPr>
        <w:pStyle w:val="style204"/>
        <w:spacing w:line="360" w:lineRule="auto"/>
        <w:ind w:hanging="0" w:left="0" w:right="0"/>
        <w:jc w:val="both"/>
      </w:pPr>
      <w:r>
        <w:rPr>
          <w:rFonts w:ascii="Arial" w:cs="Arial" w:hAnsi="Arial"/>
          <w:sz w:val="24"/>
          <w:szCs w:val="24"/>
          <w:lang w:val="es-VE"/>
        </w:rPr>
        <w:tab/>
        <w:t>En este orden de ideas, las reformas han tenido como norte la modernización de los organismos públicos en materia de administración, finanzas y control; con el fin de lograr una gestión integral, es decir, obtener los mejores resultados en el desarrollo de su objeto social a través de la utilización óptima de los recursos disponibles, identificando los beneficios de su acción y auto evaluándose permanentemente a los fines de corregir a tiempo, posibles desviaciones, tomar decisiones a favor de los organismos que le generen beneficios y aumenten  sus  ingresos para bienestar de los mismos.</w:t>
      </w:r>
    </w:p>
    <w:p>
      <w:pPr>
        <w:pStyle w:val="style0"/>
        <w:autoSpaceDE w:val="false"/>
        <w:spacing w:after="0" w:before="0" w:line="360" w:lineRule="auto"/>
        <w:jc w:val="both"/>
      </w:pPr>
      <w:r>
        <w:rPr>
          <w:rFonts w:ascii="Arial" w:cs="Arial" w:hAnsi="Arial"/>
          <w:sz w:val="24"/>
          <w:szCs w:val="24"/>
          <w:shd w:fill="FFFFFF" w:val="clear"/>
        </w:rPr>
        <w:tab/>
        <w:t>Es importante resaltar que para obtener  beneficios monetarios a través de la enajenación o ventas de algunos activos fijos perteneciente al Estado   se debe impulsar la flexibilización de las  normas jurídicas - administrativas para este proceso, de ser así esta se convertirá en una solución lógica para cada una de las instituciones del estado que mantenga un stock de materiales inservibles y estos  hayan sufrido desgastes por uso, debido a su participación en las operaciones de la organización, afectando la duración estimada que este pueda tener (vida útil).</w:t>
      </w:r>
    </w:p>
    <w:p>
      <w:pPr>
        <w:pStyle w:val="style0"/>
        <w:autoSpaceDE w:val="false"/>
        <w:spacing w:after="0" w:before="0" w:line="240" w:lineRule="auto"/>
        <w:jc w:val="both"/>
      </w:pPr>
      <w:r>
        <w:rPr>
          <w:rFonts w:ascii="Arial" w:cs="Arial" w:hAnsi="Arial"/>
          <w:sz w:val="24"/>
          <w:szCs w:val="24"/>
          <w:shd w:fill="FFFFFF" w:val="clear"/>
        </w:rPr>
      </w:r>
    </w:p>
    <w:p>
      <w:pPr>
        <w:pStyle w:val="style0"/>
        <w:autoSpaceDE w:val="false"/>
        <w:spacing w:after="0" w:before="0" w:line="360" w:lineRule="auto"/>
        <w:jc w:val="both"/>
      </w:pPr>
      <w:r>
        <w:rPr>
          <w:rFonts w:ascii="Arial" w:cs="Arial" w:hAnsi="Arial"/>
          <w:sz w:val="24"/>
          <w:szCs w:val="24"/>
          <w:shd w:fill="FFFFFF" w:val="clear"/>
        </w:rPr>
        <w:tab/>
        <w:t xml:space="preserve">Lo anteriormente señalado traerá como consecuencia la desincorporación de los bienes bien sea, a través de la venta, la donación o por cualquier otro concepto, viendo la necesidad de retirarlo del proceso operativo  como  también  del  espacio físico que ocupa, para  ser utilizado con otro fin. </w:t>
      </w:r>
    </w:p>
    <w:p>
      <w:pPr>
        <w:pStyle w:val="style0"/>
        <w:autoSpaceDE w:val="false"/>
        <w:spacing w:after="0" w:before="0" w:line="360" w:lineRule="auto"/>
        <w:ind w:firstLine="284" w:left="0" w:right="0"/>
        <w:jc w:val="both"/>
      </w:pPr>
      <w:r>
        <w:rPr>
          <w:rFonts w:ascii="Arial" w:cs="Arial" w:hAnsi="Arial"/>
          <w:sz w:val="24"/>
          <w:szCs w:val="24"/>
          <w:shd w:fill="FFFFFF" w:val="clear"/>
        </w:rPr>
      </w:r>
    </w:p>
    <w:p>
      <w:pPr>
        <w:pStyle w:val="style0"/>
        <w:autoSpaceDE w:val="false"/>
        <w:spacing w:after="0" w:before="0" w:line="360" w:lineRule="auto"/>
        <w:jc w:val="both"/>
      </w:pPr>
      <w:r>
        <w:rPr>
          <w:rFonts w:ascii="Arial" w:cs="Arial" w:hAnsi="Arial"/>
          <w:sz w:val="24"/>
          <w:szCs w:val="24"/>
          <w:shd w:fill="FFFFFF" w:val="clear"/>
        </w:rPr>
        <w:tab/>
        <w:t xml:space="preserve">En torno a esta problemática pueden resultar varias alternativas de solución  en beneficio de la institución donde estén y para la población venezolana, todo  dependiendo de la visión y voluntad de los involucrados en el proceso en resolver y gestionar  la tramitación en cuanto a la desincorporación,  enajenación o permuta  de los  equipos, maquinarias, vehículos y materiales en mal estado difícil de recuperar como  de  funcionar. Es por eso que el Estado impulso el Decreto con Rango   </w:t>
      </w:r>
      <w:r>
        <w:rPr>
          <w:rFonts w:ascii="Arial" w:cs="Arial" w:hAnsi="Arial"/>
          <w:bCs/>
          <w:color w:val="000000"/>
          <w:sz w:val="24"/>
          <w:szCs w:val="24"/>
        </w:rPr>
        <w:t>Ley Orgánica de Bienes (DRVFLOB), según el artículo 1 ésta</w:t>
      </w:r>
      <w:r>
        <w:rPr>
          <w:rFonts w:ascii="Arial" w:cs="Arial" w:hAnsi="Arial"/>
          <w:b/>
          <w:bCs/>
          <w:color w:val="0000FF"/>
          <w:sz w:val="24"/>
          <w:szCs w:val="24"/>
        </w:rPr>
        <w:t xml:space="preserve"> </w:t>
      </w:r>
      <w:r>
        <w:rPr>
          <w:rFonts w:ascii="Arial" w:cs="Arial" w:hAnsi="Arial"/>
          <w:bCs/>
          <w:color w:val="000000"/>
          <w:sz w:val="24"/>
          <w:szCs w:val="24"/>
        </w:rPr>
        <w:t>tiene por objeto  “</w:t>
      </w:r>
      <w:r>
        <w:rPr>
          <w:rFonts w:ascii="Arial" w:cs="Arial" w:hAnsi="Arial"/>
          <w:sz w:val="24"/>
        </w:rPr>
        <w:t>El presente Decreto con Rango, Valor y Fuerza de Ley tiene por objeto establecer las normas que regulan el ámbito, organización, atribuciones y funcionamiento del Sistema de Bienes Públicos, como parte integrante del Sistema de Administración Financiera del Estado”</w:t>
      </w:r>
      <w:r>
        <w:rPr>
          <w:rFonts w:ascii="Arial" w:cs="Arial" w:hAnsi="Arial"/>
          <w:color w:val="000000"/>
          <w:sz w:val="24"/>
          <w:szCs w:val="24"/>
        </w:rPr>
        <w:t>.</w:t>
      </w:r>
    </w:p>
    <w:p>
      <w:pPr>
        <w:pStyle w:val="style205"/>
        <w:spacing w:line="240" w:lineRule="auto"/>
        <w:ind w:hanging="0" w:left="1134" w:right="1134"/>
        <w:jc w:val="both"/>
      </w:pPr>
      <w:r>
        <w:rPr>
          <w:rFonts w:ascii="Arial" w:cs="Arial" w:hAnsi="Arial"/>
          <w:color w:val="000000"/>
          <w:sz w:val="24"/>
          <w:szCs w:val="24"/>
        </w:rPr>
      </w:r>
    </w:p>
    <w:p>
      <w:pPr>
        <w:pStyle w:val="style190"/>
        <w:spacing w:line="360" w:lineRule="auto"/>
        <w:ind w:firstLine="284" w:left="0" w:right="0"/>
        <w:jc w:val="both"/>
      </w:pPr>
      <w:r>
        <w:rPr>
          <w:rFonts w:ascii="Arial" w:cs="Arial" w:hAnsi="Arial"/>
          <w:color w:val="000000"/>
          <w:sz w:val="24"/>
          <w:szCs w:val="24"/>
        </w:rPr>
        <w:t>Mientras que la Ley  en su Artículo 2 establece el ámbito la aplicación:</w:t>
      </w:r>
    </w:p>
    <w:p>
      <w:pPr>
        <w:pStyle w:val="style190"/>
        <w:spacing w:line="240" w:lineRule="auto"/>
        <w:ind w:hanging="0" w:left="1134" w:right="1134"/>
        <w:jc w:val="both"/>
      </w:pPr>
      <w:r>
        <w:rPr>
          <w:rFonts w:ascii="Arial" w:cs="Arial" w:hAnsi="Arial"/>
          <w:sz w:val="24"/>
          <w:szCs w:val="24"/>
        </w:rPr>
        <w:t xml:space="preserve">Las normas contenidas en el presente Decreto con Rango, Valor y Fuerza de Ley, normas reglamentarias y aquellas que emita la Superintendencia de Bienes Públicos, son de estricto cumplimiento por las entidades que conforman el Sistema Nacional de Bienes Públicos, así como para las personas naturales o jurídicas que custodien o ejerzan algún derecho sobre un Bien Público, con las excepciones de Ley, dejando a salvo las competencias y autonomía atribuidas en la materia por la Constitución de la República Bolivariana de Venezuela y las leyes correspondientes. </w:t>
      </w:r>
    </w:p>
    <w:p>
      <w:pPr>
        <w:pStyle w:val="style190"/>
        <w:spacing w:line="240" w:lineRule="auto"/>
        <w:ind w:hanging="0" w:left="1134" w:right="1134"/>
        <w:jc w:val="both"/>
      </w:pPr>
      <w:r>
        <w:rPr>
          <w:rFonts w:ascii="Arial" w:cs="Arial" w:hAnsi="Arial"/>
          <w:sz w:val="24"/>
          <w:szCs w:val="24"/>
        </w:rPr>
        <w:t>Las disposiciones del presente Decreto con Rango, Valor y Fuerza de Ley se aplicarán sin perjuicio de las competencias de control, vigilancia y fiscalización que corresponden a la Contraloría General de La República sobre los bienes de la Nación</w:t>
      </w:r>
      <w:r>
        <w:rPr/>
        <w:t>.</w:t>
      </w:r>
    </w:p>
    <w:p>
      <w:pPr>
        <w:pStyle w:val="style190"/>
        <w:spacing w:line="240" w:lineRule="auto"/>
        <w:ind w:hanging="0" w:left="1134" w:right="1134"/>
        <w:jc w:val="both"/>
      </w:pPr>
      <w:r>
        <w:rPr/>
      </w:r>
    </w:p>
    <w:p>
      <w:pPr>
        <w:pStyle w:val="style190"/>
        <w:spacing w:line="360" w:lineRule="auto"/>
        <w:jc w:val="both"/>
      </w:pPr>
      <w:r>
        <w:rPr>
          <w:rFonts w:ascii="Arial" w:cs="Arial" w:hAnsi="Arial"/>
          <w:sz w:val="24"/>
          <w:szCs w:val="24"/>
        </w:rPr>
        <w:tab/>
        <w:t>De acuerdo a lo que señala el artículo, estas normas son  de estricto acatamiento por las entidades que conforman el Sistema Nacional de Bienes Públicos y todos aquellos que estén involucrados en la custodia de los mismos.</w:t>
      </w:r>
    </w:p>
    <w:p>
      <w:pPr>
        <w:pStyle w:val="style190"/>
        <w:spacing w:line="360" w:lineRule="auto"/>
        <w:jc w:val="both"/>
      </w:pPr>
      <w:r>
        <w:rPr>
          <w:rFonts w:ascii="Arial" w:cs="Arial" w:hAnsi="Arial"/>
          <w:sz w:val="24"/>
          <w:szCs w:val="24"/>
        </w:rPr>
        <w:tab/>
        <w:t>Asimismo el Decreto de Rango, Valor y Fuerza de Ley Orgánica de Bienes Públicos establece en su Titulo II referente al Sistema de Bienes Públicos en su Capítulo I correspondiente al  Régimen Normativo y específicamente el artículo 16 señala los aspectos sobre su  creación:</w:t>
      </w:r>
    </w:p>
    <w:p>
      <w:pPr>
        <w:pStyle w:val="style190"/>
        <w:spacing w:line="240" w:lineRule="auto"/>
        <w:ind w:hanging="0" w:left="1134" w:right="1134"/>
        <w:jc w:val="both"/>
      </w:pPr>
      <w:r>
        <w:rPr>
          <w:rFonts w:ascii="Arial" w:cs="Arial" w:hAnsi="Arial"/>
          <w:sz w:val="24"/>
        </w:rPr>
        <w:t>Se crea el Sistema de Bienes Públicos, integrado por el conjunto de principios, normas, órganos, entes y procesos que permiten regular, de manera integral y coherente, la adquisición, uso, administración, mantenimiento, registro, supervisión y deposición de los Bienes Públicos, dentro del Sector Público definido en el artículo 4 del presente Decreto con Rango, Valor y Fuerza de Ley, en función del cumplimiento de las políticas públicas, y que tiene a la Superintendencia de Bienes Públicos como ente rector, con la estructura organizativa que determine el Reglamento respectivo. Este sistema estará interrelacionado con los demás sistemas de la Administración financiera del Sector Público.</w:t>
      </w:r>
    </w:p>
    <w:p>
      <w:pPr>
        <w:pStyle w:val="style190"/>
        <w:spacing w:line="360" w:lineRule="auto"/>
        <w:jc w:val="both"/>
      </w:pPr>
      <w:r>
        <w:rPr>
          <w:rFonts w:ascii="Arial" w:cs="Arial" w:hAnsi="Arial"/>
          <w:sz w:val="24"/>
        </w:rPr>
        <w:tab/>
        <w:t xml:space="preserve">En este sentido el Sistema de Bienes Públicos es el encargado de  regular todos los procesos concernientes a la  adquisición, mantenimiento,  uso y administración de los bienes de dominio públicos de cada unos de los entes u organismos del Sector Público, ya que  el mismo fue creado con el propósito de garantizar el uso adecuado de los mismos, el cumplimiento de las políticas públicas y así lograr un  servicio eficiente del uso. </w:t>
      </w:r>
    </w:p>
    <w:p>
      <w:pPr>
        <w:pStyle w:val="style190"/>
        <w:spacing w:line="360" w:lineRule="auto"/>
        <w:jc w:val="both"/>
      </w:pPr>
      <w:r>
        <w:rPr>
          <w:rFonts w:ascii="Arial" w:cs="Arial" w:hAnsi="Arial"/>
          <w:sz w:val="24"/>
          <w:szCs w:val="24"/>
        </w:rPr>
        <w:tab/>
        <w:t xml:space="preserve">Para dar cumplimiento a las estrategias legales en cuanto a la Enajenación de Bienes Públicos el Decreto de Rango, Valor y Fuerza de Ley Orgánica de Bienes Públicos en su artículo 28 donde se   </w:t>
      </w:r>
      <w:r>
        <w:rPr>
          <w:rFonts w:ascii="Arial" w:cs="Arial" w:hAnsi="Arial"/>
          <w:color w:val="000000"/>
          <w:sz w:val="24"/>
          <w:szCs w:val="24"/>
        </w:rPr>
        <w:t xml:space="preserve">faculta a una </w:t>
      </w:r>
      <w:r>
        <w:rPr>
          <w:rFonts w:ascii="Arial" w:cs="Arial" w:hAnsi="Arial"/>
          <w:sz w:val="24"/>
          <w:szCs w:val="24"/>
          <w:shd w:fill="FFFFFF" w:val="clear"/>
        </w:rPr>
        <w:t xml:space="preserve"> Comisión en tareas específicas, señalando:</w:t>
      </w:r>
    </w:p>
    <w:p>
      <w:pPr>
        <w:pStyle w:val="style0"/>
        <w:tabs>
          <w:tab w:leader="none" w:pos="2268" w:val="left"/>
          <w:tab w:leader="none" w:pos="8364" w:val="left"/>
        </w:tabs>
        <w:autoSpaceDE w:val="false"/>
        <w:spacing w:after="0" w:before="0" w:line="240" w:lineRule="auto"/>
        <w:ind w:hanging="0" w:left="1134" w:right="1134"/>
        <w:jc w:val="both"/>
      </w:pPr>
      <w:r>
        <w:rPr>
          <w:rFonts w:ascii="Arial" w:cs="Arial" w:hAnsi="Arial"/>
          <w:sz w:val="24"/>
        </w:rPr>
        <w:t>Se crea la Comisión de Enajenación de Bienes Públicos, como órgano de la Superintendencia de Bienes Públicos facultado para autorizar la enajenación de los bienes públicos que sean propiedad, o que se encuentren adscritos a alguno de los órganos o entes que conforman el Poder Público Nacional, en todas sus instancias, la cual estará conformada por el Superintendente o la Superintendente Nacional de Bienes Públicos, quien presidirá la misma, y cuatro (4) miembros principales y sus respectivos suplentes, de libre elección y remoción del Presidente de la República</w:t>
      </w:r>
    </w:p>
    <w:p>
      <w:pPr>
        <w:pStyle w:val="style0"/>
        <w:autoSpaceDE w:val="false"/>
        <w:spacing w:after="0" w:before="0" w:line="360" w:lineRule="auto"/>
        <w:ind w:firstLine="284" w:left="0" w:right="0"/>
        <w:jc w:val="both"/>
      </w:pPr>
      <w:r>
        <w:rPr>
          <w:rFonts w:ascii="Arial" w:cs="Arial" w:hAnsi="Arial"/>
          <w:sz w:val="24"/>
        </w:rPr>
      </w:r>
    </w:p>
    <w:p>
      <w:pPr>
        <w:pStyle w:val="style0"/>
        <w:autoSpaceDE w:val="false"/>
        <w:spacing w:after="0" w:before="0" w:line="360" w:lineRule="auto"/>
        <w:ind w:firstLine="284" w:left="0" w:right="0"/>
        <w:jc w:val="both"/>
      </w:pPr>
      <w:r>
        <w:rPr>
          <w:rFonts w:ascii="Arial" w:cs="Arial" w:hAnsi="Arial"/>
          <w:sz w:val="24"/>
          <w:szCs w:val="24"/>
          <w:shd w:fill="FFFFFF" w:val="clear"/>
        </w:rPr>
        <w:tab/>
      </w:r>
      <w:r>
        <w:rPr>
          <w:rFonts w:ascii="Arial" w:cs="Arial" w:hAnsi="Arial"/>
          <w:color w:val="000000"/>
          <w:sz w:val="24"/>
          <w:szCs w:val="24"/>
          <w:shd w:fill="FFFFFF" w:val="clear"/>
        </w:rPr>
        <w:t xml:space="preserve">Esta comisión </w:t>
      </w:r>
      <w:r>
        <w:rPr>
          <w:rFonts w:ascii="Arial" w:cs="Arial" w:hAnsi="Arial"/>
          <w:color w:val="000000"/>
          <w:sz w:val="24"/>
          <w:szCs w:val="17"/>
        </w:rPr>
        <w:t>sustituye a la Comisión para la Enajenación de Bienes del Sector Público no afectos a la Industrias básicas denominada con la sigla (CENBISP) de la ley anterior, quien eran los facultados de   emanar autorizaciones para la desincorporación de bienes,</w:t>
      </w:r>
      <w:r>
        <w:rPr>
          <w:rFonts w:ascii="Trebuchet MS" w:cs="Trebuchet MS" w:hAnsi="Trebuchet MS"/>
          <w:color w:val="000000"/>
          <w:sz w:val="20"/>
          <w:szCs w:val="17"/>
        </w:rPr>
        <w:t xml:space="preserve"> </w:t>
      </w:r>
      <w:r>
        <w:rPr>
          <w:rFonts w:ascii="Arial" w:cs="Arial" w:hAnsi="Arial"/>
          <w:color w:val="000000"/>
          <w:sz w:val="24"/>
          <w:szCs w:val="24"/>
        </w:rPr>
        <w:t>dejando ahora la autoridad a la nueva Comisión quienes en su función representa a la Superintendencia de Bienes Públicos. Es decir son ellos lo que autorizan todo el proceso para la enajenación de bienes públicos de un ente u</w:t>
      </w:r>
      <w:r>
        <w:rPr>
          <w:rFonts w:ascii="Arial" w:cs="Arial" w:hAnsi="Arial"/>
          <w:sz w:val="24"/>
          <w:szCs w:val="24"/>
        </w:rPr>
        <w:t xml:space="preserve"> organismo  que esté  interesado en la desincorporación de los bienes en fase de obsolescencia y deterioro.</w:t>
      </w:r>
    </w:p>
    <w:p>
      <w:pPr>
        <w:pStyle w:val="style190"/>
        <w:spacing w:after="0" w:before="0" w:line="360" w:lineRule="auto"/>
        <w:ind w:firstLine="357" w:left="0" w:right="0"/>
        <w:jc w:val="both"/>
      </w:pPr>
      <w:r>
        <w:rPr>
          <w:rFonts w:ascii="Arial" w:cs="Arial" w:hAnsi="Arial"/>
          <w:sz w:val="24"/>
          <w:szCs w:val="24"/>
          <w:shd w:fill="FFFFFF" w:val="clear"/>
        </w:rPr>
      </w:r>
    </w:p>
    <w:p>
      <w:pPr>
        <w:pStyle w:val="style204"/>
        <w:spacing w:after="0" w:before="0" w:line="360" w:lineRule="auto"/>
        <w:ind w:hanging="0" w:left="0" w:right="0"/>
        <w:jc w:val="both"/>
      </w:pPr>
      <w:r>
        <w:rPr>
          <w:rFonts w:ascii="Arial" w:cs="Arial" w:hAnsi="Arial"/>
          <w:sz w:val="24"/>
          <w:szCs w:val="24"/>
          <w:shd w:fill="FFFFFF" w:val="clear"/>
        </w:rPr>
        <w:tab/>
        <w:t xml:space="preserve">A un cuando existe esta Ley que faculta a una Comisión para realizar el proceso sin mucho inconveniente aun existen organizaciones del Estado que poseen bienes deteriorados y en obsolescencia que no le producen ningún beneficio, ni al ambiente y menos a la comunidad que hace vida en ellas,  pero estos  hacen caso omiso a lo contemplado en la  Ley. </w:t>
      </w:r>
    </w:p>
    <w:p>
      <w:pPr>
        <w:pStyle w:val="style204"/>
        <w:spacing w:after="0" w:before="0" w:line="360" w:lineRule="auto"/>
        <w:ind w:firstLine="357" w:left="0" w:right="0"/>
        <w:jc w:val="both"/>
      </w:pPr>
      <w:r>
        <w:rPr>
          <w:rFonts w:ascii="Arial" w:cs="Arial" w:hAnsi="Arial"/>
          <w:sz w:val="24"/>
          <w:szCs w:val="24"/>
          <w:shd w:fill="FFFFFF" w:val="clear"/>
        </w:rPr>
      </w:r>
    </w:p>
    <w:p>
      <w:pPr>
        <w:pStyle w:val="style204"/>
        <w:spacing w:line="360" w:lineRule="auto"/>
        <w:jc w:val="both"/>
      </w:pPr>
      <w:r>
        <w:rPr>
          <w:rFonts w:ascii="Arial" w:cs="Arial" w:hAnsi="Arial"/>
          <w:sz w:val="24"/>
          <w:szCs w:val="24"/>
          <w:shd w:fill="FFFFFF" w:val="clear"/>
        </w:rPr>
        <w:tab/>
        <w:t xml:space="preserve">De esta problemática no se escapa el </w:t>
      </w:r>
      <w:r>
        <w:rPr>
          <w:rFonts w:ascii="Arial" w:cs="Arial" w:hAnsi="Arial"/>
          <w:sz w:val="24"/>
          <w:szCs w:val="24"/>
          <w:lang w:val="es-VE"/>
        </w:rPr>
        <w:t>Instituto Universitario de Tecnología de Estado Yaracuy(IUTY), institución dentro del ámbito público nacional,  ente  centralizado adscrito a</w:t>
      </w:r>
      <w:r>
        <w:rPr>
          <w:rFonts w:ascii="Arial" w:cs="Arial" w:hAnsi="Arial"/>
          <w:sz w:val="24"/>
          <w:szCs w:val="24"/>
        </w:rPr>
        <w:t xml:space="preserve">l Ministerio del Poder Popular  para la Educación Universitaria (MPPEU),  vinculado a los objetivos y de las políticas  de integralidad e integración  de </w:t>
      </w:r>
      <w:r>
        <w:rPr>
          <w:rFonts w:ascii="Arial" w:cs="Arial" w:hAnsi="Arial"/>
          <w:bCs/>
          <w:sz w:val="24"/>
          <w:szCs w:val="24"/>
        </w:rPr>
        <w:t>los presupuestos económicos – financieros</w:t>
      </w:r>
      <w:r>
        <w:rPr>
          <w:rFonts w:ascii="Arial" w:cs="Arial" w:hAnsi="Arial"/>
          <w:sz w:val="24"/>
          <w:szCs w:val="24"/>
        </w:rPr>
        <w:t xml:space="preserve"> normativos y de gestión que ha querido implementar el Gobierno Nacional, a través de todas las transformaciones hechas a las leyes y normas con el propósito  que cada uno de los organismos se apegue a las mismas y la hagan cumplir sin ninguna desviación. </w:t>
      </w:r>
    </w:p>
    <w:p>
      <w:pPr>
        <w:pStyle w:val="style204"/>
        <w:spacing w:line="360" w:lineRule="auto"/>
        <w:jc w:val="both"/>
      </w:pPr>
      <w:r>
        <w:rPr>
          <w:rFonts w:ascii="Arial" w:cs="Arial" w:hAnsi="Arial"/>
          <w:color w:val="000000"/>
          <w:sz w:val="24"/>
          <w:szCs w:val="24"/>
        </w:rPr>
        <w:tab/>
        <w:t xml:space="preserve">El IUTY no ha escapado de esta problemática,  al respecto en entrevista realizada a Verastegui (2013)  Jefe de Bienes Nacionales del IUTY  expresa  que en años anteriores la institución ha realizado una serie de trámites a través de la oficina de Bienes Nacionales, a objeto de gestionar  el proceso correspondiente a la enajenación o permuta de sus bienes en estado de obsolescencia y deterioro, esfuerzo que no ha logrado su propósito, quizás por la falta de voluntad de la Oficina Nacional de Bienes del Ministerio del Poder Popular para la  Educación Superior (MPPES) en dar respuesta oportuna al proceso.  </w:t>
      </w:r>
    </w:p>
    <w:p>
      <w:pPr>
        <w:pStyle w:val="style204"/>
        <w:spacing w:line="360" w:lineRule="auto"/>
        <w:jc w:val="both"/>
      </w:pPr>
      <w:r>
        <w:rPr>
          <w:rFonts w:ascii="Arial" w:cs="Arial" w:hAnsi="Arial"/>
          <w:sz w:val="24"/>
          <w:szCs w:val="24"/>
        </w:rPr>
        <w:tab/>
        <w:t xml:space="preserve">El proceso sobre la enajenación de bienes nacionales en estado de obsolescencia o deterioro del  IUTY se realiza porque en varios espacios y </w:t>
      </w:r>
      <w:r>
        <w:rPr>
          <w:rFonts w:ascii="Arial" w:cs="Arial" w:hAnsi="Arial"/>
          <w:sz w:val="24"/>
          <w:szCs w:val="24"/>
          <w:lang w:val="es-VE"/>
        </w:rPr>
        <w:t xml:space="preserve"> estacionamientos se encuentran acumulados bienes de dominio público perteneciente a la institución con un grado de corrosión,  obsolescencia e inservibles que data de muchos años; estos bienes se encuentran deteriorados sin dar ninguna utilidad a la colectividad que hace vida en ella; dándole mal aspecto a los espacios físicos.</w:t>
      </w:r>
    </w:p>
    <w:p>
      <w:pPr>
        <w:pStyle w:val="style204"/>
        <w:spacing w:line="360" w:lineRule="auto"/>
        <w:jc w:val="both"/>
      </w:pPr>
      <w:r>
        <w:rPr>
          <w:rFonts w:ascii="Arial" w:cs="Arial" w:hAnsi="Arial"/>
          <w:sz w:val="24"/>
          <w:szCs w:val="24"/>
          <w:lang w:val="es-VE"/>
        </w:rPr>
        <w:tab/>
        <w:t xml:space="preserve">De lograrse la enajenación de los bienes en cuestión también podrán  sanearse los Estados Financieros de la Institución con información actualizada de sus Bienes Nacionales y  no abultada  con bienes que ya no están en funcionamiento por su deterioro o bienes que no existen por pérdidas o extracción.  Además de realizar la enajenación o permuta con otra empresa del </w:t>
      </w:r>
      <w:r>
        <w:rPr>
          <w:rFonts w:ascii="Arial" w:cs="Arial" w:hAnsi="Arial"/>
          <w:color w:val="000000"/>
          <w:sz w:val="24"/>
          <w:szCs w:val="24"/>
          <w:lang w:val="es-VE"/>
        </w:rPr>
        <w:t xml:space="preserve">Estado (SIDOR) </w:t>
      </w:r>
      <w:r>
        <w:rPr>
          <w:rFonts w:ascii="Arial" w:cs="Arial" w:hAnsi="Arial"/>
          <w:sz w:val="24"/>
          <w:szCs w:val="24"/>
          <w:lang w:val="es-VE"/>
        </w:rPr>
        <w:t xml:space="preserve">esta transacción originaría otros ingresos a la Institución ya sea en dinero o por otros bienes. </w:t>
      </w:r>
    </w:p>
    <w:p>
      <w:pPr>
        <w:pStyle w:val="style204"/>
        <w:spacing w:line="360" w:lineRule="auto"/>
        <w:jc w:val="both"/>
      </w:pPr>
      <w:r>
        <w:rPr>
          <w:rFonts w:ascii="Arial" w:cs="Arial" w:hAnsi="Arial"/>
          <w:sz w:val="24"/>
          <w:szCs w:val="24"/>
          <w:lang w:val="es-VE"/>
        </w:rPr>
        <w:tab/>
        <w:t xml:space="preserve">Por lo antes expuesto y en la búsqueda de una solución expedita se hace necesaria la propuesta de elaborar las Estrategias Financieras – Operacionales </w:t>
      </w:r>
      <w:r>
        <w:rPr>
          <w:rFonts w:ascii="Arial" w:cs="Arial" w:hAnsi="Arial"/>
          <w:sz w:val="24"/>
          <w:szCs w:val="24"/>
        </w:rPr>
        <w:t xml:space="preserve">para la Reutilización de los Bienes Nacionales del Instituto Universitario de Tecnología de Yaracuy como Insumo para la Producción Automotriz y la Construcción Civil en Venezuela. </w:t>
      </w:r>
      <w:r>
        <w:rPr>
          <w:rFonts w:ascii="Arial" w:cs="Arial" w:hAnsi="Arial"/>
          <w:sz w:val="24"/>
          <w:szCs w:val="24"/>
          <w:lang w:val="es-VE"/>
        </w:rPr>
        <w:t>Estos bienes nacionales pueden ser reciclados, especialmente e</w:t>
      </w:r>
      <w:r>
        <w:rPr>
          <w:rFonts w:ascii="Arial" w:cs="Arial" w:hAnsi="Arial"/>
          <w:color w:val="000000"/>
          <w:sz w:val="24"/>
          <w:szCs w:val="24"/>
          <w:lang w:eastAsia="es-ES"/>
        </w:rPr>
        <w:t>l hierro, ya que el mismo tiene unas propiedades que permiten reutilizarlo sin perder su calidad, también contribuye al cuidado del medio ambiente, ya que al reutilizar los materiales se evita aumentar la cantidad de objetos almacenados y la basura reduciendo la utilización de recursos naturales y ahorrando la energía que se emplearía en llevar a cabo todo este proceso. Además permite l</w:t>
      </w:r>
      <w:r>
        <w:rPr>
          <w:rFonts w:ascii="Arial" w:cs="Arial" w:hAnsi="Arial"/>
          <w:iCs/>
          <w:color w:val="000000"/>
          <w:sz w:val="24"/>
          <w:szCs w:val="24"/>
        </w:rPr>
        <w:t>a reducción de importes asociados a la producción de nuevos bienes, ya que en muchas ocasiones utilizar material que ha sido reciclado conlleva un coste menor que al usar elementos vírgenes.</w:t>
      </w:r>
    </w:p>
    <w:p>
      <w:pPr>
        <w:pStyle w:val="style204"/>
        <w:spacing w:line="360" w:lineRule="auto"/>
        <w:jc w:val="both"/>
      </w:pPr>
      <w:r>
        <w:rPr>
          <w:rFonts w:ascii="Arial" w:cs="Arial" w:hAnsi="Arial"/>
          <w:iCs/>
          <w:color w:val="000000"/>
          <w:sz w:val="24"/>
          <w:szCs w:val="24"/>
        </w:rPr>
        <w:tab/>
        <w:t>Finalmente,</w:t>
      </w:r>
      <w:r>
        <w:rPr>
          <w:rFonts w:ascii="Arial" w:cs="Arial" w:hAnsi="Arial"/>
          <w:sz w:val="24"/>
          <w:szCs w:val="24"/>
          <w:lang w:val="es-VE"/>
        </w:rPr>
        <w:t xml:space="preserve"> estaría enmarcado en una revisión de todos los niveles especialmente en los procesos administrativos y financieros,  para garantizar otros recursos económicos  a través de enajenación,  permuta o donación de acuerdo a la LOBP. En relación a la problemática planteada es necesario  formular las siguientes interrogantes:</w:t>
      </w:r>
    </w:p>
    <w:p>
      <w:pPr>
        <w:pStyle w:val="style190"/>
        <w:spacing w:line="360" w:lineRule="auto"/>
        <w:jc w:val="both"/>
      </w:pPr>
      <w:r>
        <w:rPr>
          <w:rFonts w:ascii="Arial" w:cs="Arial" w:hAnsi="Arial"/>
          <w:sz w:val="24"/>
          <w:szCs w:val="24"/>
          <w:lang w:val="es-VE"/>
        </w:rPr>
        <w:t xml:space="preserve">¿Cuál es la situación actual de los </w:t>
      </w:r>
      <w:r>
        <w:rPr>
          <w:rFonts w:ascii="Arial" w:cs="Arial" w:hAnsi="Arial"/>
          <w:color w:val="000000"/>
          <w:sz w:val="24"/>
          <w:szCs w:val="24"/>
          <w:lang w:val="es-VE"/>
        </w:rPr>
        <w:t>bienes nacionales</w:t>
      </w:r>
      <w:r>
        <w:rPr>
          <w:rFonts w:ascii="Arial" w:cs="Arial" w:hAnsi="Arial"/>
          <w:sz w:val="24"/>
          <w:szCs w:val="24"/>
          <w:lang w:val="es-VE"/>
        </w:rPr>
        <w:t xml:space="preserve"> del Instituto Universitario de Tecnología de Estado  Yaracuy? </w:t>
      </w:r>
    </w:p>
    <w:p>
      <w:pPr>
        <w:pStyle w:val="style190"/>
        <w:spacing w:line="360" w:lineRule="auto"/>
        <w:jc w:val="both"/>
      </w:pPr>
      <w:r>
        <w:rPr>
          <w:rFonts w:ascii="Arial" w:cs="Arial" w:hAnsi="Arial"/>
          <w:sz w:val="24"/>
          <w:szCs w:val="24"/>
          <w:lang w:val="es-VE"/>
        </w:rPr>
        <w:t xml:space="preserve">¿Cuál   es el volumen  de los </w:t>
      </w:r>
      <w:r>
        <w:rPr>
          <w:rFonts w:ascii="Arial" w:cs="Arial" w:hAnsi="Arial"/>
          <w:color w:val="000000"/>
          <w:sz w:val="24"/>
          <w:szCs w:val="24"/>
          <w:lang w:val="es-VE"/>
        </w:rPr>
        <w:t>bienes nacionales</w:t>
      </w:r>
      <w:r>
        <w:rPr>
          <w:rFonts w:ascii="Arial" w:cs="Arial" w:hAnsi="Arial"/>
          <w:sz w:val="24"/>
          <w:szCs w:val="24"/>
          <w:lang w:val="es-VE"/>
        </w:rPr>
        <w:t xml:space="preserve"> obsoletos, corrosión y en deterioro   del Instituto Universitario de Tecnología de Estado  Yaracuy?</w:t>
      </w:r>
    </w:p>
    <w:p>
      <w:pPr>
        <w:pStyle w:val="style190"/>
        <w:spacing w:line="360" w:lineRule="auto"/>
        <w:jc w:val="both"/>
      </w:pPr>
      <w:r>
        <w:rPr>
          <w:rFonts w:ascii="Arial" w:cs="Arial" w:hAnsi="Arial"/>
          <w:sz w:val="24"/>
          <w:szCs w:val="24"/>
          <w:lang w:val="es-VE"/>
        </w:rPr>
        <w:t xml:space="preserve">¿Cuáles son los procedimientos a seguir  en la enajenación, permuta o donación de los bienes nacionales obsoletos y en deterioro del Instituto Universitario de Tecnología de Estado Yaracuy? </w:t>
      </w:r>
    </w:p>
    <w:p>
      <w:pPr>
        <w:pStyle w:val="style190"/>
        <w:spacing w:line="360" w:lineRule="auto"/>
        <w:jc w:val="both"/>
      </w:pPr>
      <w:r>
        <w:rPr>
          <w:rFonts w:ascii="Arial" w:cs="Arial" w:hAnsi="Arial"/>
          <w:sz w:val="24"/>
          <w:szCs w:val="24"/>
          <w:lang w:val="es-VE"/>
        </w:rPr>
        <w:t xml:space="preserve">¿Sera  posible ofrecer una solución factible a la problemática planteada, a través de estrategias funcionales - operacionales  para la gestión de la desincorporación de los </w:t>
      </w:r>
      <w:r>
        <w:rPr>
          <w:rFonts w:ascii="Arial" w:cs="Arial" w:hAnsi="Arial"/>
          <w:color w:val="000000"/>
          <w:sz w:val="24"/>
          <w:szCs w:val="24"/>
          <w:lang w:val="es-VE"/>
        </w:rPr>
        <w:t xml:space="preserve">bienes nacionales en estado de </w:t>
      </w:r>
      <w:r>
        <w:rPr>
          <w:rFonts w:ascii="Arial" w:cs="Arial" w:hAnsi="Arial"/>
          <w:sz w:val="24"/>
          <w:szCs w:val="24"/>
          <w:lang w:val="es-VE"/>
        </w:rPr>
        <w:t>corrosión, obsoletos y en deterioro   del Instituto Universitario de Tecnología de Estado  Yaracuy?</w:t>
      </w:r>
    </w:p>
    <w:p>
      <w:pPr>
        <w:pStyle w:val="style190"/>
        <w:spacing w:line="240" w:lineRule="auto"/>
        <w:jc w:val="both"/>
      </w:pPr>
      <w:r>
        <w:rPr>
          <w:rFonts w:ascii="Arial" w:cs="Arial" w:hAnsi="Arial"/>
          <w:b/>
          <w:sz w:val="24"/>
          <w:szCs w:val="24"/>
          <w:lang w:val="es-VE"/>
        </w:rPr>
      </w:r>
    </w:p>
    <w:p>
      <w:pPr>
        <w:pStyle w:val="style190"/>
        <w:spacing w:line="240" w:lineRule="auto"/>
        <w:jc w:val="both"/>
      </w:pPr>
      <w:r>
        <w:rPr>
          <w:rFonts w:ascii="Arial" w:cs="Arial" w:hAnsi="Arial"/>
          <w:b/>
          <w:sz w:val="24"/>
          <w:szCs w:val="24"/>
          <w:lang w:val="es-VE"/>
        </w:rPr>
        <w:t>Objetivo General:</w:t>
      </w:r>
    </w:p>
    <w:p>
      <w:pPr>
        <w:pStyle w:val="style190"/>
        <w:spacing w:line="240" w:lineRule="auto"/>
        <w:jc w:val="both"/>
      </w:pPr>
      <w:r>
        <w:rPr>
          <w:rFonts w:ascii="Arial" w:cs="Arial" w:hAnsi="Arial"/>
          <w:b/>
          <w:sz w:val="24"/>
          <w:szCs w:val="24"/>
          <w:lang w:val="es-VE"/>
        </w:rPr>
      </w:r>
    </w:p>
    <w:p>
      <w:pPr>
        <w:pStyle w:val="style199"/>
        <w:numPr>
          <w:ilvl w:val="0"/>
          <w:numId w:val="46"/>
        </w:numPr>
        <w:spacing w:line="360" w:lineRule="auto"/>
        <w:jc w:val="both"/>
      </w:pPr>
      <w:r>
        <w:rPr>
          <w:rFonts w:ascii="Arial" w:cs="Arial" w:hAnsi="Arial"/>
          <w:color w:val="000000"/>
          <w:sz w:val="24"/>
          <w:szCs w:val="24"/>
          <w:lang w:val="es-VE"/>
        </w:rPr>
        <w:t xml:space="preserve">Formular las estrategias financiera – operacionales  </w:t>
      </w:r>
      <w:r>
        <w:rPr>
          <w:rFonts w:ascii="Arial" w:cs="Arial" w:hAnsi="Arial"/>
          <w:bCs/>
          <w:color w:val="000000"/>
          <w:sz w:val="24"/>
          <w:szCs w:val="24"/>
        </w:rPr>
        <w:t>para la reutilización</w:t>
      </w:r>
      <w:r>
        <w:rPr>
          <w:rFonts w:ascii="Arial" w:cs="Arial" w:hAnsi="Arial"/>
          <w:color w:val="000000"/>
          <w:sz w:val="24"/>
          <w:szCs w:val="24"/>
        </w:rPr>
        <w:t xml:space="preserve"> de Bienes Nacionales del Instituto Universitario de Tecnología de Yaracuy como Insumo para la Producción Automotriz y la Construcción Civil en Venezuela.</w:t>
      </w:r>
    </w:p>
    <w:p>
      <w:pPr>
        <w:pStyle w:val="style199"/>
        <w:spacing w:line="360" w:lineRule="auto"/>
        <w:ind w:hanging="0" w:left="360" w:right="0"/>
        <w:jc w:val="both"/>
      </w:pPr>
      <w:r>
        <w:rPr>
          <w:rFonts w:ascii="Arial" w:cs="Arial" w:hAnsi="Arial"/>
          <w:color w:val="000000"/>
          <w:sz w:val="24"/>
          <w:szCs w:val="24"/>
        </w:rPr>
      </w:r>
    </w:p>
    <w:p>
      <w:pPr>
        <w:pStyle w:val="style190"/>
        <w:spacing w:line="360" w:lineRule="auto"/>
        <w:jc w:val="both"/>
      </w:pPr>
      <w:r>
        <w:rPr>
          <w:rFonts w:ascii="Arial" w:cs="Arial" w:hAnsi="Arial"/>
          <w:b/>
          <w:color w:val="000000"/>
          <w:sz w:val="24"/>
          <w:szCs w:val="24"/>
        </w:rPr>
        <w:t>Objetivos Específicos:</w:t>
      </w:r>
      <w:r>
        <w:rPr>
          <w:rFonts w:ascii="Arial" w:cs="Arial" w:hAnsi="Arial"/>
          <w:b/>
          <w:bCs/>
          <w:color w:val="000000"/>
          <w:sz w:val="24"/>
          <w:szCs w:val="24"/>
        </w:rPr>
        <w:t xml:space="preserve"> </w:t>
      </w:r>
    </w:p>
    <w:p>
      <w:pPr>
        <w:pStyle w:val="style190"/>
        <w:spacing w:line="360" w:lineRule="auto"/>
        <w:jc w:val="both"/>
      </w:pPr>
      <w:r>
        <w:rPr>
          <w:rFonts w:ascii="Arial" w:cs="Arial" w:hAnsi="Arial"/>
          <w:b/>
          <w:color w:val="000000"/>
          <w:sz w:val="24"/>
          <w:szCs w:val="24"/>
        </w:rPr>
      </w:r>
    </w:p>
    <w:p>
      <w:pPr>
        <w:pStyle w:val="style199"/>
        <w:numPr>
          <w:ilvl w:val="0"/>
          <w:numId w:val="46"/>
        </w:numPr>
        <w:autoSpaceDE w:val="false"/>
        <w:spacing w:after="0" w:before="0" w:line="360" w:lineRule="auto"/>
        <w:jc w:val="both"/>
      </w:pPr>
      <w:r>
        <w:rPr>
          <w:rFonts w:ascii="Arial" w:cs="Arial" w:hAnsi="Arial"/>
          <w:color w:val="000000"/>
          <w:sz w:val="24"/>
          <w:szCs w:val="24"/>
          <w:lang w:val="es-VE"/>
        </w:rPr>
        <w:t xml:space="preserve">Diagnosticar el estado actual de los bienes de dominio público </w:t>
      </w:r>
      <w:r>
        <w:rPr>
          <w:rFonts w:ascii="Arial" w:cs="Arial" w:hAnsi="Arial"/>
          <w:bCs/>
          <w:color w:val="000000"/>
          <w:sz w:val="24"/>
          <w:szCs w:val="24"/>
        </w:rPr>
        <w:t xml:space="preserve">en Etapa   Deterioro, </w:t>
      </w:r>
      <w:r>
        <w:rPr>
          <w:rFonts w:ascii="Arial" w:cs="Arial" w:hAnsi="Arial"/>
          <w:color w:val="000000"/>
          <w:sz w:val="24"/>
          <w:szCs w:val="24"/>
        </w:rPr>
        <w:t xml:space="preserve">Obsolescencia y  Corrosión </w:t>
      </w:r>
      <w:r>
        <w:rPr>
          <w:rFonts w:ascii="Arial" w:cs="Arial" w:hAnsi="Arial"/>
          <w:bCs/>
          <w:color w:val="000000"/>
          <w:sz w:val="24"/>
          <w:szCs w:val="24"/>
        </w:rPr>
        <w:t>del Instituto Universitario de Tecnología del Estado  Yaracuy.</w:t>
      </w:r>
    </w:p>
    <w:p>
      <w:pPr>
        <w:pStyle w:val="style199"/>
        <w:numPr>
          <w:ilvl w:val="0"/>
          <w:numId w:val="46"/>
        </w:numPr>
        <w:autoSpaceDE w:val="false"/>
        <w:spacing w:after="0" w:before="0" w:line="360" w:lineRule="auto"/>
        <w:jc w:val="both"/>
      </w:pPr>
      <w:r>
        <w:rPr>
          <w:rFonts w:ascii="Arial" w:cs="Arial" w:hAnsi="Arial"/>
          <w:color w:val="000000"/>
          <w:sz w:val="24"/>
          <w:szCs w:val="24"/>
          <w:lang w:val="es-VE"/>
        </w:rPr>
        <w:t xml:space="preserve">Identificar  los bienes nacionales </w:t>
      </w:r>
      <w:r>
        <w:rPr>
          <w:rFonts w:ascii="Arial" w:cs="Arial" w:hAnsi="Arial"/>
          <w:bCs/>
          <w:color w:val="000000"/>
          <w:sz w:val="24"/>
          <w:szCs w:val="24"/>
        </w:rPr>
        <w:t xml:space="preserve">en Etapa de Deterioro, </w:t>
      </w:r>
      <w:r>
        <w:rPr>
          <w:rFonts w:ascii="Arial" w:cs="Arial" w:hAnsi="Arial"/>
          <w:color w:val="000000"/>
          <w:sz w:val="24"/>
          <w:szCs w:val="24"/>
        </w:rPr>
        <w:t xml:space="preserve">Obsolescencia y  Corrosión </w:t>
      </w:r>
      <w:r>
        <w:rPr>
          <w:rFonts w:ascii="Arial" w:cs="Arial" w:hAnsi="Arial"/>
          <w:bCs/>
          <w:color w:val="000000"/>
          <w:sz w:val="24"/>
          <w:szCs w:val="24"/>
        </w:rPr>
        <w:t>del Instituto Universitario de Tecnología del Estado  Yaracuy.</w:t>
      </w:r>
    </w:p>
    <w:p>
      <w:pPr>
        <w:pStyle w:val="style199"/>
        <w:numPr>
          <w:ilvl w:val="0"/>
          <w:numId w:val="46"/>
        </w:numPr>
        <w:autoSpaceDE w:val="false"/>
        <w:spacing w:after="0" w:before="0" w:line="360" w:lineRule="auto"/>
        <w:jc w:val="both"/>
      </w:pPr>
      <w:r>
        <w:rPr>
          <w:rFonts w:ascii="Arial" w:cs="Arial" w:hAnsi="Arial"/>
          <w:bCs/>
          <w:color w:val="000000"/>
          <w:sz w:val="24"/>
          <w:szCs w:val="24"/>
        </w:rPr>
        <w:t xml:space="preserve">Describir los procedimientos para la desincorporación de los </w:t>
      </w:r>
      <w:r>
        <w:rPr>
          <w:rFonts w:ascii="Arial" w:cs="Arial" w:hAnsi="Arial"/>
          <w:color w:val="000000"/>
          <w:sz w:val="24"/>
          <w:szCs w:val="24"/>
          <w:lang w:val="es-VE"/>
        </w:rPr>
        <w:t>los bienes nacionales</w:t>
      </w:r>
      <w:r>
        <w:rPr>
          <w:rFonts w:ascii="Arial" w:cs="Arial" w:hAnsi="Arial"/>
          <w:bCs/>
          <w:color w:val="000000"/>
          <w:sz w:val="24"/>
          <w:szCs w:val="24"/>
        </w:rPr>
        <w:t xml:space="preserve"> en Etapa de Deterioro, </w:t>
      </w:r>
      <w:r>
        <w:rPr>
          <w:rFonts w:ascii="Arial" w:cs="Arial" w:hAnsi="Arial"/>
          <w:color w:val="000000"/>
          <w:sz w:val="24"/>
          <w:szCs w:val="24"/>
        </w:rPr>
        <w:t xml:space="preserve">Obsolescencia y  Corrosión </w:t>
      </w:r>
      <w:r>
        <w:rPr>
          <w:rFonts w:ascii="Arial" w:cs="Arial" w:hAnsi="Arial"/>
          <w:bCs/>
          <w:color w:val="000000"/>
          <w:sz w:val="24"/>
          <w:szCs w:val="24"/>
        </w:rPr>
        <w:t>del Instituto Universitario de Tecnología de Estado Yaracuy a través de la enajenación, permuta o donación.</w:t>
      </w:r>
    </w:p>
    <w:p>
      <w:pPr>
        <w:pStyle w:val="style199"/>
        <w:numPr>
          <w:ilvl w:val="0"/>
          <w:numId w:val="46"/>
        </w:numPr>
        <w:autoSpaceDE w:val="false"/>
        <w:spacing w:after="0" w:before="0" w:line="360" w:lineRule="auto"/>
        <w:jc w:val="both"/>
      </w:pPr>
      <w:r>
        <w:rPr>
          <w:rFonts w:ascii="Arial" w:cs="Arial" w:hAnsi="Arial"/>
          <w:color w:val="000000"/>
          <w:sz w:val="24"/>
          <w:szCs w:val="24"/>
          <w:lang w:val="es-VE"/>
        </w:rPr>
        <w:t>Elaborar las estrategias financieras – operacionales  para la gestión de la desincorporación de los bienes nacionales en estado de corrosión, obsoletos y en deterioro   del Instituto Universitario de Tecnología de Estado  Yaracuy</w:t>
      </w:r>
    </w:p>
    <w:p>
      <w:pPr>
        <w:pStyle w:val="style199"/>
        <w:pageBreakBefore/>
        <w:autoSpaceDE w:val="false"/>
        <w:spacing w:after="0" w:before="0" w:line="360" w:lineRule="auto"/>
        <w:ind w:hanging="0" w:left="0" w:right="0"/>
        <w:jc w:val="both"/>
      </w:pPr>
      <w:r>
        <w:rPr>
          <w:rFonts w:ascii="Arial" w:cs="Arial" w:hAnsi="Arial"/>
          <w:b/>
          <w:sz w:val="24"/>
          <w:szCs w:val="24"/>
          <w:lang w:val="es-VE"/>
        </w:rPr>
        <w:t>Justificación de la Investigación</w:t>
      </w:r>
    </w:p>
    <w:p>
      <w:pPr>
        <w:pStyle w:val="style190"/>
        <w:spacing w:line="360" w:lineRule="auto"/>
        <w:jc w:val="both"/>
      </w:pPr>
      <w:r>
        <w:rPr>
          <w:rFonts w:ascii="Arial" w:cs="Arial" w:hAnsi="Arial"/>
          <w:b/>
          <w:bCs/>
          <w:sz w:val="24"/>
          <w:szCs w:val="24"/>
          <w:lang w:val="es-VE"/>
        </w:rPr>
        <w:tab/>
      </w:r>
    </w:p>
    <w:p>
      <w:pPr>
        <w:pStyle w:val="style190"/>
        <w:spacing w:line="360" w:lineRule="auto"/>
        <w:ind w:firstLine="360" w:left="0" w:right="0"/>
        <w:jc w:val="both"/>
      </w:pPr>
      <w:r>
        <w:rPr>
          <w:rFonts w:ascii="Arial" w:cs="Arial" w:hAnsi="Arial"/>
          <w:sz w:val="24"/>
          <w:szCs w:val="24"/>
          <w:lang w:val="es-VE"/>
        </w:rPr>
        <w:tab/>
        <w:t xml:space="preserve">Las finanzas son consideradas como el segmento fundamental de la economía mundial ya que permiten determinar cómo las empresas obtienen los recursos económicos y como los emplean, también permite visualizar las oportunidades para incrementar su rentabilidad mediante la expansión de la productividad y la disminución de los costos, así como, evaluar los riesgos en los que se pueden ver inmersos y de los cuales todas organizaciones u empresas debe buscar información y protegerse. </w:t>
      </w:r>
    </w:p>
    <w:p>
      <w:pPr>
        <w:pStyle w:val="style190"/>
        <w:spacing w:line="360" w:lineRule="auto"/>
        <w:ind w:firstLine="360" w:left="0" w:right="0"/>
        <w:jc w:val="both"/>
      </w:pPr>
      <w:r>
        <w:rPr>
          <w:rFonts w:ascii="Arial" w:cs="Arial" w:hAnsi="Arial"/>
          <w:sz w:val="24"/>
          <w:szCs w:val="24"/>
          <w:lang w:val="es-VE"/>
        </w:rPr>
      </w:r>
    </w:p>
    <w:p>
      <w:pPr>
        <w:pStyle w:val="style204"/>
        <w:spacing w:line="360" w:lineRule="auto"/>
        <w:ind w:hanging="0" w:left="0" w:right="0"/>
        <w:jc w:val="both"/>
      </w:pPr>
      <w:r>
        <w:rPr>
          <w:rFonts w:ascii="Arial" w:cs="Arial" w:hAnsi="Arial"/>
          <w:sz w:val="24"/>
          <w:szCs w:val="24"/>
          <w:lang w:val="es-VE"/>
        </w:rPr>
        <w:tab/>
        <w:t>Entre los principales riesgos que puede afrontar una empresa u organización son las fluctuaciones por el tipo de cambio ya que estos obedecen a muchos factores diversos, casi siempre son impredecibles, convirtiéndose en un factor especulador lo cual afecta enormemente a las actividades comerciales que llevan a cabo. Otro riesgo importante que puede afectar las empresas es el factor político ya que no existe una ley que ampare a las empresas con respecto a este, ya sea,  por los cambios y estrategias que implemente el gobierno en cuanto a la políticas fiscales, expropiaciones y otro tipo de  obstáculos burocráticos.</w:t>
      </w:r>
    </w:p>
    <w:p>
      <w:pPr>
        <w:pStyle w:val="style204"/>
        <w:spacing w:line="360" w:lineRule="auto"/>
        <w:ind w:hanging="0" w:left="0" w:right="0"/>
        <w:jc w:val="both"/>
      </w:pPr>
      <w:r>
        <w:rPr>
          <w:rFonts w:ascii="Arial" w:cs="Arial" w:hAnsi="Arial"/>
          <w:sz w:val="24"/>
          <w:szCs w:val="24"/>
          <w:lang w:val="es-VE"/>
        </w:rPr>
        <w:tab/>
        <w:t>En Venezuela  a pesar de la crisis económica que ha venido soportando desde la  década  de los 80 con los serios desequilibrios estructurales tales como el déficit fiscal, el déficit en la cuentas corrientes externas, un elevado nivel de desempleo, elevado índices de inflación y de actos de corrupción; a partir del 2004  Venezuela ha experimentado un crecimiento bastante rápido después de haber tocado fondo de recesión a finales del año 2002 y primer trimestre del año 2003, su recuperación trajo bienestar a la nación con la bonanza petrolera por el alto precio del petróleo, sin embargo, la dependencia económica del petróleo para el país no es conveniente por ser el principal  ingresos, y este debe ser distribuido a todos los organismos publico del estado para cubrir el gasto.</w:t>
      </w:r>
    </w:p>
    <w:p>
      <w:pPr>
        <w:pStyle w:val="style204"/>
        <w:spacing w:line="360" w:lineRule="auto"/>
        <w:ind w:hanging="0" w:left="0" w:right="0"/>
        <w:jc w:val="both"/>
      </w:pPr>
      <w:r>
        <w:rPr>
          <w:rFonts w:ascii="Arial" w:cs="Arial" w:hAnsi="Arial"/>
          <w:sz w:val="24"/>
          <w:szCs w:val="24"/>
          <w:lang w:val="es-VE"/>
        </w:rPr>
        <w:tab/>
        <w:t>En este orden de ideas y  para que el Estado Venezolano cumpla con sus funciones de educación, salud, vivienda, justicia, entre otras, se observa que este gasto se ha ido incrementando aceleradamente durante cada año con los programas sociales que el Estado ha implementado en beneficio de la población excluida y desposeída carentes de recursos económicos; ante este reto propuesto del Gobierno Nacional en satisfacer a la población, el mismo se ve en la obligación de invertir  en una serie de propiedades, plantas y equipos</w:t>
      </w:r>
      <w:r>
        <w:rPr>
          <w:rFonts w:ascii="Arial" w:cs="Arial" w:hAnsi="Arial"/>
          <w:color w:val="FF0000"/>
          <w:sz w:val="24"/>
          <w:szCs w:val="24"/>
          <w:lang w:val="es-VE"/>
        </w:rPr>
        <w:t>,</w:t>
      </w:r>
      <w:r>
        <w:rPr>
          <w:rFonts w:ascii="Arial" w:cs="Arial" w:hAnsi="Arial"/>
          <w:sz w:val="24"/>
          <w:szCs w:val="24"/>
          <w:lang w:val="es-VE"/>
        </w:rPr>
        <w:t xml:space="preserve"> tangibles (adquisición de maquinarias y equipos) e intangibles para dar respuestas a los programas sociales, sin embargo, esto no significa que tales funciones hayan sido cumplidas a cabalidad o  se hayan cubierto, por lo menos, satisfactoriamente muchas de las necesidades de la población.</w:t>
      </w:r>
    </w:p>
    <w:p>
      <w:pPr>
        <w:pStyle w:val="style204"/>
        <w:spacing w:line="360" w:lineRule="auto"/>
        <w:ind w:hanging="0" w:left="0" w:right="0"/>
        <w:jc w:val="both"/>
      </w:pPr>
      <w:r>
        <w:rPr>
          <w:rFonts w:ascii="Arial" w:cs="Arial" w:hAnsi="Arial"/>
          <w:sz w:val="24"/>
          <w:szCs w:val="24"/>
          <w:lang w:val="es-VE"/>
        </w:rPr>
        <w:tab/>
        <w:t>De esta forma el estado, debe incrementar las asignaciones presupuestarias  en cuanto a los  recursos económicos para dar respuesta en  calidad de atención a los usuarios y consumidores de los productos y servicios, tanto en el ámbito interno como externo de la organización, tiempo de respuesta, efectos e impactos sociales causados a la comunidad que se pretende atender.</w:t>
      </w:r>
    </w:p>
    <w:p>
      <w:pPr>
        <w:pStyle w:val="style0"/>
        <w:autoSpaceDE w:val="false"/>
        <w:spacing w:after="0" w:before="0" w:line="360" w:lineRule="auto"/>
        <w:jc w:val="both"/>
      </w:pPr>
      <w:r>
        <w:rPr>
          <w:rFonts w:ascii="Arial" w:cs="Arial" w:hAnsi="Arial"/>
          <w:sz w:val="24"/>
          <w:szCs w:val="24"/>
          <w:lang w:val="es-VE"/>
        </w:rPr>
        <w:tab/>
        <w:t xml:space="preserve">Para ello, el Estado tiene que diseñar estrategias funcionales que le ayuden a incrementar y fortalecer las finanzas e ingresos para poder cubrir todas las necesidades de los organismos del sector público y así estos puedan alcanzar los objetivos y metas propuestas. Existen instituciones en nuestro país que pueden impulsar la autogestión, entre ellas, las Universidades, Colegios e Institutos Universitarios que cuentan con el personal calificado y con las herramientas necesarias para diseñar un plan de autogestión que le permita generar sus propios ingresos y así apoyar parte de los gastos generado a la Nación.  </w:t>
      </w:r>
    </w:p>
    <w:p>
      <w:pPr>
        <w:pStyle w:val="style0"/>
        <w:autoSpaceDE w:val="false"/>
        <w:spacing w:after="0" w:before="0" w:line="360" w:lineRule="auto"/>
        <w:jc w:val="both"/>
      </w:pPr>
      <w:r>
        <w:rPr>
          <w:rFonts w:ascii="Arial" w:cs="Arial" w:hAnsi="Arial"/>
          <w:sz w:val="24"/>
          <w:szCs w:val="24"/>
          <w:lang w:val="es-VE"/>
        </w:rPr>
      </w:r>
    </w:p>
    <w:p>
      <w:pPr>
        <w:pStyle w:val="style0"/>
        <w:autoSpaceDE w:val="false"/>
        <w:spacing w:after="0" w:before="0" w:line="360" w:lineRule="auto"/>
        <w:jc w:val="both"/>
      </w:pPr>
      <w:r>
        <w:rPr>
          <w:rFonts w:ascii="Arial" w:cs="Arial" w:eastAsia="Arial" w:hAnsi="Arial"/>
          <w:sz w:val="24"/>
          <w:szCs w:val="24"/>
          <w:lang w:val="es-VE"/>
        </w:rPr>
        <w:t xml:space="preserve"> </w:t>
      </w:r>
      <w:r>
        <w:rPr>
          <w:rFonts w:ascii="Arial" w:cs="Arial" w:hAnsi="Arial"/>
          <w:sz w:val="24"/>
          <w:szCs w:val="24"/>
          <w:lang w:val="es-VE"/>
        </w:rPr>
        <w:tab/>
        <w:t>Por lo antes expuesto, y en la búsqueda de  soluciones se plantea el siguiente  estudio como alternativa  de gestión</w:t>
      </w:r>
      <w:r>
        <w:rPr>
          <w:rFonts w:ascii="Arial" w:cs="Arial" w:hAnsi="Arial"/>
          <w:b/>
          <w:color w:val="000000"/>
          <w:sz w:val="24"/>
          <w:szCs w:val="24"/>
          <w:lang w:val="es-VE"/>
        </w:rPr>
        <w:t xml:space="preserve">:   </w:t>
      </w:r>
      <w:r>
        <w:rPr>
          <w:rFonts w:ascii="Arial" w:cs="Arial" w:hAnsi="Arial"/>
          <w:color w:val="000000"/>
          <w:sz w:val="24"/>
          <w:szCs w:val="24"/>
        </w:rPr>
        <w:t>Formular  las  Estrategias Financieras - Operacionales para la Reutilización de Bienes Nacionales del Instituto Universitario de Tecnología de Yaracuy como Insumo para la Producción Automotriz y la Construcción Civil En Venezuela</w:t>
      </w:r>
      <w:r>
        <w:rPr>
          <w:rFonts w:ascii="Arial" w:cs="Arial" w:hAnsi="Arial"/>
          <w:b/>
          <w:color w:val="000000"/>
          <w:sz w:val="24"/>
          <w:szCs w:val="24"/>
        </w:rPr>
        <w:t>,</w:t>
      </w:r>
      <w:r>
        <w:rPr>
          <w:rFonts w:ascii="Arial" w:cs="Arial" w:hAnsi="Arial"/>
          <w:b/>
          <w:color w:val="FF0000"/>
          <w:sz w:val="24"/>
          <w:szCs w:val="24"/>
        </w:rPr>
        <w:t xml:space="preserve"> </w:t>
      </w:r>
      <w:r>
        <w:rPr>
          <w:rFonts w:ascii="Arial" w:cs="Arial" w:hAnsi="Arial"/>
          <w:sz w:val="24"/>
          <w:szCs w:val="24"/>
          <w:lang w:val="es-VE"/>
        </w:rPr>
        <w:t xml:space="preserve">destinado a los programas sociales </w:t>
      </w:r>
      <w:r>
        <w:rPr>
          <w:rFonts w:ascii="Arial" w:cs="Arial" w:hAnsi="Arial"/>
          <w:color w:val="000000"/>
          <w:sz w:val="24"/>
          <w:szCs w:val="24"/>
          <w:lang w:val="es-VE"/>
        </w:rPr>
        <w:t>impulsados</w:t>
      </w:r>
      <w:r>
        <w:rPr>
          <w:rFonts w:ascii="Arial" w:cs="Arial" w:hAnsi="Arial"/>
          <w:color w:val="00B050"/>
          <w:sz w:val="24"/>
          <w:szCs w:val="24"/>
          <w:lang w:val="es-VE"/>
        </w:rPr>
        <w:t xml:space="preserve"> </w:t>
      </w:r>
      <w:r>
        <w:rPr>
          <w:rFonts w:ascii="Arial" w:cs="Arial" w:hAnsi="Arial"/>
          <w:sz w:val="24"/>
          <w:szCs w:val="24"/>
          <w:lang w:val="es-VE"/>
        </w:rPr>
        <w:t xml:space="preserve">por el Gobierno Nacional para dar respuesta al déficit en la materia prima para la transformación, </w:t>
      </w:r>
      <w:r>
        <w:rPr>
          <w:rFonts w:ascii="Arial" w:cs="Arial" w:hAnsi="Arial"/>
          <w:sz w:val="24"/>
          <w:szCs w:val="24"/>
          <w:lang w:eastAsia="es-VE" w:val="es-VE"/>
        </w:rPr>
        <w:t xml:space="preserve">en atención a las políticas del Estado orientadas a satisfacer la demanda habitacional y de ensamblaje de vehículos que existe en el país. </w:t>
      </w:r>
    </w:p>
    <w:p>
      <w:pPr>
        <w:pStyle w:val="style0"/>
        <w:autoSpaceDE w:val="false"/>
        <w:spacing w:after="0" w:before="0" w:line="360" w:lineRule="auto"/>
        <w:jc w:val="both"/>
      </w:pPr>
      <w:r>
        <w:rPr>
          <w:rFonts w:ascii="Arial" w:cs="Arial" w:eastAsia="Arial" w:hAnsi="Arial"/>
          <w:sz w:val="24"/>
          <w:szCs w:val="24"/>
          <w:lang w:val="es-VE"/>
        </w:rPr>
        <w:t xml:space="preserve"> </w:t>
      </w:r>
    </w:p>
    <w:p>
      <w:pPr>
        <w:pStyle w:val="style190"/>
        <w:spacing w:line="360" w:lineRule="auto"/>
        <w:jc w:val="both"/>
      </w:pPr>
      <w:r>
        <w:rPr>
          <w:rFonts w:ascii="Arial" w:cs="Arial" w:hAnsi="Arial"/>
          <w:sz w:val="24"/>
          <w:szCs w:val="24"/>
          <w:lang w:val="es-VE"/>
        </w:rPr>
        <w:tab/>
        <w:t xml:space="preserve">Esta propuesta  busca eliminar los trámites burocráticos, ampliar los espacios físicos y embellecer el ambiente en las instituciones públicas que están siendo ocupados por materiales inservibles y de difícil recuperación; aparte generando valor agregado al Estado Venezolano en la reducción de gastos en la inversión de la materia prima.  </w:t>
      </w:r>
    </w:p>
    <w:p>
      <w:pPr>
        <w:pStyle w:val="style190"/>
        <w:spacing w:line="240" w:lineRule="auto"/>
        <w:ind w:firstLine="284" w:left="0" w:right="0"/>
        <w:jc w:val="both"/>
      </w:pPr>
      <w:r>
        <w:rPr>
          <w:rFonts w:ascii="Arial" w:cs="Arial" w:hAnsi="Arial"/>
          <w:sz w:val="24"/>
          <w:szCs w:val="24"/>
          <w:lang w:val="es-VE"/>
        </w:rPr>
      </w:r>
    </w:p>
    <w:p>
      <w:pPr>
        <w:pStyle w:val="style190"/>
        <w:spacing w:line="360" w:lineRule="auto"/>
        <w:jc w:val="both"/>
      </w:pPr>
      <w:r>
        <w:rPr>
          <w:rFonts w:ascii="Arial" w:cs="Arial" w:hAnsi="Arial"/>
          <w:sz w:val="24"/>
          <w:szCs w:val="24"/>
          <w:lang w:val="es-VE"/>
        </w:rPr>
        <w:tab/>
        <w:t xml:space="preserve">Esto, a su vez, permitirá la toma de decisiones oportunas, atacando directamente las causas de posibles desviaciones presentadas a través del plan de correctivos que se deberá formular, para dar repuesta de manera inmediata a cada una las solicitudes hechas por cada ente del Estado en cuanto a la desincorporación, enajenación, permuta o donación de los bienes de dominio público de acuerdo a la LOBP especialmente en el Instituto Universitario de Tecnología de Estado Yaracuy (IUTY). </w:t>
      </w:r>
    </w:p>
    <w:p>
      <w:pPr>
        <w:pStyle w:val="style190"/>
        <w:spacing w:line="240" w:lineRule="auto"/>
        <w:ind w:firstLine="357" w:left="0" w:right="0"/>
        <w:jc w:val="both"/>
      </w:pPr>
      <w:r>
        <w:rPr>
          <w:rFonts w:ascii="Arial" w:cs="Arial" w:hAnsi="Arial"/>
          <w:sz w:val="24"/>
          <w:szCs w:val="24"/>
          <w:lang w:val="es-VE"/>
        </w:rPr>
      </w:r>
    </w:p>
    <w:p>
      <w:pPr>
        <w:pStyle w:val="style190"/>
        <w:spacing w:line="360" w:lineRule="auto"/>
        <w:jc w:val="both"/>
      </w:pPr>
      <w:r>
        <w:rPr>
          <w:rFonts w:ascii="Arial" w:cs="Arial" w:hAnsi="Arial"/>
          <w:sz w:val="24"/>
          <w:szCs w:val="24"/>
        </w:rPr>
        <w:tab/>
        <w:t>El resultado de la investigación proporcionará un impacto positivo en la Administración Pública e instituciones del Estado  en consecuencia en la sociedad  como orientación en la aplicación de métodos y estrategias en cuanto al proceso de convenio: de Enajenación, permuta, donación y  desincorporación de los bienes nacionales en estado de corrosión, obsoletos y en deterioro con otra empresa del Estado.</w:t>
      </w:r>
    </w:p>
    <w:p>
      <w:pPr>
        <w:pStyle w:val="style190"/>
        <w:spacing w:line="240" w:lineRule="auto"/>
        <w:ind w:firstLine="357" w:left="0" w:right="0"/>
        <w:jc w:val="both"/>
      </w:pPr>
      <w:r>
        <w:rPr>
          <w:rFonts w:ascii="Arial" w:cs="Arial" w:hAnsi="Arial"/>
          <w:sz w:val="24"/>
          <w:szCs w:val="24"/>
        </w:rPr>
      </w:r>
    </w:p>
    <w:p>
      <w:pPr>
        <w:pStyle w:val="style190"/>
        <w:spacing w:line="360" w:lineRule="auto"/>
        <w:jc w:val="both"/>
      </w:pPr>
      <w:r>
        <w:rPr>
          <w:rFonts w:ascii="Arial" w:cs="Arial" w:hAnsi="Arial"/>
          <w:sz w:val="24"/>
          <w:szCs w:val="24"/>
        </w:rPr>
        <w:tab/>
        <w:t xml:space="preserve">De igual forma  esta investigación ayudara al IUTY cumplir con la preservación del ambiente y garantizar  el cumplimiento del V objetivo del Plan de la Patria 2014 – 2019, dirigido a </w:t>
      </w:r>
      <w:r>
        <w:rPr>
          <w:rFonts w:ascii="Arial" w:cs="Arial" w:hAnsi="Arial"/>
          <w:sz w:val="24"/>
        </w:rPr>
        <w:t>Preservar la Vida en el Planeta y Salvar a la especie humana,</w:t>
      </w:r>
      <w:r>
        <w:rPr>
          <w:sz w:val="24"/>
        </w:rPr>
        <w:t xml:space="preserve"> y</w:t>
      </w:r>
      <w:r>
        <w:rPr>
          <w:rFonts w:ascii="Arial" w:cs="Arial" w:hAnsi="Arial"/>
          <w:sz w:val="24"/>
          <w:szCs w:val="24"/>
        </w:rPr>
        <w:t>a que se hace necesario construir un modelo económico productivo ecosocialista, basado en una relación armónica entre el hombre y la naturaleza, que garantice el uso y aprovechamiento racional y óptimo de los recursos naturales, respetando los procesos y ciclos de la naturaleza para</w:t>
      </w:r>
      <w:r>
        <w:rPr>
          <w:rFonts w:ascii="Arial" w:cs="Arial" w:hAnsi="Arial"/>
          <w:sz w:val="24"/>
        </w:rPr>
        <w:t xml:space="preserve"> elevar la calidad de vida de la población</w:t>
      </w:r>
      <w:r>
        <w:rPr>
          <w:rFonts w:ascii="Arial" w:cs="Arial" w:hAnsi="Arial"/>
          <w:sz w:val="24"/>
          <w:szCs w:val="24"/>
        </w:rPr>
        <w:t xml:space="preserve">. </w:t>
      </w:r>
    </w:p>
    <w:p>
      <w:pPr>
        <w:pStyle w:val="style190"/>
        <w:spacing w:line="360" w:lineRule="auto"/>
        <w:ind w:firstLine="360" w:left="0" w:right="0"/>
        <w:jc w:val="both"/>
      </w:pPr>
      <w:r>
        <w:rPr>
          <w:rFonts w:ascii="Arial" w:cs="Arial" w:hAnsi="Arial"/>
          <w:color w:val="000000"/>
          <w:sz w:val="24"/>
        </w:rPr>
      </w:r>
    </w:p>
    <w:p>
      <w:pPr>
        <w:pStyle w:val="style190"/>
        <w:spacing w:line="360" w:lineRule="auto"/>
        <w:jc w:val="both"/>
      </w:pPr>
      <w:r>
        <w:rPr>
          <w:rFonts w:ascii="Arial" w:cs="Arial" w:hAnsi="Arial"/>
          <w:color w:val="000000"/>
          <w:sz w:val="24"/>
        </w:rPr>
        <w:tab/>
        <w:t xml:space="preserve">De tal manera que con el </w:t>
      </w:r>
      <w:r>
        <w:rPr>
          <w:rFonts w:ascii="Arial" w:cs="Arial" w:hAnsi="Arial"/>
          <w:sz w:val="24"/>
        </w:rPr>
        <w:t xml:space="preserve">desarrollo </w:t>
      </w:r>
      <w:r>
        <w:rPr>
          <w:rFonts w:ascii="Arial" w:cs="Arial" w:hAnsi="Arial"/>
          <w:color w:val="000000"/>
          <w:sz w:val="24"/>
        </w:rPr>
        <w:t xml:space="preserve"> de esta investigación, se busca obtener recursos económicos y que estos sean aportados en el desarrollo de las actividades académicas así como en el proceso productivo de la Institución.</w:t>
      </w:r>
    </w:p>
    <w:p>
      <w:pPr>
        <w:pStyle w:val="style190"/>
        <w:spacing w:line="360" w:lineRule="auto"/>
        <w:ind w:firstLine="360" w:left="0" w:right="0"/>
        <w:jc w:val="both"/>
      </w:pPr>
      <w:r>
        <w:rPr>
          <w:rFonts w:ascii="Arial" w:cs="Arial" w:hAnsi="Arial"/>
          <w:color w:val="000000"/>
          <w:sz w:val="24"/>
        </w:rPr>
      </w:r>
    </w:p>
    <w:p>
      <w:pPr>
        <w:pStyle w:val="style190"/>
        <w:spacing w:line="360" w:lineRule="auto"/>
        <w:jc w:val="both"/>
      </w:pPr>
      <w:r>
        <w:rPr>
          <w:rFonts w:ascii="Arial" w:cs="Arial" w:hAnsi="Arial"/>
          <w:color w:val="000000"/>
          <w:sz w:val="24"/>
        </w:rPr>
        <w:tab/>
        <w:t>También traerá un aporte en lo financiero</w:t>
      </w:r>
      <w:r>
        <w:rPr>
          <w:rFonts w:ascii="Arial" w:cs="Arial" w:hAnsi="Arial"/>
          <w:sz w:val="24"/>
        </w:rPr>
        <w:t xml:space="preserve"> porque ayudara a sincerar la información financiera (Estados Financieros) hacer las posibles  correcciones  y actualizaciones para que la  información contable sea fiable, objetiva y transparente a su vez  refleje la situación real de los bienes de IUTY.</w:t>
      </w:r>
    </w:p>
    <w:p>
      <w:pPr>
        <w:pStyle w:val="style190"/>
        <w:spacing w:line="240" w:lineRule="auto"/>
        <w:ind w:firstLine="357" w:left="0" w:right="0"/>
        <w:jc w:val="both"/>
      </w:pPr>
      <w:r>
        <w:rPr>
          <w:rFonts w:ascii="Arial" w:cs="Arial" w:hAnsi="Arial"/>
          <w:sz w:val="24"/>
          <w:szCs w:val="24"/>
        </w:rPr>
      </w:r>
    </w:p>
    <w:p>
      <w:pPr>
        <w:pStyle w:val="style190"/>
        <w:spacing w:line="360" w:lineRule="auto"/>
        <w:jc w:val="both"/>
      </w:pPr>
      <w:r>
        <w:rPr>
          <w:rFonts w:ascii="Arial" w:cs="Arial" w:hAnsi="Arial"/>
          <w:sz w:val="24"/>
          <w:szCs w:val="24"/>
        </w:rPr>
        <w:tab/>
        <w:t xml:space="preserve">Asimismo, esta investigación también brindara un aporte en la línea de investigación Gestión Financiera y Sistema Empresarial Venezolano, en cuanto a la formulación de  estrategias financieras – operacionales  para la enajenación, permuta o donación de los bienes de dominio público; este originara y reforzara los recursos financieros de las instituciones u organismos públicos especialmente al Instituto Universitario de Tecnología de Yaracuy el cual podrán ser reinvertido en otros bienes de igual características pero nuevos.   </w:t>
      </w:r>
    </w:p>
    <w:p>
      <w:pPr>
        <w:pStyle w:val="style0"/>
        <w:autoSpaceDE w:val="false"/>
        <w:spacing w:after="0" w:before="0" w:line="360" w:lineRule="auto"/>
        <w:jc w:val="both"/>
      </w:pPr>
      <w:r>
        <w:rPr>
          <w:rFonts w:ascii="Arial" w:cs="Arial" w:hAnsi="Arial"/>
          <w:sz w:val="24"/>
          <w:szCs w:val="24"/>
          <w:lang w:val="es-VE"/>
        </w:rPr>
      </w:r>
    </w:p>
    <w:p>
      <w:pPr>
        <w:pStyle w:val="style190"/>
        <w:spacing w:line="360" w:lineRule="auto"/>
        <w:jc w:val="both"/>
      </w:pPr>
      <w:r>
        <w:rPr>
          <w:rFonts w:ascii="Arial" w:cs="Arial" w:hAnsi="Arial"/>
          <w:sz w:val="24"/>
          <w:szCs w:val="24"/>
          <w:lang w:val="es-VE"/>
        </w:rPr>
        <w:tab/>
        <w:t xml:space="preserve">Finalmente, el estudio a realizar tendrá como beneficios para la Universidad de Carabobo, desde el punto de vista metodológico, concretarse en una guía para futuras investigaciones, siendo igualmente de orientación en la aplicación de métodos y estrategias en la gestión financiera y en particular en el proceso de Enajenación, permuta, donación y  desincorporación de los bienes nacionales en estado de corrosión, </w:t>
      </w:r>
      <w:r>
        <w:rPr>
          <w:rFonts w:ascii="Arial" w:cs="Arial" w:hAnsi="Arial"/>
          <w:color w:val="000000"/>
          <w:sz w:val="24"/>
          <w:szCs w:val="24"/>
          <w:lang w:val="es-VE"/>
        </w:rPr>
        <w:t>obsolescencia</w:t>
      </w:r>
      <w:r>
        <w:rPr>
          <w:rFonts w:ascii="Arial" w:cs="Arial" w:hAnsi="Arial"/>
          <w:sz w:val="24"/>
          <w:szCs w:val="24"/>
          <w:lang w:val="es-VE"/>
        </w:rPr>
        <w:t xml:space="preserve"> y en deterioro.</w:t>
      </w:r>
    </w:p>
    <w:p>
      <w:pPr>
        <w:pStyle w:val="style190"/>
        <w:spacing w:line="360" w:lineRule="auto"/>
        <w:ind w:firstLine="360" w:left="0" w:right="0"/>
        <w:jc w:val="both"/>
      </w:pPr>
      <w:r>
        <w:rPr>
          <w:rFonts w:ascii="Arial" w:cs="Arial" w:hAnsi="Arial"/>
          <w:sz w:val="24"/>
          <w:szCs w:val="24"/>
        </w:rPr>
      </w:r>
    </w:p>
    <w:p>
      <w:pPr>
        <w:pStyle w:val="style190"/>
        <w:spacing w:line="360" w:lineRule="auto"/>
        <w:jc w:val="both"/>
      </w:pPr>
      <w:r>
        <w:rPr>
          <w:rFonts w:ascii="Arial" w:cs="Arial" w:hAnsi="Arial"/>
          <w:sz w:val="24"/>
          <w:szCs w:val="24"/>
        </w:rPr>
        <w:tab/>
        <w:t xml:space="preserve">Hay que resaltar que todas las instituciones públicas tienen bienes nacionales y por consiguiente, las estrategias presentadas en este trabajo pueden ser aplicables a cualquier institución con características similares. El plan debe incluir varios sub proyectos, esto indica la formulación, evaluación, programación y control de cada uno de ellos, </w:t>
      </w:r>
      <w:r>
        <w:rPr>
          <w:rFonts w:ascii="Arial" w:cs="Arial" w:hAnsi="Arial"/>
          <w:color w:val="000000"/>
          <w:sz w:val="24"/>
          <w:szCs w:val="24"/>
        </w:rPr>
        <w:t>lo cual permitirá el fortalecer y   consolidar el patrimonio de las instituciones y organismos del estado venezolano.</w:t>
      </w:r>
    </w:p>
    <w:p>
      <w:pPr>
        <w:pStyle w:val="style0"/>
        <w:pageBreakBefore/>
        <w:spacing w:after="0" w:before="0" w:line="240" w:lineRule="auto"/>
      </w:pPr>
      <w:r>
        <w:rPr>
          <w:rFonts w:ascii="Arial" w:cs="Arial" w:eastAsia="Times New Roman" w:hAnsi="Arial"/>
          <w:b/>
          <w:bCs/>
          <w:sz w:val="24"/>
          <w:szCs w:val="24"/>
          <w:lang w:eastAsia="es-VE" w:val="es-VE"/>
        </w:rPr>
      </w:r>
    </w:p>
    <w:p>
      <w:pPr>
        <w:pStyle w:val="style197"/>
        <w:spacing w:after="0" w:before="0"/>
        <w:jc w:val="center"/>
      </w:pPr>
      <w:r>
        <w:rPr>
          <w:rFonts w:ascii="Arial" w:cs="Arial" w:hAnsi="Arial"/>
          <w:b/>
          <w:bCs/>
        </w:rPr>
        <w:t>CAPITULO II</w:t>
      </w:r>
    </w:p>
    <w:p>
      <w:pPr>
        <w:pStyle w:val="style197"/>
        <w:spacing w:after="0" w:before="0" w:line="360" w:lineRule="auto"/>
        <w:jc w:val="center"/>
      </w:pPr>
      <w:r>
        <w:rPr>
          <w:rFonts w:ascii="Arial" w:cs="Arial" w:hAnsi="Arial"/>
          <w:b/>
          <w:bCs/>
        </w:rPr>
      </w:r>
    </w:p>
    <w:p>
      <w:pPr>
        <w:pStyle w:val="style197"/>
        <w:spacing w:after="0" w:before="0" w:line="360" w:lineRule="auto"/>
        <w:jc w:val="center"/>
      </w:pPr>
      <w:r>
        <w:rPr>
          <w:rFonts w:ascii="Arial" w:cs="Arial" w:hAnsi="Arial"/>
          <w:b/>
          <w:bCs/>
        </w:rPr>
        <w:t>MARCO TEÓRICO</w:t>
      </w:r>
    </w:p>
    <w:p>
      <w:pPr>
        <w:pStyle w:val="style197"/>
        <w:spacing w:after="0" w:before="0" w:line="360" w:lineRule="auto"/>
        <w:jc w:val="center"/>
      </w:pPr>
      <w:r>
        <w:rPr>
          <w:rFonts w:ascii="Arial" w:cs="Arial" w:hAnsi="Arial"/>
          <w:b/>
          <w:bCs/>
        </w:rPr>
      </w:r>
    </w:p>
    <w:p>
      <w:pPr>
        <w:pStyle w:val="style197"/>
        <w:spacing w:after="0" w:before="0" w:line="360" w:lineRule="auto"/>
        <w:jc w:val="center"/>
      </w:pPr>
      <w:r>
        <w:rPr>
          <w:rFonts w:ascii="Arial" w:cs="Arial" w:hAnsi="Arial"/>
          <w:b/>
          <w:bCs/>
        </w:rPr>
      </w:r>
    </w:p>
    <w:p>
      <w:pPr>
        <w:pStyle w:val="style197"/>
        <w:spacing w:after="0" w:before="0" w:line="360" w:lineRule="auto"/>
        <w:jc w:val="both"/>
      </w:pPr>
      <w:r>
        <w:rPr>
          <w:rFonts w:ascii="Arial" w:cs="Arial" w:hAnsi="Arial"/>
        </w:rPr>
        <w:tab/>
        <w:t>Cuando se inicia una indagación  a través de un proceso de investigación se debe incluir una etapa que se relacione con la definición de un marco teórico referencial o conceptual donde se fundamente dicha investigación. Al  respecto, Sabino (2000:59), indica que el marco teórico  “tiene precisamente este propósito: dar a la investigación un sistema coordinado y coherente de conceptos y proposiciones que permitan abordar el problema”.</w:t>
      </w:r>
    </w:p>
    <w:p>
      <w:pPr>
        <w:pStyle w:val="style197"/>
        <w:spacing w:after="0" w:before="0" w:line="360" w:lineRule="auto"/>
        <w:jc w:val="both"/>
      </w:pPr>
      <w:r>
        <w:rPr>
          <w:rFonts w:ascii="Arial" w:cs="Arial" w:hAnsi="Arial"/>
          <w:b/>
          <w:bCs/>
        </w:rPr>
      </w:r>
    </w:p>
    <w:p>
      <w:pPr>
        <w:pStyle w:val="style197"/>
        <w:spacing w:after="0" w:before="0" w:line="360" w:lineRule="auto"/>
        <w:jc w:val="both"/>
      </w:pPr>
      <w:r>
        <w:rPr>
          <w:rFonts w:ascii="Arial" w:cs="Arial" w:hAnsi="Arial"/>
          <w:b/>
          <w:bCs/>
        </w:rPr>
        <w:tab/>
      </w:r>
      <w:r>
        <w:rPr>
          <w:rFonts w:ascii="Arial" w:cs="Arial" w:hAnsi="Arial"/>
          <w:bCs/>
        </w:rPr>
        <w:t>Por lo antes expuesto</w:t>
      </w:r>
      <w:r>
        <w:rPr>
          <w:rFonts w:ascii="Arial" w:cs="Arial" w:hAnsi="Arial"/>
          <w:b/>
          <w:bCs/>
        </w:rPr>
        <w:t xml:space="preserve"> e</w:t>
      </w:r>
      <w:r>
        <w:rPr>
          <w:rFonts w:ascii="Arial" w:cs="Arial" w:hAnsi="Arial"/>
          <w:bCs/>
        </w:rPr>
        <w:t xml:space="preserve">n este capítulo se exponen los antecedentes, las bases teóricas y las bases legales como soporte técnico al proceso de la investigación, así como  el análisis y visión de los diferentes aspectos temáticos que envuelve el proyecto. Igualmente se desarrollaran las  definiciones de algunos términos relacionados con el tema de la investigación  que orientaran  la compresión del mismo </w:t>
      </w:r>
    </w:p>
    <w:p>
      <w:pPr>
        <w:pStyle w:val="style197"/>
        <w:spacing w:after="0" w:before="0" w:line="360" w:lineRule="auto"/>
      </w:pPr>
      <w:r>
        <w:rPr>
          <w:rFonts w:ascii="Arial" w:cs="Arial" w:hAnsi="Arial"/>
          <w:b/>
        </w:rPr>
      </w:r>
    </w:p>
    <w:p>
      <w:pPr>
        <w:pStyle w:val="style197"/>
        <w:spacing w:after="0" w:before="0" w:line="360" w:lineRule="auto"/>
      </w:pPr>
      <w:r>
        <w:rPr>
          <w:rFonts w:ascii="Arial" w:cs="Arial" w:hAnsi="Arial"/>
          <w:b/>
        </w:rPr>
      </w:r>
    </w:p>
    <w:p>
      <w:pPr>
        <w:pStyle w:val="style197"/>
        <w:spacing w:after="0" w:before="0" w:line="360" w:lineRule="auto"/>
      </w:pPr>
      <w:r>
        <w:rPr>
          <w:rFonts w:ascii="Arial" w:cs="Arial" w:hAnsi="Arial"/>
          <w:b/>
        </w:rPr>
        <w:t>Antecedentes de la Investigación</w:t>
      </w:r>
    </w:p>
    <w:p>
      <w:pPr>
        <w:pStyle w:val="style197"/>
        <w:spacing w:after="0" w:before="0" w:line="360" w:lineRule="auto"/>
        <w:jc w:val="both"/>
      </w:pPr>
      <w:r>
        <w:rPr>
          <w:rFonts w:ascii="Arial" w:cs="Arial" w:hAnsi="Arial"/>
          <w:b/>
        </w:rPr>
      </w:r>
    </w:p>
    <w:p>
      <w:pPr>
        <w:pStyle w:val="style197"/>
        <w:spacing w:after="0" w:before="0" w:line="360" w:lineRule="auto"/>
        <w:ind w:firstLine="737" w:left="0" w:right="0"/>
        <w:jc w:val="both"/>
        <w:textAlignment w:val="top"/>
      </w:pPr>
      <w:r>
        <w:rPr>
          <w:rFonts w:ascii="Arial" w:cs="Arial" w:hAnsi="Arial"/>
          <w:bCs/>
          <w:color w:val="000000"/>
        </w:rPr>
        <w:t xml:space="preserve">En la actualidad existen diversas   estratégicos para </w:t>
      </w:r>
      <w:r>
        <w:rPr>
          <w:rFonts w:ascii="Arial" w:cs="Arial" w:hAnsi="Arial"/>
          <w:color w:val="000000"/>
        </w:rPr>
        <w:t>la reutilización del metal y otros residuos que  contribuya al cuidado del medio ambiente, evitando el aumento de los desechos sólidos, el desperdicio metálico y el uso de los recursos naturales vírgenes como materia prima.</w:t>
      </w:r>
    </w:p>
    <w:p>
      <w:pPr>
        <w:pStyle w:val="style197"/>
        <w:spacing w:after="0" w:before="0" w:line="360" w:lineRule="auto"/>
        <w:ind w:firstLine="737" w:left="0" w:right="0"/>
        <w:jc w:val="both"/>
        <w:textAlignment w:val="top"/>
      </w:pPr>
      <w:r>
        <w:rPr>
          <w:rFonts w:ascii="Arial" w:cs="Arial" w:hAnsi="Arial"/>
          <w:color w:val="000000"/>
          <w:lang w:eastAsia="es-ES"/>
        </w:rPr>
      </w:r>
    </w:p>
    <w:p>
      <w:pPr>
        <w:pStyle w:val="style197"/>
        <w:spacing w:after="0" w:before="0" w:line="360" w:lineRule="auto"/>
        <w:ind w:firstLine="737" w:left="0" w:right="0"/>
        <w:jc w:val="both"/>
        <w:textAlignment w:val="top"/>
      </w:pPr>
      <w:r>
        <w:rPr>
          <w:rFonts w:ascii="Arial" w:cs="Arial" w:hAnsi="Arial"/>
          <w:color w:val="000000"/>
          <w:lang w:eastAsia="es-ES"/>
        </w:rPr>
        <w:t xml:space="preserve">En este sentido, la reutilización tiene un gran impacto en el área financiera </w:t>
      </w:r>
      <w:r>
        <w:rPr>
          <w:rFonts w:ascii="Arial" w:cs="Arial" w:hAnsi="Arial"/>
          <w:color w:val="000000"/>
        </w:rPr>
        <w:t xml:space="preserve">porque constituye un negocio, es rentable, </w:t>
      </w:r>
      <w:r>
        <w:rPr>
          <w:rFonts w:ascii="Arial" w:cs="Arial" w:hAnsi="Arial"/>
          <w:color w:val="000000"/>
          <w:lang w:eastAsia="es-ES"/>
        </w:rPr>
        <w:t xml:space="preserve">genera muchos ingresos y disminuye los costos, </w:t>
      </w:r>
      <w:r>
        <w:rPr>
          <w:rFonts w:ascii="Arial" w:cs="Arial" w:hAnsi="Arial"/>
          <w:color w:val="000000"/>
        </w:rPr>
        <w:t>aparte de que la reutilización del metal tiene unas propiedades que permiten reutilizarlo sin perder su calidad ahorrando energía</w:t>
      </w:r>
      <w:r>
        <w:rPr>
          <w:rFonts w:ascii="Arial" w:cs="Arial" w:hAnsi="Arial"/>
          <w:color w:val="000000"/>
          <w:lang w:eastAsia="es-ES"/>
        </w:rPr>
        <w:t>.</w:t>
      </w:r>
    </w:p>
    <w:p>
      <w:pPr>
        <w:pStyle w:val="style197"/>
        <w:spacing w:after="0" w:before="0" w:line="360" w:lineRule="auto"/>
        <w:ind w:firstLine="737" w:left="0" w:right="0"/>
        <w:jc w:val="both"/>
        <w:textAlignment w:val="top"/>
      </w:pPr>
      <w:r>
        <w:rPr>
          <w:rFonts w:ascii="Arial" w:cs="Arial" w:hAnsi="Arial"/>
          <w:color w:val="000000"/>
          <w:lang w:eastAsia="es-ES"/>
        </w:rPr>
      </w:r>
    </w:p>
    <w:p>
      <w:pPr>
        <w:pStyle w:val="style197"/>
        <w:spacing w:after="0" w:before="0" w:line="360" w:lineRule="auto"/>
        <w:ind w:firstLine="737" w:left="0" w:right="0"/>
        <w:jc w:val="both"/>
        <w:textAlignment w:val="top"/>
      </w:pPr>
      <w:r>
        <w:rPr>
          <w:rFonts w:ascii="Arial" w:cs="Arial" w:hAnsi="Arial"/>
          <w:color w:val="000000"/>
          <w:lang w:eastAsia="es-ES"/>
        </w:rPr>
        <w:t xml:space="preserve">En el ámbito laboral  genera muchos empleos; hoy por hoy,  para ejecutar el proceso se requiere de  gran fuerza laboral para la recolección de los materiales aptos y para su clasificación, igualmente para  reciclar  o  reutilizar </w:t>
      </w:r>
      <w:r>
        <w:rPr>
          <w:rFonts w:ascii="Arial" w:cs="Arial" w:hAnsi="Arial"/>
          <w:color w:val="000000"/>
        </w:rPr>
        <w:t>estos materiales a través de la fundición de los mismos para obtener nuevos productos</w:t>
      </w:r>
      <w:r>
        <w:rPr>
          <w:rFonts w:ascii="Arial" w:cs="Arial" w:hAnsi="Arial"/>
          <w:color w:val="000000"/>
          <w:lang w:eastAsia="es-ES"/>
        </w:rPr>
        <w:t xml:space="preserve">. </w:t>
      </w:r>
      <w:r>
        <w:rPr>
          <w:rFonts w:ascii="Arial" w:cs="Arial" w:hAnsi="Arial"/>
          <w:bCs/>
          <w:color w:val="000000"/>
        </w:rPr>
        <w:t>La opción por el reciclaje está generando cada vez más seguidores a nivel mundial generando tanto entusiasmo  económico como ambiental.</w:t>
      </w:r>
    </w:p>
    <w:p>
      <w:pPr>
        <w:pStyle w:val="style197"/>
        <w:spacing w:after="0" w:before="0" w:line="300" w:lineRule="atLeast"/>
        <w:jc w:val="both"/>
        <w:textAlignment w:val="top"/>
      </w:pPr>
      <w:r>
        <w:rPr>
          <w:rFonts w:ascii="Arial" w:cs="Arial" w:hAnsi="Arial"/>
          <w:color w:val="000000"/>
        </w:rPr>
      </w:r>
    </w:p>
    <w:p>
      <w:pPr>
        <w:pStyle w:val="style197"/>
        <w:spacing w:after="0" w:before="0" w:line="360" w:lineRule="auto"/>
        <w:ind w:firstLine="360" w:left="0" w:right="0"/>
        <w:jc w:val="both"/>
      </w:pPr>
      <w:r>
        <w:rPr>
          <w:rFonts w:ascii="Arial" w:cs="Arial" w:hAnsi="Arial"/>
          <w:bCs/>
        </w:rPr>
        <w:t>En este orden de ideas, una vez realizada la revisión bibliografía referente a la formulación de las estrategias financiera – operacional en la reutilización de los materiales, se logró consultar trabajos similares que enfocan contenidos de esta investigación, los cuales servirán de antecedentes  y sustentación de la misma.  Cabe señalar los siguientes antecedentes:</w:t>
      </w:r>
    </w:p>
    <w:p>
      <w:pPr>
        <w:pStyle w:val="style197"/>
        <w:spacing w:after="0" w:before="0" w:line="360" w:lineRule="auto"/>
        <w:ind w:firstLine="360" w:left="0" w:right="0"/>
        <w:jc w:val="both"/>
      </w:pPr>
      <w:r>
        <w:rPr>
          <w:rFonts w:ascii="Arial" w:cs="Arial" w:hAnsi="Arial"/>
          <w:bCs/>
        </w:rPr>
      </w:r>
    </w:p>
    <w:p>
      <w:pPr>
        <w:pStyle w:val="style206"/>
        <w:spacing w:line="360" w:lineRule="auto"/>
        <w:ind w:firstLine="709" w:left="0" w:right="0"/>
        <w:jc w:val="both"/>
      </w:pPr>
      <w:r>
        <w:rPr/>
        <w:t>López, E. (2012). En su trabajo titulado “Gerencia Ambiental y Cultura de Reciclaje en los Centros Comerciales”, presentado a la Universidad Dr. Rafael Belloso Chacín para optar al título Doctor en Ciencias Gerenciales, se planteo como objetivo determinar la relación Gerencial ambiental y Cultural de Reciclaje en los centros comerciales colombo venezolanos en Barranquilla, Atlántico Colombia y Maracaibo, Zulia Venezuela, Para ello, utilizó una metodología de  descriptiva, correlación de campo, con  diseño  experimental, transacional, el investigador utilizó como instrumento para la recolección de los datos la encuesta aplicando un cuestionario llamado GESCURE.la validez del mismo se determino por las recomendaciones de 09 expertos en el área de la Gerencia Organizaciones .</w:t>
      </w:r>
    </w:p>
    <w:p>
      <w:pPr>
        <w:pStyle w:val="style206"/>
        <w:ind w:firstLine="709" w:left="0" w:right="0"/>
        <w:jc w:val="both"/>
      </w:pPr>
      <w:r>
        <w:rPr/>
      </w:r>
    </w:p>
    <w:p>
      <w:pPr>
        <w:pStyle w:val="style206"/>
        <w:spacing w:line="360" w:lineRule="auto"/>
        <w:ind w:firstLine="709" w:left="0" w:right="0"/>
        <w:jc w:val="both"/>
      </w:pPr>
      <w:r>
        <w:rPr/>
        <w:t>Como conclusión de la investigación realizada se tiene que el autor evidencio una mediana presencia de la gerencia, gestión planificación ambiental, cultural del reciclaje, factores micro ambientales y tipo tipos de reciclaje y una alta presencia en los factores maco ambientales. Asimismo, existe una relación positiva alta entre las variables gerencia ambiental y cultural del reciclaje en los centros comerciales; y recomienda implementar y socializar los procedimientos para identificar los aspectos y situaciones ambientales de los servicios que pueda controlar dentro del alcance de su gestión y los recursos esenciales que garanticen reducir los impactos ambientales por sus servicios.</w:t>
      </w:r>
    </w:p>
    <w:p>
      <w:pPr>
        <w:pStyle w:val="style206"/>
        <w:ind w:firstLine="709" w:left="0" w:right="0"/>
        <w:jc w:val="both"/>
      </w:pPr>
      <w:r>
        <w:rPr/>
      </w:r>
    </w:p>
    <w:p>
      <w:pPr>
        <w:pStyle w:val="style206"/>
        <w:spacing w:line="360" w:lineRule="auto"/>
        <w:ind w:firstLine="709" w:left="0" w:right="0"/>
        <w:jc w:val="both"/>
      </w:pPr>
      <w:r>
        <w:rPr/>
        <w:t>El trabajo estuvo dirigido a establecer una herramienta gerencial que permita optimizar los procesos y  divulgarlos para que se puedan identificar los posibles escenarios, se puedan controlar a su vez cauterizar a la brevedad a la posible por la administración.</w:t>
      </w:r>
    </w:p>
    <w:p>
      <w:pPr>
        <w:pStyle w:val="style206"/>
        <w:ind w:firstLine="709" w:left="0" w:right="0"/>
        <w:jc w:val="both"/>
      </w:pPr>
      <w:r>
        <w:rPr/>
      </w:r>
    </w:p>
    <w:p>
      <w:pPr>
        <w:pStyle w:val="style206"/>
        <w:spacing w:line="360" w:lineRule="auto"/>
        <w:ind w:firstLine="709" w:left="0" w:right="0"/>
        <w:jc w:val="both"/>
      </w:pPr>
      <w:r>
        <w:rPr/>
        <w:t xml:space="preserve">El antecedente  ante mencionado está estrechamente relacionado con la presente investigación, porque buscar las estrategias para concientizar, motivar, impulsar, gestionar, generar y comercializar o desincorporar bienes y materiales que se encuentra en  estado de corrosión, deterioro y obsoleto   con el fin de obtener materia prima para el insumo de la producción automotriz y la construcción civil en Venezuela, como también obtener beneficios económicos para la institución y  generar empleos. </w:t>
      </w:r>
    </w:p>
    <w:p>
      <w:pPr>
        <w:pStyle w:val="style197"/>
        <w:spacing w:after="0" w:before="0" w:line="360" w:lineRule="auto"/>
        <w:ind w:firstLine="360" w:left="0" w:right="0"/>
        <w:jc w:val="both"/>
      </w:pPr>
      <w:r>
        <w:rPr>
          <w:rFonts w:ascii="Arial" w:cs="Arial" w:hAnsi="Arial"/>
          <w:bCs/>
          <w:lang w:val="es-ES"/>
        </w:rPr>
      </w:r>
    </w:p>
    <w:p>
      <w:pPr>
        <w:pStyle w:val="style0"/>
        <w:autoSpaceDE w:val="false"/>
        <w:spacing w:after="0" w:before="0" w:line="360" w:lineRule="auto"/>
        <w:ind w:firstLine="737" w:left="0" w:right="0"/>
        <w:jc w:val="both"/>
      </w:pPr>
      <w:r>
        <w:rPr>
          <w:rFonts w:ascii="Arial" w:cs="Arial" w:hAnsi="Arial"/>
          <w:bCs/>
          <w:sz w:val="24"/>
          <w:szCs w:val="24"/>
        </w:rPr>
        <w:t xml:space="preserve">En ese mismo orden de ideas Loppacher, O. (2011), elaboro un trabajo denominado </w:t>
      </w:r>
      <w:r>
        <w:rPr>
          <w:rFonts w:ascii="Arial" w:cs="Arial" w:hAnsi="Arial"/>
          <w:sz w:val="24"/>
          <w:szCs w:val="24"/>
        </w:rPr>
        <w:t xml:space="preserve">“La Comunicación  Ambiental en el Reciclado de Envases de Aluminio por parte de los Adolescentes: Talleres Educativos y Mensajes SMS a través del Teléfono Móvil” como requisito para optar al Título de Doctor, </w:t>
      </w:r>
      <w:r>
        <w:rPr>
          <w:rFonts w:ascii="Arial" w:cs="Arial" w:hAnsi="Arial"/>
          <w:bCs/>
          <w:sz w:val="24"/>
          <w:szCs w:val="24"/>
        </w:rPr>
        <w:t xml:space="preserve"> presentado al Área de Estudio de Post Grado Doctoral de la </w:t>
      </w:r>
      <w:r>
        <w:rPr>
          <w:rFonts w:ascii="Arial" w:cs="Arial" w:hAnsi="Arial"/>
          <w:sz w:val="24"/>
          <w:szCs w:val="24"/>
        </w:rPr>
        <w:t xml:space="preserve">Universidad Internacional de Catalunya (UIC) en Barcelona.   El autor estudió la efectividad de dos herramientas de comunicación en la concienciación de los adolescentes (entre 14 y 18 años) en el reciclado de envases de aluminio. </w:t>
      </w:r>
    </w:p>
    <w:p>
      <w:pPr>
        <w:pStyle w:val="style0"/>
        <w:autoSpaceDE w:val="false"/>
        <w:spacing w:after="0" w:before="0" w:line="360" w:lineRule="auto"/>
        <w:ind w:firstLine="737" w:left="0" w:right="0"/>
        <w:jc w:val="both"/>
      </w:pPr>
      <w:r>
        <w:rPr>
          <w:rFonts w:ascii="Arial" w:cs="Arial" w:hAnsi="Arial"/>
          <w:sz w:val="24"/>
          <w:szCs w:val="24"/>
        </w:rPr>
      </w:r>
    </w:p>
    <w:p>
      <w:pPr>
        <w:pStyle w:val="style0"/>
        <w:autoSpaceDE w:val="false"/>
        <w:spacing w:after="0" w:before="0" w:line="360" w:lineRule="auto"/>
        <w:ind w:firstLine="737" w:left="0" w:right="0"/>
        <w:jc w:val="both"/>
      </w:pPr>
      <w:r>
        <w:rPr>
          <w:rFonts w:ascii="Arial" w:cs="Arial" w:hAnsi="Arial"/>
          <w:sz w:val="24"/>
          <w:szCs w:val="24"/>
        </w:rPr>
        <w:t xml:space="preserve">La modalidad bajo la cual se enmarco la investigación fue de dos tipos: cualitativa la cual ha permitido  conocer el sentir de los jóvenes hacia el reciclaje y las herramientas de comunicación, argumentar sus preferencias y frenos y conocer, de primera mano, sus opiniones en conversaciones abiertas y espontáneas, así como obtener material para redactar los SMS utilizados, para la obtención de los datos aplico la observación directa mediante sesiones </w:t>
      </w:r>
      <w:r>
        <w:rPr>
          <w:rFonts w:ascii="Arial" w:cs="Arial" w:hAnsi="Arial"/>
          <w:i/>
          <w:iCs/>
          <w:sz w:val="24"/>
          <w:szCs w:val="24"/>
        </w:rPr>
        <w:t xml:space="preserve">focus group </w:t>
      </w:r>
      <w:r>
        <w:rPr>
          <w:rFonts w:ascii="Arial" w:cs="Arial" w:hAnsi="Arial"/>
          <w:sz w:val="24"/>
          <w:szCs w:val="24"/>
        </w:rPr>
        <w:t>en Málaga y en Barcelona intentando que los asistentes que acudieran a las mismas fueran representativos de los jóvenes de entre 14 y 18 años.</w:t>
      </w:r>
    </w:p>
    <w:p>
      <w:pPr>
        <w:pStyle w:val="style0"/>
        <w:autoSpaceDE w:val="false"/>
        <w:spacing w:after="0" w:before="0" w:line="360" w:lineRule="auto"/>
        <w:ind w:firstLine="737" w:left="0" w:right="0"/>
        <w:jc w:val="both"/>
      </w:pPr>
      <w:r>
        <w:rPr>
          <w:rFonts w:ascii="Arial" w:cs="Arial" w:hAnsi="Arial"/>
          <w:sz w:val="24"/>
          <w:szCs w:val="24"/>
        </w:rPr>
      </w:r>
    </w:p>
    <w:p>
      <w:pPr>
        <w:pStyle w:val="style0"/>
        <w:autoSpaceDE w:val="false"/>
        <w:spacing w:after="0" w:before="0" w:line="360" w:lineRule="auto"/>
        <w:ind w:firstLine="737" w:left="0" w:right="0"/>
        <w:jc w:val="both"/>
      </w:pPr>
      <w:r>
        <w:rPr>
          <w:rFonts w:ascii="Arial" w:cs="Arial" w:hAnsi="Arial"/>
          <w:sz w:val="24"/>
          <w:szCs w:val="24"/>
        </w:rPr>
        <w:t>Mientras que  la investigación cuantitativa para la obtención de los datos  aplicó   un instrumento la encuesta realizada en 27 escuelas  (entre Educación Primaria, Educación Secundaria y Educación Profesional) en dos sesiones.</w:t>
      </w:r>
    </w:p>
    <w:p>
      <w:pPr>
        <w:pStyle w:val="style0"/>
        <w:autoSpaceDE w:val="false"/>
        <w:spacing w:after="0" w:before="0" w:line="360" w:lineRule="auto"/>
        <w:ind w:firstLine="737" w:left="0" w:right="0"/>
        <w:jc w:val="both"/>
      </w:pPr>
      <w:r>
        <w:rPr>
          <w:rFonts w:ascii="Arial" w:cs="Arial" w:hAnsi="Arial"/>
          <w:sz w:val="24"/>
          <w:szCs w:val="24"/>
        </w:rPr>
      </w:r>
    </w:p>
    <w:p>
      <w:pPr>
        <w:pStyle w:val="style0"/>
        <w:autoSpaceDE w:val="false"/>
        <w:spacing w:after="0" w:before="0" w:line="360" w:lineRule="auto"/>
        <w:jc w:val="both"/>
      </w:pPr>
      <w:r>
        <w:rPr>
          <w:rFonts w:ascii="Arial" w:cs="Arial" w:hAnsi="Arial"/>
          <w:sz w:val="24"/>
          <w:szCs w:val="24"/>
        </w:rPr>
        <w:tab/>
        <w:t xml:space="preserve">Como conclusión  de la investigación cualitativa considera que alcanzo los objetivos  </w:t>
      </w:r>
      <w:r>
        <w:rPr>
          <w:rFonts w:ascii="Arial" w:cs="Arial" w:hAnsi="Arial"/>
          <w:bCs/>
          <w:sz w:val="24"/>
          <w:szCs w:val="24"/>
        </w:rPr>
        <w:t xml:space="preserve"> en vista de que la comunicación realizada con Talleres educativos y con mensajes SMS ha sido eficaz</w:t>
      </w:r>
      <w:r>
        <w:rPr>
          <w:rFonts w:ascii="Arial" w:cs="Arial" w:hAnsi="Arial"/>
          <w:b/>
          <w:bCs/>
          <w:sz w:val="24"/>
          <w:szCs w:val="24"/>
        </w:rPr>
        <w:t xml:space="preserve"> </w:t>
      </w:r>
      <w:r>
        <w:rPr>
          <w:rFonts w:ascii="Arial" w:cs="Arial" w:hAnsi="Arial"/>
          <w:sz w:val="24"/>
          <w:szCs w:val="24"/>
        </w:rPr>
        <w:t>para conseguir los tres puntos clave de la participación de jóvenes de entre 14 y 18 años en campañas de reciclaje de envases de aluminio: adquisición de conocimientos sobre por qué, dónde y cómo reciclar estos envases; adquisición de concienciación o motivación sobre los beneficios de reciclar; y, por último, pasar a la acción, es decir, participar en el reciclado.</w:t>
      </w:r>
    </w:p>
    <w:p>
      <w:pPr>
        <w:pStyle w:val="style0"/>
        <w:autoSpaceDE w:val="false"/>
        <w:spacing w:after="0" w:before="0" w:line="360" w:lineRule="auto"/>
        <w:jc w:val="both"/>
      </w:pPr>
      <w:r>
        <w:rPr>
          <w:rFonts w:ascii="Arial" w:cs="Arial" w:hAnsi="Arial"/>
          <w:sz w:val="24"/>
          <w:szCs w:val="24"/>
        </w:rPr>
      </w:r>
    </w:p>
    <w:p>
      <w:pPr>
        <w:pStyle w:val="style0"/>
        <w:autoSpaceDE w:val="false"/>
        <w:spacing w:after="0" w:before="0" w:line="360" w:lineRule="auto"/>
        <w:jc w:val="both"/>
      </w:pPr>
      <w:r>
        <w:rPr>
          <w:rFonts w:ascii="Arial" w:cs="Arial" w:hAnsi="Arial"/>
          <w:sz w:val="24"/>
          <w:szCs w:val="24"/>
        </w:rPr>
        <w:tab/>
        <w:t xml:space="preserve">Como conclusión de la investigación cuantitativa ha profundizado también en las diferencias sobre </w:t>
      </w:r>
      <w:r>
        <w:rPr>
          <w:rFonts w:ascii="Arial" w:cs="Arial" w:hAnsi="Arial"/>
          <w:bCs/>
          <w:sz w:val="24"/>
          <w:szCs w:val="24"/>
        </w:rPr>
        <w:t xml:space="preserve">la eficacia individual de cada una de las dos técnicas de comunicación para conseguir la participación de los jóvenes en el reciclado. </w:t>
      </w:r>
      <w:r>
        <w:rPr>
          <w:rFonts w:ascii="Arial" w:cs="Arial" w:hAnsi="Arial"/>
          <w:sz w:val="24"/>
          <w:szCs w:val="24"/>
        </w:rPr>
        <w:t xml:space="preserve">Así, se ha podido constatar que </w:t>
      </w:r>
      <w:r>
        <w:rPr>
          <w:rFonts w:ascii="Arial" w:cs="Arial" w:hAnsi="Arial"/>
          <w:bCs/>
          <w:sz w:val="24"/>
          <w:szCs w:val="24"/>
        </w:rPr>
        <w:t xml:space="preserve">los Talleres educativos obtienen mejores resultados a la hora de generar conocimientos, concienciación y participación en el reciclado, pero su labor se ve reforzada y ampliada con el envío de mensajes SMS. </w:t>
      </w:r>
    </w:p>
    <w:p>
      <w:pPr>
        <w:pStyle w:val="style0"/>
        <w:autoSpaceDE w:val="false"/>
        <w:spacing w:after="0" w:before="0" w:line="360" w:lineRule="auto"/>
        <w:jc w:val="both"/>
      </w:pPr>
      <w:r>
        <w:rPr>
          <w:rFonts w:ascii="Arial" w:cs="Arial" w:hAnsi="Arial"/>
          <w:bCs/>
          <w:sz w:val="24"/>
          <w:szCs w:val="24"/>
        </w:rPr>
      </w:r>
    </w:p>
    <w:p>
      <w:pPr>
        <w:pStyle w:val="style0"/>
        <w:autoSpaceDE w:val="false"/>
        <w:spacing w:after="0" w:before="0" w:line="360" w:lineRule="auto"/>
        <w:jc w:val="both"/>
      </w:pPr>
      <w:r>
        <w:rPr>
          <w:rFonts w:ascii="Arial" w:cs="Arial" w:hAnsi="Arial"/>
          <w:bCs/>
          <w:sz w:val="24"/>
          <w:szCs w:val="24"/>
        </w:rPr>
        <w:tab/>
      </w:r>
      <w:r>
        <w:rPr>
          <w:rFonts w:ascii="Arial" w:cs="Arial" w:hAnsi="Arial"/>
          <w:sz w:val="24"/>
          <w:szCs w:val="24"/>
        </w:rPr>
        <w:t>Ésta es una importante conclusión ya que se puede utilizar una técnica de bajo coste y gran alcance como son los SMS como complemento de una técnica de comunicación personal que tiene la desventaja de tener un coste por impacto alto y un alcance mucho más pequeño</w:t>
      </w:r>
      <w:r>
        <w:rPr>
          <w:rFonts w:ascii="Garamond-Light" w:cs="Garamond-Light" w:hAnsi="Garamond-Light"/>
          <w:sz w:val="20"/>
          <w:szCs w:val="20"/>
        </w:rPr>
        <w:t>.</w:t>
      </w:r>
    </w:p>
    <w:p>
      <w:pPr>
        <w:pStyle w:val="style0"/>
        <w:autoSpaceDE w:val="false"/>
        <w:spacing w:after="0" w:before="0" w:line="360" w:lineRule="auto"/>
        <w:jc w:val="both"/>
      </w:pPr>
      <w:r>
        <w:rPr>
          <w:rFonts w:ascii="Garamond-Light" w:cs="Garamond-Light" w:hAnsi="Garamond-Light"/>
          <w:sz w:val="20"/>
          <w:szCs w:val="20"/>
        </w:rPr>
      </w:r>
    </w:p>
    <w:p>
      <w:pPr>
        <w:pStyle w:val="style0"/>
        <w:autoSpaceDE w:val="false"/>
        <w:spacing w:after="0" w:before="0" w:line="360" w:lineRule="auto"/>
        <w:ind w:firstLine="737" w:left="0" w:right="0"/>
        <w:jc w:val="both"/>
      </w:pPr>
      <w:r>
        <w:rPr>
          <w:rFonts w:ascii="Arial" w:cs="Arial" w:hAnsi="Arial"/>
          <w:sz w:val="24"/>
          <w:szCs w:val="24"/>
        </w:rPr>
        <w:t>Su relación con esta investigación es por su   carácter explicativo sobre   los beneficios del  reciclado, además de crear conciencia sobre el cuidado del ambiente, el ahorro de la energía, de la materia prima, estimulando a la juventud y a la población a recolectar el metal en casa por ser ellos los principales consumidores de latas de bebidas. También indica  el valor agregado que posee el   metal por ser el material que tiene más valor económico en el contenedor de reciclaje en comparación con otros residuos.</w:t>
      </w:r>
    </w:p>
    <w:p>
      <w:pPr>
        <w:pStyle w:val="style206"/>
        <w:spacing w:line="360" w:lineRule="auto"/>
        <w:ind w:firstLine="737" w:left="0" w:right="0"/>
        <w:jc w:val="both"/>
      </w:pPr>
      <w:r>
        <w:rPr/>
      </w:r>
    </w:p>
    <w:p>
      <w:pPr>
        <w:pStyle w:val="style206"/>
        <w:spacing w:line="360" w:lineRule="auto"/>
        <w:ind w:firstLine="737" w:left="0" w:right="0"/>
        <w:jc w:val="both"/>
      </w:pPr>
      <w:r>
        <w:rPr>
          <w:rStyle w:val="style158"/>
          <w:rFonts w:cs="Arial"/>
        </w:rPr>
        <w:t xml:space="preserve">Seguidamente se hace necesario resaltar a </w:t>
      </w:r>
      <w:r>
        <w:rPr>
          <w:rStyle w:val="style158"/>
        </w:rPr>
        <w:t>Zárraga, V. (2011). En su Trabajo de Grado presentado al Área de Estudios de Postgrado de la Universidad de Carabobo para optar al Título de Magister en Administración de  Empresas, mención Gerencia titulado “Modelo Gerencial para el Impulso y Desarrollo del Reciclaje en las Empresas de Producción Social en el Municipio Guácara Estado</w:t>
      </w:r>
      <w:r>
        <w:rPr>
          <w:rStyle w:val="style158"/>
          <w:shd w:fill="ECE8E9" w:val="clear"/>
        </w:rPr>
        <w:t xml:space="preserve"> </w:t>
      </w:r>
      <w:r>
        <w:rPr>
          <w:rStyle w:val="style158"/>
        </w:rPr>
        <w:t>Carabobo”,  la investigación tuvo como objetivo presentar un modelo gerencial para el impulso y desarrollo del reciclaje en las empresas de producción social (EPS) en el municipio Guácara Estado Carabobo y con ello contribuir al equilibrio ecológico,</w:t>
      </w:r>
      <w:r>
        <w:rPr>
          <w:rStyle w:val="style158"/>
          <w:shd w:fill="ECE8E9" w:val="clear"/>
        </w:rPr>
        <w:t xml:space="preserve"> </w:t>
      </w:r>
      <w:r>
        <w:rPr>
          <w:rStyle w:val="style158"/>
        </w:rPr>
        <w:t xml:space="preserve"> ambiental del municipio y del planeta.</w:t>
      </w:r>
    </w:p>
    <w:p>
      <w:pPr>
        <w:pStyle w:val="style206"/>
        <w:spacing w:line="360" w:lineRule="auto"/>
        <w:ind w:firstLine="737" w:left="0" w:right="0"/>
        <w:jc w:val="both"/>
      </w:pPr>
      <w:r>
        <w:rPr/>
      </w:r>
    </w:p>
    <w:p>
      <w:pPr>
        <w:pStyle w:val="style206"/>
        <w:spacing w:line="360" w:lineRule="auto"/>
        <w:ind w:firstLine="737" w:left="0" w:right="0"/>
        <w:jc w:val="both"/>
      </w:pPr>
      <w:r>
        <w:rPr>
          <w:rStyle w:val="style158"/>
          <w:rFonts w:cs="Arial"/>
        </w:rPr>
        <w:t>L</w:t>
      </w:r>
      <w:r>
        <w:rPr>
          <w:rStyle w:val="style158"/>
        </w:rPr>
        <w:t>a investigación se realizó a</w:t>
      </w:r>
      <w:r>
        <w:rPr>
          <w:rStyle w:val="style158"/>
          <w:shd w:fill="ECE8E9" w:val="clear"/>
        </w:rPr>
        <w:t xml:space="preserve"> </w:t>
      </w:r>
      <w:r>
        <w:rPr>
          <w:rStyle w:val="style158"/>
        </w:rPr>
        <w:t>través de  un  estudio de campo apoyado en estudio documental y enmarcado en la modalidad de exploratoria, descriptiva y explicativa.</w:t>
      </w:r>
      <w:r>
        <w:rPr>
          <w:rStyle w:val="style158"/>
          <w:shd w:fill="ECE8E9" w:val="clear"/>
        </w:rPr>
        <w:t xml:space="preserve">  </w:t>
      </w:r>
      <w:r>
        <w:rPr>
          <w:rStyle w:val="style158"/>
        </w:rPr>
        <w:t>Donde las técnicas utilizadas para la investigación fueron: tres</w:t>
      </w:r>
      <w:r>
        <w:rPr>
          <w:rStyle w:val="style158"/>
          <w:shd w:fill="ECE8E9" w:val="clear"/>
        </w:rPr>
        <w:t xml:space="preserve"> </w:t>
      </w:r>
      <w:r>
        <w:rPr>
          <w:rStyle w:val="style158"/>
        </w:rPr>
        <w:t>entrevistas y un cuestionario de consulta masiva donde participaron</w:t>
      </w:r>
      <w:r>
        <w:rPr>
          <w:rStyle w:val="style158"/>
          <w:shd w:fill="ECE8E9" w:val="clear"/>
        </w:rPr>
        <w:t xml:space="preserve"> </w:t>
      </w:r>
      <w:r>
        <w:rPr>
          <w:rStyle w:val="style158"/>
        </w:rPr>
        <w:t>organismos públicos del municipio, habitantes de la zona y las EPS</w:t>
      </w:r>
      <w:r>
        <w:rPr>
          <w:rStyle w:val="style158"/>
          <w:shd w:fill="ECE8E9" w:val="clear"/>
        </w:rPr>
        <w:t xml:space="preserve"> </w:t>
      </w:r>
      <w:r>
        <w:rPr>
          <w:rStyle w:val="style158"/>
        </w:rPr>
        <w:t>de PDVSA GAS – Yagua. Los datos fueron analizados e interpretados.</w:t>
      </w:r>
    </w:p>
    <w:p>
      <w:pPr>
        <w:pStyle w:val="style206"/>
        <w:spacing w:line="360" w:lineRule="auto"/>
        <w:ind w:firstLine="737" w:left="0" w:right="0"/>
        <w:jc w:val="both"/>
      </w:pPr>
      <w:r>
        <w:rPr/>
      </w:r>
    </w:p>
    <w:p>
      <w:pPr>
        <w:pStyle w:val="style206"/>
        <w:spacing w:line="360" w:lineRule="auto"/>
        <w:ind w:firstLine="851" w:left="0" w:right="0"/>
        <w:jc w:val="both"/>
      </w:pPr>
      <w:r>
        <w:rPr>
          <w:rStyle w:val="style158"/>
          <w:rFonts w:cs="Arial"/>
        </w:rPr>
        <w:t>Como conclusión de la investigación realizada se tiene que el</w:t>
      </w:r>
      <w:r>
        <w:rPr>
          <w:rStyle w:val="style158"/>
          <w:shd w:fill="ECE8E9" w:val="clear"/>
        </w:rPr>
        <w:t xml:space="preserve"> </w:t>
      </w:r>
      <w:r>
        <w:rPr>
          <w:rStyle w:val="style158"/>
        </w:rPr>
        <w:t>autor expresa  que al unir las tres vertientes gobierno-empresa-comunidad se pudo constatar por la parte de la municipalidad que</w:t>
      </w:r>
      <w:r>
        <w:rPr>
          <w:rStyle w:val="style158"/>
          <w:shd w:fill="ECE8E9" w:val="clear"/>
        </w:rPr>
        <w:t xml:space="preserve"> </w:t>
      </w:r>
      <w:r>
        <w:rPr>
          <w:rStyle w:val="style158"/>
        </w:rPr>
        <w:t>existe disposición en el apoyo al medio ambiente y por ende al</w:t>
      </w:r>
      <w:r>
        <w:rPr>
          <w:rStyle w:val="style158"/>
          <w:shd w:fill="ECE8E9" w:val="clear"/>
        </w:rPr>
        <w:t xml:space="preserve"> </w:t>
      </w:r>
      <w:r>
        <w:rPr>
          <w:rStyle w:val="style158"/>
        </w:rPr>
        <w:t>reciclaje; por otra parte la empresa específicamente EPS poseen debilidades organizacionales; mientras que la comunidad manifiesta</w:t>
      </w:r>
      <w:r>
        <w:rPr>
          <w:rStyle w:val="style158"/>
          <w:shd w:fill="ECE8E9" w:val="clear"/>
        </w:rPr>
        <w:t xml:space="preserve"> </w:t>
      </w:r>
      <w:r>
        <w:rPr>
          <w:rStyle w:val="style158"/>
        </w:rPr>
        <w:t>la buena voluntad y el deseo de colaboración en el reciclaje. Al</w:t>
      </w:r>
      <w:r>
        <w:rPr>
          <w:rStyle w:val="style158"/>
          <w:shd w:fill="ECE8E9" w:val="clear"/>
        </w:rPr>
        <w:t xml:space="preserve"> </w:t>
      </w:r>
      <w:r>
        <w:rPr>
          <w:rStyle w:val="style158"/>
        </w:rPr>
        <w:t>proponer un modelo gerencial, para las EPS, se  establece un estilo</w:t>
      </w:r>
      <w:r>
        <w:rPr>
          <w:rStyle w:val="style158"/>
          <w:shd w:fill="ECE8E9" w:val="clear"/>
        </w:rPr>
        <w:t xml:space="preserve"> </w:t>
      </w:r>
      <w:r>
        <w:rPr>
          <w:rStyle w:val="style158"/>
        </w:rPr>
        <w:t>para planificar, organizar, dirigir y gerencial a las nuevas Empresa de</w:t>
      </w:r>
      <w:r>
        <w:rPr>
          <w:rStyle w:val="style158"/>
          <w:shd w:fill="ECE8E9" w:val="clear"/>
        </w:rPr>
        <w:t xml:space="preserve"> </w:t>
      </w:r>
      <w:r>
        <w:rPr>
          <w:rStyle w:val="style158"/>
        </w:rPr>
        <w:t>Producción Social del Reciclaje (EPSR) nacientes dentro la misma</w:t>
      </w:r>
      <w:r>
        <w:rPr>
          <w:rStyle w:val="style158"/>
          <w:shd w:fill="ECE8E9" w:val="clear"/>
        </w:rPr>
        <w:t xml:space="preserve"> </w:t>
      </w:r>
      <w:r>
        <w:rPr>
          <w:rStyle w:val="style158"/>
        </w:rPr>
        <w:t>comunidad.</w:t>
      </w:r>
    </w:p>
    <w:p>
      <w:pPr>
        <w:pStyle w:val="style206"/>
        <w:ind w:firstLine="851" w:left="0" w:right="0"/>
        <w:jc w:val="both"/>
      </w:pPr>
      <w:r>
        <w:rPr/>
      </w:r>
    </w:p>
    <w:p>
      <w:pPr>
        <w:pStyle w:val="style206"/>
        <w:spacing w:line="360" w:lineRule="auto"/>
        <w:ind w:firstLine="851" w:left="0" w:right="0"/>
        <w:jc w:val="both"/>
      </w:pPr>
      <w:r>
        <w:rPr>
          <w:rStyle w:val="style158"/>
          <w:rFonts w:cs="Arial"/>
        </w:rPr>
        <w:t>Su aporte a esta investigación se concentra en el modelo gerencial que puede ser utilizado por todas las instituciones o organismos públicos comprometidos con el  cuidado de la municipalidad, de la institución, del medio ambiente así como la capacitación  del Personal adscrito a cada una de ella como también a las  Empresas de Producción Social para orientar y impulsar el reciclaje con mira a proporcionar una respuesta inmediata a las comunidades y al ambiente  por el  problema ocasionado por la concentración de basura y chatarras.</w:t>
      </w:r>
    </w:p>
    <w:p>
      <w:pPr>
        <w:pStyle w:val="style0"/>
        <w:autoSpaceDE w:val="false"/>
        <w:spacing w:after="0" w:before="0" w:line="360" w:lineRule="auto"/>
        <w:ind w:firstLine="737" w:left="0" w:right="0"/>
        <w:jc w:val="both"/>
      </w:pPr>
      <w:r>
        <w:rPr>
          <w:rFonts w:ascii="Arial" w:cs="Arial" w:hAnsi="Arial"/>
          <w:color w:val="333333"/>
          <w:sz w:val="24"/>
          <w:szCs w:val="24"/>
          <w:shd w:fill="EEEECC" w:val="clear"/>
        </w:rPr>
      </w:r>
    </w:p>
    <w:p>
      <w:pPr>
        <w:pStyle w:val="style206"/>
        <w:spacing w:line="360" w:lineRule="auto"/>
        <w:ind w:firstLine="737" w:left="0" w:right="0"/>
        <w:jc w:val="both"/>
      </w:pPr>
      <w:r>
        <w:rPr/>
        <w:t xml:space="preserve">En tal sentido Barradas, R.  (2010). En su Trabajo de Grado presentado </w:t>
      </w:r>
      <w:r>
        <w:rPr>
          <w:bCs/>
        </w:rPr>
        <w:t>al Área de Estudio de Post Grado Doctoral</w:t>
      </w:r>
      <w:r>
        <w:rPr/>
        <w:t xml:space="preserve"> Universidad Politécnica de Madrid titulado Gestión Integral de Residuos Sólidos Municipales Estado del Arte. Este estudio se realizó enmarcado en la modalidad descriptiva, mediante una investigación del campo con apoyo documental, donde las técnicas utilizadas en la investigación fueron encuesta tipo entrevista y observación directa a través de </w:t>
      </w:r>
      <w:r>
        <w:rPr>
          <w:rStyle w:val="style158"/>
          <w:rFonts w:cs="Arial"/>
        </w:rPr>
        <w:t>la recogida selectiva y el compostaje</w:t>
      </w:r>
      <w:r>
        <w:rPr/>
        <w:t>.</w:t>
      </w:r>
    </w:p>
    <w:p>
      <w:pPr>
        <w:pStyle w:val="style206"/>
        <w:spacing w:line="360" w:lineRule="auto"/>
        <w:ind w:firstLine="737" w:left="0" w:right="0"/>
        <w:jc w:val="both"/>
      </w:pPr>
      <w:r>
        <w:rPr/>
      </w:r>
    </w:p>
    <w:p>
      <w:pPr>
        <w:pStyle w:val="style206"/>
        <w:spacing w:line="360" w:lineRule="auto"/>
        <w:ind w:firstLine="737" w:left="0" w:right="0"/>
        <w:jc w:val="both"/>
      </w:pPr>
      <w:r>
        <w:rPr/>
        <w:t>Como conclusión la gestión integral ahí se ha caracterizado por</w:t>
      </w:r>
      <w:r>
        <w:rPr>
          <w:shd w:fill="ECE8E9" w:val="clear"/>
        </w:rPr>
        <w:t xml:space="preserve"> </w:t>
      </w:r>
      <w:r>
        <w:rPr/>
        <w:t>incorporar alternativas de tratamiento de residuos con tecnologías de punta,</w:t>
      </w:r>
      <w:r>
        <w:rPr>
          <w:shd w:fill="ECE8E9" w:val="clear"/>
        </w:rPr>
        <w:t xml:space="preserve"> </w:t>
      </w:r>
      <w:r>
        <w:rPr/>
        <w:t>desarrolladas a la luz de la minimización de los residuos y el</w:t>
      </w:r>
      <w:r>
        <w:rPr>
          <w:shd w:fill="ECE8E9" w:val="clear"/>
        </w:rPr>
        <w:t xml:space="preserve"> </w:t>
      </w:r>
      <w:r>
        <w:rPr/>
        <w:t>aprovechamiento material y/o energético de los mismos. Siendo una</w:t>
      </w:r>
      <w:r>
        <w:rPr>
          <w:shd w:fill="ECE8E9" w:val="clear"/>
        </w:rPr>
        <w:t xml:space="preserve"> </w:t>
      </w:r>
      <w:r>
        <w:rPr/>
        <w:t>prioridad la sostenibilidad del medio</w:t>
      </w:r>
      <w:r>
        <w:rPr>
          <w:rStyle w:val="style147"/>
          <w:rFonts w:cs="Arial"/>
        </w:rPr>
        <w:t xml:space="preserve"> </w:t>
      </w:r>
      <w:r>
        <w:rPr>
          <w:rStyle w:val="style158"/>
        </w:rPr>
        <w:t>ambiente y la conservación de los</w:t>
      </w:r>
      <w:r>
        <w:rPr>
          <w:rStyle w:val="style158"/>
          <w:shd w:fill="ECE8E9" w:val="clear"/>
        </w:rPr>
        <w:t xml:space="preserve"> </w:t>
      </w:r>
      <w:r>
        <w:rPr>
          <w:rStyle w:val="style158"/>
        </w:rPr>
        <w:t>recursos del planeta se hace fundamental difundir y aplicar por doquier los</w:t>
      </w:r>
      <w:r>
        <w:rPr>
          <w:rStyle w:val="style158"/>
          <w:shd w:fill="ECE8E9" w:val="clear"/>
        </w:rPr>
        <w:t xml:space="preserve"> </w:t>
      </w:r>
      <w:r>
        <w:rPr>
          <w:rStyle w:val="style158"/>
        </w:rPr>
        <w:t>avances en la gestión integral de los residuos sólidos y líquidos generados</w:t>
      </w:r>
      <w:r>
        <w:rPr>
          <w:rStyle w:val="style158"/>
          <w:shd w:fill="ECE8E9" w:val="clear"/>
        </w:rPr>
        <w:t xml:space="preserve"> </w:t>
      </w:r>
      <w:r>
        <w:rPr>
          <w:rStyle w:val="style158"/>
        </w:rPr>
        <w:t>por las actividades humanas. Propone la evaluación de la separación en la</w:t>
      </w:r>
      <w:r>
        <w:rPr>
          <w:rStyle w:val="style158"/>
          <w:shd w:fill="ECE8E9" w:val="clear"/>
        </w:rPr>
        <w:t xml:space="preserve"> </w:t>
      </w:r>
      <w:r>
        <w:rPr>
          <w:rStyle w:val="style158"/>
        </w:rPr>
        <w:t>fuente y la recogida selectiva como el mejor camino para aplicar la gestión</w:t>
      </w:r>
      <w:r>
        <w:rPr>
          <w:rStyle w:val="style158"/>
          <w:shd w:fill="ECE8E9" w:val="clear"/>
        </w:rPr>
        <w:t xml:space="preserve"> </w:t>
      </w:r>
      <w:r>
        <w:rPr>
          <w:rStyle w:val="style158"/>
        </w:rPr>
        <w:t>integral en las ciudades medias de los países en desarrollo. Como resultado</w:t>
      </w:r>
      <w:r>
        <w:rPr>
          <w:rStyle w:val="style158"/>
          <w:shd w:fill="ECE8E9" w:val="clear"/>
        </w:rPr>
        <w:t xml:space="preserve"> </w:t>
      </w:r>
      <w:r>
        <w:rPr>
          <w:rStyle w:val="style158"/>
        </w:rPr>
        <w:t>de la recogida selectiva de los residuos sólidos domiciliarios se producen</w:t>
      </w:r>
      <w:r>
        <w:rPr>
          <w:rStyle w:val="style158"/>
          <w:shd w:fill="ECE8E9" w:val="clear"/>
        </w:rPr>
        <w:t xml:space="preserve"> </w:t>
      </w:r>
      <w:r>
        <w:rPr>
          <w:rStyle w:val="style158"/>
        </w:rPr>
        <w:t>corrientes de residuos orgánicos y residuos inertes de calidad. Los primeros</w:t>
      </w:r>
      <w:r>
        <w:rPr>
          <w:rStyle w:val="style158"/>
          <w:shd w:fill="ECE8E9" w:val="clear"/>
        </w:rPr>
        <w:t xml:space="preserve"> </w:t>
      </w:r>
      <w:r>
        <w:rPr>
          <w:rStyle w:val="style158"/>
        </w:rPr>
        <w:t>son tratados por compostaje y vermicompostaje, dando por resultado</w:t>
      </w:r>
      <w:r>
        <w:rPr>
          <w:rStyle w:val="style158"/>
          <w:shd w:fill="ECE8E9" w:val="clear"/>
        </w:rPr>
        <w:t xml:space="preserve"> </w:t>
      </w:r>
      <w:r>
        <w:rPr>
          <w:rStyle w:val="style158"/>
        </w:rPr>
        <w:t>compost y humus de lombriz de buena calidad. Los residuos inertes</w:t>
      </w:r>
      <w:r>
        <w:rPr>
          <w:rStyle w:val="style158"/>
          <w:shd w:fill="ECE8E9" w:val="clear"/>
        </w:rPr>
        <w:t xml:space="preserve"> </w:t>
      </w:r>
      <w:r>
        <w:rPr>
          <w:rStyle w:val="style158"/>
        </w:rPr>
        <w:t>recuperados presentan condiciones aptas para su reciclaje, generando un</w:t>
      </w:r>
      <w:r>
        <w:rPr>
          <w:rStyle w:val="style158"/>
          <w:shd w:fill="ECE8E9" w:val="clear"/>
        </w:rPr>
        <w:t xml:space="preserve"> </w:t>
      </w:r>
      <w:r>
        <w:rPr>
          <w:rStyle w:val="style158"/>
        </w:rPr>
        <w:t>potencial de recuperación muy por arriba de los obtenidos por segregación</w:t>
      </w:r>
      <w:r>
        <w:rPr>
          <w:rStyle w:val="style158"/>
          <w:shd w:fill="ECE8E9" w:val="clear"/>
        </w:rPr>
        <w:t xml:space="preserve"> </w:t>
      </w:r>
      <w:r>
        <w:rPr>
          <w:rStyle w:val="style158"/>
        </w:rPr>
        <w:t>en los vertederos.</w:t>
      </w:r>
      <w:r>
        <w:rPr>
          <w:rStyle w:val="style158"/>
          <w:shd w:fill="ECE8E9" w:val="clear"/>
        </w:rPr>
        <w:t xml:space="preserve"> </w:t>
      </w:r>
    </w:p>
    <w:p>
      <w:pPr>
        <w:pStyle w:val="style206"/>
        <w:ind w:firstLine="737" w:left="0" w:right="0"/>
        <w:jc w:val="both"/>
      </w:pPr>
      <w:r>
        <w:rPr/>
      </w:r>
    </w:p>
    <w:p>
      <w:pPr>
        <w:pStyle w:val="style206"/>
        <w:spacing w:line="360" w:lineRule="auto"/>
        <w:ind w:firstLine="737" w:left="0" w:right="0"/>
        <w:jc w:val="both"/>
      </w:pPr>
      <w:r>
        <w:rPr/>
        <w:t>Su aporte a esta investigación es motivar   a la población para que participen  en la solución de los problemas locales y regionales relacionados con los residuos sólidos generados por la humanidad actual como el aprovechamiento de los mismos  además  buscar alcanzar la sustentabilidad del medio ambiente y proteger la salud pública, desde un enfoque de la economía de los recursos naturales.</w:t>
      </w:r>
    </w:p>
    <w:p>
      <w:pPr>
        <w:pStyle w:val="style206"/>
        <w:spacing w:line="360" w:lineRule="auto"/>
        <w:ind w:firstLine="737" w:left="0" w:right="0"/>
        <w:jc w:val="both"/>
      </w:pPr>
      <w:r>
        <w:rPr/>
      </w:r>
    </w:p>
    <w:p>
      <w:pPr>
        <w:pStyle w:val="style206"/>
        <w:spacing w:line="360" w:lineRule="auto"/>
        <w:ind w:firstLine="1134" w:left="0" w:right="0"/>
        <w:jc w:val="both"/>
      </w:pPr>
      <w:r>
        <w:rPr/>
      </w:r>
    </w:p>
    <w:p>
      <w:pPr>
        <w:pStyle w:val="style206"/>
        <w:spacing w:line="360" w:lineRule="auto"/>
        <w:ind w:firstLine="709" w:left="0" w:right="0"/>
        <w:jc w:val="both"/>
      </w:pPr>
      <w:r>
        <w:rPr/>
        <w:t>Valera, A. (2009). La Auditoría Ambiental como Herramienta para el Cumplimiento de una Empresa Socialmente Responsable Caso Estudio: Empresa Venezolana de Reciclaje, C.A. (VENRECICLA</w:t>
      </w:r>
      <w:r>
        <w:rPr>
          <w:b/>
        </w:rPr>
        <w:t>)</w:t>
      </w:r>
      <w:r>
        <w:rPr/>
        <w:t xml:space="preserve">, Universidad Centro Occidental Lisandro Alvarado. Tesis de Post Grado en Maestría. Este trabajo de investigación responde a la elaboración de un Programa para la realización de una Auditoria Ambiental como Herramienta de Cumplimiento de la empresa VENRECICLA, donde se identificara los procesos productivos de la organización que recicla PET y operan bajo condiciones de riesgo provocando contaminación ambiental. </w:t>
      </w:r>
    </w:p>
    <w:p>
      <w:pPr>
        <w:pStyle w:val="style206"/>
        <w:spacing w:line="360" w:lineRule="auto"/>
        <w:ind w:firstLine="709" w:left="0" w:right="0"/>
        <w:jc w:val="both"/>
      </w:pPr>
      <w:r>
        <w:rPr/>
      </w:r>
    </w:p>
    <w:p>
      <w:pPr>
        <w:pStyle w:val="style206"/>
        <w:spacing w:line="360" w:lineRule="auto"/>
        <w:ind w:firstLine="709" w:left="0" w:right="0"/>
        <w:jc w:val="both"/>
      </w:pPr>
      <w:r>
        <w:rPr/>
        <w:t>La metodología utilizada para el desarrollo del mismo utilizó el diseño experimental enmarcado en la modalidad de proyecto especial, apoyado en una investigación de campo, de nivel descriptivo, con apoyo de fuentes bibliográficas y electrónicas, los instrumentos empleados para la recolección de datos fueron: la observación directa, la entrevista y el cuestionario.</w:t>
      </w:r>
    </w:p>
    <w:p>
      <w:pPr>
        <w:pStyle w:val="style206"/>
        <w:spacing w:line="360" w:lineRule="auto"/>
        <w:ind w:firstLine="709" w:left="0" w:right="0"/>
        <w:jc w:val="both"/>
      </w:pPr>
      <w:r>
        <w:rPr/>
      </w:r>
    </w:p>
    <w:p>
      <w:pPr>
        <w:pStyle w:val="style206"/>
        <w:spacing w:line="360" w:lineRule="auto"/>
        <w:ind w:firstLine="709" w:left="0" w:right="0"/>
        <w:jc w:val="both"/>
      </w:pPr>
      <w:r>
        <w:rPr/>
        <w:t>Valera concluyó que la empresa cuenta con normas y patrones para minimizar los riesgos de la contaminación ambiental, además con sistemas de identificación de las fallas de funcionamientos y evaluación de la eficiencia del proceso productivo.</w:t>
      </w:r>
    </w:p>
    <w:p>
      <w:pPr>
        <w:pStyle w:val="style206"/>
        <w:spacing w:line="360" w:lineRule="auto"/>
        <w:ind w:firstLine="709" w:left="0" w:right="0"/>
        <w:jc w:val="both"/>
      </w:pPr>
      <w:r>
        <w:rPr/>
      </w:r>
    </w:p>
    <w:p>
      <w:pPr>
        <w:pStyle w:val="style206"/>
        <w:spacing w:line="360" w:lineRule="auto"/>
        <w:ind w:firstLine="709" w:left="0" w:right="0"/>
        <w:jc w:val="both"/>
      </w:pPr>
      <w:r>
        <w:rPr/>
        <w:t>Su aporte con esta investigación es  proporcionar  las herramientas de Auditoría Ambiental que  deben ser aplicadas en las instituciones u empresas que trabajen con residuos sólidos o que mantenga en su stop cualquier tipo de residuo  y que estos contravengan las condiciones laborales y productivas de las empresas u organizaciones, además de  generar daños a la comunidad que hace vida en ellas y sus alrededores  como al ambiente.</w:t>
      </w:r>
    </w:p>
    <w:p>
      <w:pPr>
        <w:pStyle w:val="style206"/>
        <w:spacing w:line="360" w:lineRule="auto"/>
        <w:ind w:firstLine="709" w:left="0" w:right="0"/>
        <w:jc w:val="both"/>
      </w:pPr>
      <w:r>
        <w:rPr/>
      </w:r>
    </w:p>
    <w:p>
      <w:pPr>
        <w:pStyle w:val="style0"/>
      </w:pPr>
      <w:r>
        <w:rPr>
          <w:rFonts w:ascii="Arial" w:cs="Arial" w:hAnsi="Arial"/>
          <w:b/>
          <w:sz w:val="24"/>
          <w:szCs w:val="24"/>
        </w:rPr>
        <w:t>Bases Teóricas</w:t>
      </w:r>
    </w:p>
    <w:p>
      <w:pPr>
        <w:pStyle w:val="style206"/>
        <w:spacing w:line="360" w:lineRule="auto"/>
        <w:ind w:firstLine="709" w:left="0" w:right="0"/>
        <w:jc w:val="both"/>
      </w:pPr>
      <w:r>
        <w:rPr/>
      </w:r>
    </w:p>
    <w:p>
      <w:pPr>
        <w:pStyle w:val="style0"/>
        <w:autoSpaceDE w:val="false"/>
        <w:spacing w:after="0" w:before="0" w:line="360" w:lineRule="auto"/>
        <w:jc w:val="both"/>
      </w:pPr>
      <w:r>
        <w:rPr/>
        <w:tab/>
      </w:r>
      <w:r>
        <w:rPr>
          <w:rFonts w:ascii="Arial" w:cs="Arial" w:hAnsi="Arial"/>
          <w:sz w:val="24"/>
          <w:szCs w:val="24"/>
        </w:rPr>
        <w:t>Para la ejecución de la presente investigación, se hizo necesario establecer los aspectos conceptuales  que lo sustenta  y determina la orientación teórica de la investigación, así como  el desarrollo de las bases teóricas.  Al respecto Arias (1999), señala que la bases teóricas:</w:t>
      </w:r>
    </w:p>
    <w:p>
      <w:pPr>
        <w:pStyle w:val="style0"/>
        <w:autoSpaceDE w:val="false"/>
        <w:spacing w:after="0" w:before="0" w:line="360" w:lineRule="auto"/>
        <w:jc w:val="both"/>
      </w:pPr>
      <w:r>
        <w:rPr>
          <w:rFonts w:ascii="Arial" w:cs="Arial" w:hAnsi="Arial"/>
          <w:sz w:val="24"/>
          <w:szCs w:val="24"/>
        </w:rPr>
      </w:r>
    </w:p>
    <w:p>
      <w:pPr>
        <w:pStyle w:val="style0"/>
        <w:autoSpaceDE w:val="false"/>
        <w:spacing w:after="0" w:before="0" w:line="240" w:lineRule="auto"/>
        <w:ind w:hanging="0" w:left="1134" w:right="1134"/>
        <w:jc w:val="both"/>
      </w:pPr>
      <w:r>
        <w:rPr>
          <w:rFonts w:ascii="Arial" w:cs="Arial" w:hAnsi="Arial"/>
          <w:sz w:val="24"/>
          <w:szCs w:val="24"/>
        </w:rPr>
        <w:t>Comprenden un conjunto de conceptos y proposiciones que constituyen un punto de vista o enfoque determinado, dirigido a explicar el fenómeno o problema planteado. Esta sección puede dividirse en función de los tópicos que integran la temática tratada o de las variables que serán analizadas. (p.14)</w:t>
      </w:r>
    </w:p>
    <w:p>
      <w:pPr>
        <w:pStyle w:val="style206"/>
        <w:spacing w:line="360" w:lineRule="auto"/>
        <w:ind w:firstLine="709" w:left="0" w:right="0"/>
        <w:jc w:val="both"/>
      </w:pPr>
      <w:r>
        <w:rPr>
          <w:rFonts w:ascii="Times New Roman" w:cs="Times New Roman" w:hAnsi="Times New Roman"/>
        </w:rPr>
        <w:t>.</w:t>
      </w:r>
      <w:r>
        <w:rPr/>
        <w:t xml:space="preserve"> </w:t>
      </w:r>
    </w:p>
    <w:p>
      <w:pPr>
        <w:pStyle w:val="style206"/>
        <w:spacing w:line="360" w:lineRule="auto"/>
        <w:ind w:firstLine="709" w:left="0" w:right="0"/>
        <w:jc w:val="both"/>
      </w:pPr>
      <w:r>
        <w:rPr/>
        <w:t>Considerando en primer lugar los contenidos en la operacionalización de la variable tanto su dimensión como su indicador, así como también los  elementos relacionados con la Administración, los principios y  fases de la administración, planeación estratégica, ciencias ambientales entre otros y todo lo referente a las estrategias financieras – operacionales para la   reutilización o reciclaje de bienes nacionales del Instituto Universitario de Tecnología de Yaracuy que estén en estado de Obsolescencia, corrosión y deterioro y estos se pueda transformar   en  insumos para la producción automotriz y construcción civil.</w:t>
      </w:r>
    </w:p>
    <w:p>
      <w:pPr>
        <w:pStyle w:val="style206"/>
        <w:spacing w:line="360" w:lineRule="auto"/>
        <w:ind w:firstLine="709" w:left="0" w:right="0"/>
        <w:jc w:val="both"/>
      </w:pPr>
      <w:r>
        <w:rPr/>
      </w:r>
    </w:p>
    <w:p>
      <w:pPr>
        <w:pStyle w:val="style206"/>
        <w:spacing w:line="360" w:lineRule="auto"/>
        <w:ind w:firstLine="709" w:left="0" w:right="0"/>
        <w:jc w:val="both"/>
      </w:pPr>
      <w:r>
        <w:rPr/>
        <w:t>En primer término conceptual a definir es Bienes Público según DRVFLOB (2012:4) en su artículo 5   considera estos bienes de la siguiente forma:</w:t>
      </w:r>
    </w:p>
    <w:p>
      <w:pPr>
        <w:pStyle w:val="style206"/>
        <w:ind w:hanging="0" w:left="1134" w:right="1134"/>
        <w:jc w:val="both"/>
      </w:pPr>
      <w:r>
        <w:rPr/>
        <w:t xml:space="preserve">1. Los bienes muebles e inmuebles, títulos valor, acciones, cuotas o participaciones en sociedades y demás derechos, de dominio público o de dominio privado, que hayan adquirido o adquieran los órganos y entes que conforman el Sector Público, independientemente del nivel de gobierno al que pertenezcan; </w:t>
      </w:r>
    </w:p>
    <w:p>
      <w:pPr>
        <w:pStyle w:val="style206"/>
        <w:ind w:hanging="0" w:left="1134" w:right="1134"/>
        <w:jc w:val="both"/>
      </w:pPr>
      <w:r>
        <w:rPr/>
        <w:t xml:space="preserve">2. Los bienes, mercancías o efectos, que se encuentran en el territorio de la República y que no tienen dueño; </w:t>
      </w:r>
    </w:p>
    <w:p>
      <w:pPr>
        <w:pStyle w:val="style206"/>
        <w:ind w:hanging="0" w:left="1134" w:right="1134"/>
        <w:jc w:val="both"/>
      </w:pPr>
      <w:r>
        <w:rPr/>
        <w:t xml:space="preserve">3. Los bienes muebles e inmuebles, títulos valore, acciones, cuotas o participaciones en sociedades y demás derechos provenientes de las herencias yacentes; </w:t>
      </w:r>
    </w:p>
    <w:p>
      <w:pPr>
        <w:pStyle w:val="style206"/>
        <w:ind w:hanging="0" w:left="1134" w:right="1134"/>
        <w:jc w:val="both"/>
      </w:pPr>
      <w:r>
        <w:rPr/>
        <w:t xml:space="preserve">4. Las mercancías que se declaren abandonadas; </w:t>
      </w:r>
    </w:p>
    <w:p>
      <w:pPr>
        <w:pStyle w:val="style206"/>
        <w:ind w:hanging="0" w:left="1134" w:right="1134"/>
        <w:jc w:val="both"/>
      </w:pPr>
      <w:r>
        <w:rPr/>
        <w:t>5. Los bienes, mercancías o efectos que sean objeto de una medida de comiso firme mediante acto administrativo o sentencia definitiva, y los que mediante sentencia firme o procedimiento de Ley sean puestos a la orden del Tesoro Nacional.</w:t>
      </w:r>
    </w:p>
    <w:p>
      <w:pPr>
        <w:pStyle w:val="style206"/>
        <w:spacing w:line="360" w:lineRule="auto"/>
        <w:ind w:hanging="0" w:left="1134" w:right="1134"/>
        <w:jc w:val="both"/>
      </w:pPr>
      <w:r>
        <w:rPr/>
      </w:r>
    </w:p>
    <w:p>
      <w:pPr>
        <w:pStyle w:val="style206"/>
        <w:spacing w:line="360" w:lineRule="auto"/>
        <w:jc w:val="both"/>
      </w:pPr>
      <w:r>
        <w:rPr/>
        <w:tab/>
        <w:t xml:space="preserve">Es importante resaltar que se considera en primer lugar  este término debido a que la investigación está enmarcada a dar respuesta a una problemática con respecto a  los bienes públicos en su efecto a los bienes nacionales del Instituto Universitario de Tecnología de Yaracuy. </w:t>
      </w:r>
    </w:p>
    <w:p>
      <w:pPr>
        <w:pStyle w:val="style206"/>
        <w:spacing w:line="360" w:lineRule="auto"/>
        <w:jc w:val="both"/>
      </w:pPr>
      <w:r>
        <w:rPr/>
      </w:r>
    </w:p>
    <w:p>
      <w:pPr>
        <w:pStyle w:val="style206"/>
        <w:spacing w:line="360" w:lineRule="auto"/>
        <w:jc w:val="both"/>
      </w:pPr>
      <w:r>
        <w:rPr/>
        <w:tab/>
        <w:t>Por consiguiente la misma ley (LOB) en su artículo 5 expresa que:</w:t>
      </w:r>
    </w:p>
    <w:p>
      <w:pPr>
        <w:pStyle w:val="style206"/>
        <w:tabs>
          <w:tab w:leader="none" w:pos="8222" w:val="left"/>
        </w:tabs>
        <w:ind w:hanging="0" w:left="1134" w:right="1134"/>
        <w:jc w:val="both"/>
      </w:pPr>
      <w:r>
        <w:rPr/>
        <w:t>Son Bienes Nacionales, los bienes públicos, de dominio público o privado propiedad de La República, de los institutos autónomos y de las empresas del Estado, de las demás personas en que los entes antes mencionados tengan una participación superior al 50% del capital social y de las consideradas fundaciones del Estado</w:t>
      </w:r>
    </w:p>
    <w:p>
      <w:pPr>
        <w:pStyle w:val="style206"/>
        <w:spacing w:line="360" w:lineRule="auto"/>
        <w:ind w:firstLine="709" w:left="0" w:right="0"/>
        <w:jc w:val="both"/>
      </w:pPr>
      <w:r>
        <w:rPr/>
      </w:r>
    </w:p>
    <w:p>
      <w:pPr>
        <w:pStyle w:val="style206"/>
        <w:spacing w:line="360" w:lineRule="auto"/>
        <w:ind w:firstLine="709" w:left="0" w:right="0"/>
        <w:jc w:val="both"/>
      </w:pPr>
      <w:r>
        <w:rPr/>
        <w:t>En referencia a la definición anterior dada por la ley  es importante resaltar que  todos los bienes del Instituto Universitario se considera Bienes Nacionales por lo tanto también se denominan  bienes de dominio públicos.</w:t>
      </w:r>
    </w:p>
    <w:p>
      <w:pPr>
        <w:pStyle w:val="style206"/>
        <w:spacing w:line="360" w:lineRule="auto"/>
        <w:ind w:firstLine="709" w:left="0" w:right="0"/>
        <w:jc w:val="both"/>
      </w:pPr>
      <w:r>
        <w:rPr/>
      </w:r>
    </w:p>
    <w:p>
      <w:pPr>
        <w:pStyle w:val="style206"/>
        <w:spacing w:line="360" w:lineRule="auto"/>
        <w:ind w:firstLine="709" w:left="0" w:right="0"/>
        <w:jc w:val="both"/>
      </w:pPr>
      <w:r>
        <w:rPr/>
        <w:tab/>
        <w:t xml:space="preserve">De acuerdo a esto   la autora  pretende con la investigación hacer un análisis y estudio de las condiciones actuales de los bienes nacionales que estén etapa de obsolescencia, corrosión y deterioro,   para  luego clasificar en materiales  </w:t>
      </w:r>
      <w:r>
        <w:rPr>
          <w:b/>
        </w:rPr>
        <w:t>Reducible, Reutilizable y Reciclable</w:t>
      </w:r>
      <w:r>
        <w:rPr/>
        <w:t>, para ellos se debe contextualizar cada uno de los aspectos señalados y todo los referente a la problemática ambiental que han conllevado al deterioro o acumulación de estos bienes  en los espacios físico de cualquier ente u organismo público.</w:t>
      </w:r>
    </w:p>
    <w:p>
      <w:pPr>
        <w:pStyle w:val="style206"/>
        <w:spacing w:line="360" w:lineRule="auto"/>
        <w:jc w:val="both"/>
      </w:pPr>
      <w:r>
        <w:rPr/>
      </w:r>
    </w:p>
    <w:p>
      <w:pPr>
        <w:pStyle w:val="style206"/>
        <w:spacing w:line="360" w:lineRule="auto"/>
        <w:jc w:val="both"/>
      </w:pPr>
      <w:r>
        <w:rPr>
          <w:rFonts w:eastAsia="Arial"/>
        </w:rPr>
        <w:t xml:space="preserve">  </w:t>
      </w:r>
      <w:r>
        <w:rPr/>
        <w:tab/>
        <w:t xml:space="preserve">Ahora bien se  iniciara con la  definición de </w:t>
      </w:r>
      <w:r>
        <w:rPr>
          <w:b/>
        </w:rPr>
        <w:t>Ciencia Ambientalista</w:t>
      </w:r>
      <w:r>
        <w:rPr/>
        <w:t xml:space="preserve"> para luego abordar los aspectos anteriormente citado. </w:t>
      </w:r>
    </w:p>
    <w:p>
      <w:pPr>
        <w:pStyle w:val="style206"/>
        <w:spacing w:line="360" w:lineRule="auto"/>
        <w:ind w:firstLine="709" w:left="0" w:right="0"/>
        <w:jc w:val="both"/>
      </w:pPr>
      <w:r>
        <w:rPr/>
      </w:r>
    </w:p>
    <w:p>
      <w:pPr>
        <w:pStyle w:val="style206"/>
        <w:spacing w:line="360" w:lineRule="auto"/>
        <w:ind w:firstLine="709" w:left="0" w:right="0"/>
        <w:jc w:val="both"/>
      </w:pPr>
      <w:r>
        <w:rPr/>
        <w:t>Ciencia ambientalista busca entender de manera interdisciplinaria, el funcionamiento del ambiente, las diversas formas en que lo afectamos y las estrategias que podemos implementar para enfrentar tales efectos</w:t>
      </w:r>
    </w:p>
    <w:p>
      <w:pPr>
        <w:pStyle w:val="style206"/>
        <w:spacing w:line="360" w:lineRule="auto"/>
        <w:ind w:firstLine="709" w:left="0" w:right="0"/>
        <w:jc w:val="both"/>
      </w:pPr>
      <w:r>
        <w:rPr/>
      </w:r>
    </w:p>
    <w:p>
      <w:pPr>
        <w:pStyle w:val="style206"/>
        <w:spacing w:line="360" w:lineRule="auto"/>
        <w:ind w:firstLine="709" w:left="0" w:right="0"/>
        <w:jc w:val="both"/>
      </w:pPr>
      <w:r>
        <w:rPr/>
        <w:t xml:space="preserve">De este modo  la ciencia ambiental se define según </w:t>
      </w:r>
      <w:r>
        <w:rPr>
          <w:color w:val="000000"/>
          <w:shd w:fill="FFFFFF" w:val="clear"/>
        </w:rPr>
        <w:t>Giannuzzo (‎2010</w:t>
      </w:r>
      <w:r>
        <w:rPr/>
        <w:t xml:space="preserve">) como una ciencia holista, por su marco referencial macro abarcador, integrador, multifacético, pero también, sintética, por articular las síntesis conceptuales y metodológicas de las distintas disciplinas que entienden, en los diversos aspectos, las problemáticas en sus aspectos micros o particulares. </w:t>
      </w:r>
    </w:p>
    <w:p>
      <w:pPr>
        <w:pStyle w:val="style206"/>
        <w:spacing w:line="360" w:lineRule="auto"/>
        <w:jc w:val="both"/>
      </w:pPr>
      <w:r>
        <w:rPr/>
        <w:tab/>
        <w:t>Con respecto a la definición se extrae que la ciencia ambientalista permite analizar las problemáticas ambientales de manera particular según lo que se pretenda estudiar  y permite ser estudiado desde diferente punto de vista ya que el sistema  ambiental es complejo y variante.</w:t>
      </w:r>
    </w:p>
    <w:p>
      <w:pPr>
        <w:pStyle w:val="style206"/>
        <w:spacing w:line="360" w:lineRule="auto"/>
        <w:ind w:firstLine="709" w:left="0" w:right="0"/>
        <w:jc w:val="both"/>
      </w:pPr>
      <w:r>
        <w:rPr/>
      </w:r>
    </w:p>
    <w:p>
      <w:pPr>
        <w:pStyle w:val="style206"/>
        <w:spacing w:line="360" w:lineRule="auto"/>
        <w:ind w:firstLine="709" w:left="0" w:right="0"/>
        <w:jc w:val="both"/>
      </w:pPr>
      <w:r>
        <w:rPr/>
        <w:t>Se trata de una ciencia que basa sus objetivos de estudio en los efectos sobre los seres vivos como centro de las problemáticas ambientales.</w:t>
      </w:r>
    </w:p>
    <w:p>
      <w:pPr>
        <w:pStyle w:val="style206"/>
        <w:spacing w:line="360" w:lineRule="auto"/>
        <w:ind w:firstLine="709" w:left="0" w:right="0"/>
        <w:jc w:val="both"/>
      </w:pPr>
      <w:r>
        <w:rPr/>
      </w:r>
    </w:p>
    <w:p>
      <w:pPr>
        <w:pStyle w:val="style206"/>
        <w:spacing w:line="360" w:lineRule="auto"/>
        <w:ind w:firstLine="709" w:left="0" w:right="0"/>
        <w:jc w:val="both"/>
      </w:pPr>
      <w:r>
        <w:rPr>
          <w:rFonts w:eastAsia="Arial"/>
        </w:rPr>
        <w:t xml:space="preserve"> </w:t>
      </w:r>
      <w:r>
        <w:rPr/>
        <w:t xml:space="preserve">En consecuencia, es una ciencia que se perfila relacionando los conocimientos y metodologías inherentes: químicos, físicos, biológicos, toxicológicos, geográficos, climatológicos, ecosistémicos, propios de las llamadas ciencias exactas, físicas, naturales y de la tierra. Tales conocimientos son articulados, a su vez, a conocimientos y metodologías de las ciencias sociales y humanas, con el fin de gestionar tales problemáticas y en consecuencia de planificar, incluyendo las injerencias y derivaciones políticas, económicas y éticas, es decir, con el fin de prevenirlas, minimizarlas, remediarlas, normalizarlas. </w:t>
      </w:r>
    </w:p>
    <w:p>
      <w:pPr>
        <w:pStyle w:val="style206"/>
        <w:spacing w:line="360" w:lineRule="auto"/>
        <w:ind w:firstLine="709" w:left="0" w:right="0"/>
        <w:jc w:val="both"/>
      </w:pPr>
      <w:r>
        <w:rPr/>
      </w:r>
    </w:p>
    <w:p>
      <w:pPr>
        <w:pStyle w:val="style206"/>
        <w:spacing w:line="360" w:lineRule="auto"/>
        <w:ind w:firstLine="709" w:left="0" w:right="0"/>
        <w:jc w:val="both"/>
      </w:pPr>
      <w:r>
        <w:rPr/>
        <w:t>De este modo, el dominio de la ciencia ambiental es la intersección de las ciencias naturales, las sociales y las humanas, para el estudio, tratamiento, gestión y planificación de los problemas ambientales</w:t>
      </w:r>
    </w:p>
    <w:p>
      <w:pPr>
        <w:pStyle w:val="style206"/>
        <w:spacing w:line="360" w:lineRule="auto"/>
        <w:ind w:firstLine="709" w:left="0" w:right="0"/>
        <w:jc w:val="both"/>
      </w:pPr>
      <w:r>
        <w:rPr/>
      </w:r>
    </w:p>
    <w:p>
      <w:pPr>
        <w:pStyle w:val="style206"/>
        <w:spacing w:line="360" w:lineRule="auto"/>
        <w:ind w:firstLine="709" w:left="0" w:right="0"/>
        <w:jc w:val="both"/>
      </w:pPr>
      <w:r>
        <w:rPr/>
        <w:t>Esta ciencia permite unificar en un todo las ramas que se  alianza como un sistema encargado de organizar todos procesos que intervienen en el detrimento del ambiente.</w:t>
      </w:r>
    </w:p>
    <w:p>
      <w:pPr>
        <w:pStyle w:val="style206"/>
        <w:spacing w:line="360" w:lineRule="auto"/>
        <w:ind w:firstLine="709" w:left="0" w:right="0"/>
        <w:jc w:val="both"/>
      </w:pPr>
      <w:r>
        <w:rPr/>
      </w:r>
    </w:p>
    <w:p>
      <w:pPr>
        <w:pStyle w:val="style206"/>
        <w:spacing w:line="360" w:lineRule="auto"/>
        <w:ind w:firstLine="709" w:left="0" w:right="0"/>
        <w:jc w:val="both"/>
      </w:pPr>
      <w:r>
        <w:rPr/>
        <w:t xml:space="preserve">De igual forma se detallan los problemas ambientales como perturbaciones que se producen en el entorno ambiental </w:t>
      </w:r>
    </w:p>
    <w:p>
      <w:pPr>
        <w:pStyle w:val="style206"/>
        <w:spacing w:line="360" w:lineRule="auto"/>
        <w:ind w:firstLine="709" w:left="0" w:right="0"/>
        <w:jc w:val="both"/>
      </w:pPr>
      <w:r>
        <w:rPr/>
      </w:r>
    </w:p>
    <w:p>
      <w:pPr>
        <w:pStyle w:val="style206"/>
        <w:spacing w:line="360" w:lineRule="auto"/>
        <w:jc w:val="both"/>
      </w:pPr>
      <w:r>
        <w:rPr/>
        <w:tab/>
        <w:t>El ambiente definido en la I Conferencia de las Naciones Unidas sobre el Medioambiente Humano, realizada en Estocolmo, en (1972), como: “el conjunto de elementos físicos, químicos, biológicos y de factores sociales, capaces de causar efectos directos o indirectos, a corto o largo plazo, sobre los seres vivos y las actividades humanas”</w:t>
      </w:r>
    </w:p>
    <w:p>
      <w:pPr>
        <w:pStyle w:val="style206"/>
        <w:spacing w:line="360" w:lineRule="auto"/>
        <w:jc w:val="both"/>
      </w:pPr>
      <w:r>
        <w:rPr/>
      </w:r>
    </w:p>
    <w:p>
      <w:pPr>
        <w:pStyle w:val="style206"/>
        <w:spacing w:line="360" w:lineRule="auto"/>
        <w:jc w:val="both"/>
      </w:pPr>
      <w:r>
        <w:rPr/>
        <w:tab/>
        <w:t xml:space="preserve">También se puede definir al problema ambiental según Organización Mundial del Comercio (2010) el </w:t>
      </w:r>
      <w:r>
        <w:rPr>
          <w:shd w:fill="FFFFFF" w:val="clear"/>
        </w:rPr>
        <w:t xml:space="preserve"> producido por la humanidad a lo largo de la historia, el cual ha sido producido por todas las pequeñas acciones de cada integrante de la humanidad, acciones que a primera vista no  se nota correcta por qué no se le prestar atención a ellos los efectos no son inmediatos, pero todas estas numerosas acciones sumadas y a lo largo del tiempo causan graves y profundos daños al ambiente global (p. 31)</w:t>
      </w:r>
    </w:p>
    <w:p>
      <w:pPr>
        <w:pStyle w:val="style206"/>
        <w:spacing w:line="360" w:lineRule="auto"/>
        <w:jc w:val="both"/>
      </w:pPr>
      <w:r>
        <w:rPr>
          <w:shd w:fill="FFFFFF" w:val="clear"/>
        </w:rPr>
      </w:r>
    </w:p>
    <w:p>
      <w:pPr>
        <w:pStyle w:val="style206"/>
        <w:spacing w:line="360" w:lineRule="auto"/>
        <w:jc w:val="both"/>
      </w:pPr>
      <w:r>
        <w:rPr/>
        <w:tab/>
        <w:t>El problema ambiental afecta a nuestro entorno físico, atmosférico y económico.</w:t>
      </w:r>
    </w:p>
    <w:p>
      <w:pPr>
        <w:pStyle w:val="style206"/>
        <w:spacing w:line="360" w:lineRule="auto"/>
        <w:jc w:val="both"/>
      </w:pPr>
      <w:r>
        <w:rPr/>
      </w:r>
    </w:p>
    <w:p>
      <w:pPr>
        <w:pStyle w:val="style0"/>
        <w:shd w:fill="FFFFFF" w:val="clear"/>
        <w:spacing w:after="0" w:before="0" w:line="360" w:lineRule="auto"/>
        <w:jc w:val="both"/>
      </w:pPr>
      <w:r>
        <w:rPr>
          <w:rFonts w:ascii="Arial" w:cs="Arial" w:eastAsia="Times New Roman" w:hAnsi="Arial"/>
          <w:color w:val="000000"/>
          <w:sz w:val="24"/>
          <w:szCs w:val="24"/>
          <w:lang w:eastAsia="es-ES"/>
        </w:rPr>
        <w:tab/>
        <w:t>La causa principal del problema ambiental se ha producido por la mala relación que ha tenido el ser humano  con la naturaleza a lo largo de los siglos y que se ha desmejorado en los últimos años llegando a la crisis de la actualidad.</w:t>
      </w:r>
    </w:p>
    <w:p>
      <w:pPr>
        <w:pStyle w:val="style0"/>
        <w:shd w:fill="FFFFFF" w:val="clear"/>
        <w:spacing w:after="0" w:before="0" w:line="360" w:lineRule="auto"/>
        <w:jc w:val="both"/>
      </w:pPr>
      <w:r>
        <w:rPr>
          <w:rFonts w:ascii="Arial" w:cs="Arial" w:eastAsia="Times New Roman" w:hAnsi="Arial"/>
          <w:color w:val="000000"/>
          <w:sz w:val="24"/>
          <w:szCs w:val="24"/>
          <w:lang w:eastAsia="es-ES"/>
        </w:rPr>
      </w:r>
    </w:p>
    <w:p>
      <w:pPr>
        <w:pStyle w:val="style0"/>
        <w:shd w:fill="FFFFFF" w:val="clear"/>
        <w:spacing w:after="0" w:before="0" w:line="360" w:lineRule="auto"/>
        <w:jc w:val="both"/>
      </w:pPr>
      <w:r>
        <w:rPr>
          <w:rFonts w:ascii="Arial" w:cs="Arial" w:eastAsia="Times New Roman" w:hAnsi="Arial"/>
          <w:color w:val="000000"/>
          <w:sz w:val="24"/>
          <w:szCs w:val="24"/>
          <w:lang w:eastAsia="es-ES"/>
        </w:rPr>
        <w:tab/>
        <w:t>A pesar de todas las alternativas que muchos países han implementado en busca de  la sustentabilidad  de los recursos que el planeta y la naturaleza brindan, así como la manera de salvar el planeta del calentamiento global por ser  un acto de suma importancia  para la sociedad y para el mundo.</w:t>
      </w:r>
    </w:p>
    <w:p>
      <w:pPr>
        <w:pStyle w:val="style0"/>
        <w:shd w:fill="FFFFFF" w:val="clear"/>
        <w:spacing w:after="0" w:before="0" w:line="360" w:lineRule="auto"/>
        <w:jc w:val="both"/>
      </w:pPr>
      <w:r>
        <w:rPr>
          <w:rFonts w:ascii="Arial" w:cs="Arial" w:eastAsia="Times New Roman" w:hAnsi="Arial"/>
          <w:color w:val="000000"/>
          <w:sz w:val="24"/>
          <w:szCs w:val="24"/>
          <w:lang w:eastAsia="es-ES"/>
        </w:rPr>
        <w:tab/>
        <w:t xml:space="preserve"> Hoy día se ha tratado de promover la aplicación de la cinco R (reutilizar, reducir, reparar, reciclar y regular) otros han impulsado las tres eres (reciclar, reutilizar y reducir) esto con el fin de concientizar a la sociedad de que los recursos con los que contamos son escasos por lo que es labor de todos crear hábitos de responsabilidad y consumos. </w:t>
      </w:r>
    </w:p>
    <w:p>
      <w:pPr>
        <w:pStyle w:val="style0"/>
        <w:shd w:fill="FFFFFF" w:val="clear"/>
        <w:spacing w:after="0" w:before="0" w:line="360" w:lineRule="auto"/>
        <w:jc w:val="both"/>
      </w:pPr>
      <w:r>
        <w:rPr>
          <w:rFonts w:ascii="Arial" w:cs="Arial" w:eastAsia="Times New Roman" w:hAnsi="Arial"/>
          <w:color w:val="000000"/>
          <w:sz w:val="24"/>
          <w:szCs w:val="24"/>
          <w:lang w:eastAsia="es-ES"/>
        </w:rPr>
        <w:tab/>
      </w:r>
    </w:p>
    <w:p>
      <w:pPr>
        <w:pStyle w:val="style0"/>
        <w:shd w:fill="FFFFFF" w:val="clear"/>
        <w:spacing w:after="0" w:before="0" w:line="360" w:lineRule="auto"/>
        <w:jc w:val="both"/>
      </w:pPr>
      <w:r>
        <w:rPr>
          <w:rFonts w:ascii="Arial" w:cs="Arial" w:eastAsia="Times New Roman" w:hAnsi="Arial"/>
          <w:color w:val="000000"/>
          <w:sz w:val="24"/>
          <w:szCs w:val="24"/>
          <w:lang w:eastAsia="es-ES"/>
        </w:rPr>
        <w:tab/>
        <w:t xml:space="preserve">Lo concerniente al consumo ha sido responsabilidad  de muchas empresas que han implementado una serie de estrategias de ventas que nos han llevado  a convencernos de que es necesario comprar   cosas contantemente y que no tiene importancia si el producto es o no necesario o duradero lo importante es consumir.  </w:t>
      </w:r>
    </w:p>
    <w:p>
      <w:pPr>
        <w:pStyle w:val="style0"/>
        <w:shd w:fill="FFFFFF" w:val="clear"/>
        <w:spacing w:after="0" w:before="0" w:line="360" w:lineRule="auto"/>
        <w:jc w:val="both"/>
      </w:pPr>
      <w:r>
        <w:rPr>
          <w:rFonts w:ascii="Arial" w:cs="Arial" w:eastAsia="Times New Roman" w:hAnsi="Arial"/>
          <w:color w:val="000000"/>
          <w:sz w:val="24"/>
          <w:szCs w:val="24"/>
          <w:lang w:eastAsia="es-ES"/>
        </w:rPr>
      </w:r>
    </w:p>
    <w:p>
      <w:pPr>
        <w:pStyle w:val="style0"/>
        <w:shd w:fill="FFFFFF" w:val="clear"/>
        <w:spacing w:after="0" w:before="0" w:line="360" w:lineRule="auto"/>
        <w:jc w:val="both"/>
      </w:pPr>
      <w:r>
        <w:rPr>
          <w:rFonts w:ascii="Arial" w:cs="Arial" w:eastAsia="Times New Roman" w:hAnsi="Arial"/>
          <w:color w:val="000000"/>
          <w:sz w:val="24"/>
          <w:szCs w:val="24"/>
          <w:lang w:eastAsia="es-ES"/>
        </w:rPr>
        <w:tab/>
        <w:t xml:space="preserve"> El consumismo trae como consecuencia que las empresas manufacturen muchas mercancías  que, con los  métodos actuales, resultan una carga muy pesada para nuestro planeta en todos los aspectos, ya que estamos agotando nuestro recursos naturales y el medio ambiente sufre por la gran cantidad de residuos que se depositan en basureros municipales sin aprovechar el producto en su totalidad, es decir que  todas las  cargas de contaminación producida en el proceso manufactureros desequilibra el ecosistema, lo que ha traído como consecuencia el cambio climático.</w:t>
      </w:r>
    </w:p>
    <w:p>
      <w:pPr>
        <w:pStyle w:val="style0"/>
        <w:shd w:fill="FFFFFF" w:val="clear"/>
        <w:spacing w:after="0" w:before="0" w:line="360" w:lineRule="auto"/>
        <w:jc w:val="both"/>
      </w:pPr>
      <w:r>
        <w:rPr>
          <w:rFonts w:ascii="Arial" w:cs="Arial" w:eastAsia="Times New Roman" w:hAnsi="Arial"/>
          <w:color w:val="000000"/>
          <w:sz w:val="24"/>
          <w:szCs w:val="24"/>
          <w:lang w:eastAsia="es-ES"/>
        </w:rPr>
      </w:r>
    </w:p>
    <w:p>
      <w:pPr>
        <w:pStyle w:val="style0"/>
        <w:shd w:fill="FFFFFF" w:val="clear"/>
        <w:spacing w:after="0" w:before="0" w:line="360" w:lineRule="auto"/>
        <w:jc w:val="both"/>
      </w:pPr>
      <w:r>
        <w:rPr>
          <w:rFonts w:ascii="Arial" w:cs="Arial" w:eastAsia="Times New Roman" w:hAnsi="Arial"/>
          <w:color w:val="000000"/>
          <w:sz w:val="24"/>
          <w:szCs w:val="24"/>
          <w:lang w:eastAsia="es-ES"/>
        </w:rPr>
        <w:tab/>
        <w:t>Es por ello que se ha  impulsado o promovido  las   tres erres, la cual surgió como una propuesta de hábitos de consumo, impulsada por Greenpace (2006) regla para el cuidado del medio ambiente.</w:t>
      </w:r>
    </w:p>
    <w:p>
      <w:pPr>
        <w:pStyle w:val="style0"/>
        <w:shd w:fill="FFFFFF" w:val="clear"/>
        <w:spacing w:after="0" w:before="0" w:line="360" w:lineRule="auto"/>
        <w:jc w:val="both"/>
      </w:pPr>
      <w:r>
        <w:rPr>
          <w:rFonts w:ascii="Arial" w:cs="Arial" w:eastAsia="Times New Roman" w:hAnsi="Arial"/>
          <w:color w:val="000000"/>
          <w:sz w:val="24"/>
          <w:szCs w:val="24"/>
          <w:lang w:eastAsia="es-ES"/>
        </w:rPr>
      </w:r>
    </w:p>
    <w:p>
      <w:pPr>
        <w:pStyle w:val="style0"/>
        <w:shd w:fill="FFFFFF" w:val="clear"/>
        <w:spacing w:after="0" w:before="0" w:line="360" w:lineRule="auto"/>
        <w:jc w:val="both"/>
      </w:pPr>
      <w:r>
        <w:rPr>
          <w:rFonts w:ascii="Arial" w:cs="Arial" w:eastAsia="Times New Roman" w:hAnsi="Arial"/>
          <w:color w:val="000000"/>
          <w:sz w:val="24"/>
          <w:szCs w:val="24"/>
          <w:lang w:eastAsia="es-ES"/>
        </w:rPr>
        <w:tab/>
        <w:t>Por esta razón se debe reciclar  en el país y en el mundo entero promoviendo  a través  la gestión el reciclaje,  en particular en el Instituto Universitario de Tecnología de Yaracuy.</w:t>
      </w:r>
    </w:p>
    <w:p>
      <w:pPr>
        <w:pStyle w:val="style0"/>
        <w:shd w:fill="FFFFFF" w:val="clear"/>
        <w:spacing w:after="0" w:before="0" w:line="360" w:lineRule="auto"/>
        <w:jc w:val="both"/>
      </w:pPr>
      <w:r>
        <w:rPr>
          <w:rFonts w:ascii="Arial" w:cs="Arial" w:eastAsia="Times New Roman" w:hAnsi="Arial"/>
          <w:color w:val="000000"/>
          <w:sz w:val="24"/>
          <w:szCs w:val="24"/>
          <w:lang w:eastAsia="es-ES"/>
        </w:rPr>
      </w:r>
    </w:p>
    <w:p>
      <w:pPr>
        <w:pStyle w:val="style0"/>
        <w:autoSpaceDE w:val="false"/>
        <w:spacing w:after="0" w:before="0" w:line="360" w:lineRule="auto"/>
        <w:jc w:val="both"/>
      </w:pPr>
      <w:r>
        <w:rPr>
          <w:rFonts w:ascii="Arial" w:cs="Arial" w:eastAsia="Times New Roman" w:hAnsi="Arial"/>
          <w:color w:val="000000"/>
          <w:sz w:val="24"/>
          <w:szCs w:val="24"/>
          <w:lang w:eastAsia="es-ES"/>
        </w:rPr>
        <w:tab/>
        <w:t xml:space="preserve">Entendiendo por reciclaje según Márquez (2007:33) como </w:t>
      </w:r>
      <w:r>
        <w:rPr>
          <w:rFonts w:ascii="Arial" w:cs="Arial" w:hAnsi="Arial"/>
          <w:color w:val="000000"/>
          <w:sz w:val="24"/>
          <w:szCs w:val="24"/>
        </w:rPr>
        <w:t xml:space="preserve"> “un proceso simple o complejo que sufre un material o producto para ser reincorporado a un ciclo de producción o de consumo, ya sea éste el mismo en que fue generado u otro diferente”. </w:t>
      </w:r>
    </w:p>
    <w:p>
      <w:pPr>
        <w:pStyle w:val="style0"/>
        <w:autoSpaceDE w:val="false"/>
        <w:spacing w:after="0" w:before="0" w:line="360" w:lineRule="auto"/>
        <w:jc w:val="both"/>
      </w:pPr>
      <w:r>
        <w:rPr>
          <w:rFonts w:ascii="Arial" w:cs="Arial" w:hAnsi="Arial"/>
          <w:color w:val="000000"/>
          <w:sz w:val="24"/>
          <w:szCs w:val="24"/>
        </w:rPr>
      </w:r>
    </w:p>
    <w:p>
      <w:pPr>
        <w:pStyle w:val="style0"/>
        <w:autoSpaceDE w:val="false"/>
        <w:spacing w:after="0" w:before="0" w:line="360" w:lineRule="auto"/>
        <w:jc w:val="both"/>
      </w:pPr>
      <w:r>
        <w:rPr>
          <w:rFonts w:ascii="Arial" w:cs="Arial" w:hAnsi="Arial"/>
          <w:color w:val="000000"/>
          <w:sz w:val="24"/>
          <w:szCs w:val="24"/>
        </w:rPr>
        <w:tab/>
        <w:t xml:space="preserve"> Op cit (2007:33)  cita otro definición como “el estado final de un material que ha sufrido el proceso de reciclaje. Su conocimiento, uso, proceso y tratamiento, orienta a toda empresa y comunidad a la producción de materiales reciclados”.  </w:t>
      </w:r>
    </w:p>
    <w:p>
      <w:pPr>
        <w:pStyle w:val="style0"/>
        <w:autoSpaceDE w:val="false"/>
        <w:spacing w:after="0" w:before="0" w:line="360" w:lineRule="auto"/>
        <w:ind w:hanging="0" w:left="1134" w:right="1134"/>
        <w:jc w:val="both"/>
      </w:pPr>
      <w:r>
        <w:rPr>
          <w:rFonts w:ascii="Arial" w:cs="Arial" w:hAnsi="Arial"/>
          <w:color w:val="000000"/>
          <w:sz w:val="24"/>
          <w:szCs w:val="24"/>
        </w:rPr>
      </w:r>
    </w:p>
    <w:p>
      <w:pPr>
        <w:pStyle w:val="style0"/>
        <w:autoSpaceDE w:val="false"/>
        <w:spacing w:after="0" w:before="0" w:line="360" w:lineRule="auto"/>
        <w:jc w:val="both"/>
      </w:pPr>
      <w:r>
        <w:rPr>
          <w:rFonts w:ascii="Arial" w:cs="Arial" w:hAnsi="Arial"/>
          <w:color w:val="000000"/>
          <w:sz w:val="24"/>
          <w:szCs w:val="24"/>
        </w:rPr>
        <w:tab/>
        <w:t xml:space="preserve">A través de reciclaje se puede  fabricar nuevos productos utilizando materiales obtenidos de otros viejos. Si no es posible reducir el consumo de algo ni reutilizarlo intentar al menos que sea reciclable. Por ejemplo: </w:t>
      </w:r>
    </w:p>
    <w:p>
      <w:pPr>
        <w:pStyle w:val="style199"/>
        <w:numPr>
          <w:ilvl w:val="0"/>
          <w:numId w:val="34"/>
        </w:numPr>
        <w:autoSpaceDE w:val="false"/>
        <w:spacing w:after="0" w:before="0" w:line="360" w:lineRule="auto"/>
        <w:jc w:val="both"/>
      </w:pPr>
      <w:r>
        <w:rPr>
          <w:rFonts w:ascii="Arial" w:cs="Arial" w:hAnsi="Arial"/>
          <w:color w:val="000000"/>
          <w:sz w:val="24"/>
          <w:szCs w:val="24"/>
        </w:rPr>
        <w:t xml:space="preserve">El papel: separa los periódicos y revistas, cajas de cartón y depositarlo en los contenedores para su reciclaje. </w:t>
      </w:r>
    </w:p>
    <w:p>
      <w:pPr>
        <w:pStyle w:val="style199"/>
        <w:numPr>
          <w:ilvl w:val="0"/>
          <w:numId w:val="34"/>
        </w:numPr>
        <w:autoSpaceDE w:val="false"/>
        <w:spacing w:after="0" w:before="0" w:line="360" w:lineRule="auto"/>
        <w:jc w:val="both"/>
      </w:pPr>
      <w:r>
        <w:rPr>
          <w:rFonts w:ascii="Arial" w:cs="Arial" w:hAnsi="Arial"/>
          <w:color w:val="000000"/>
          <w:sz w:val="24"/>
          <w:szCs w:val="24"/>
        </w:rPr>
        <w:t xml:space="preserve">El vidrio: igual que con el papel con cualquier envase de vidrio. Los vasitos infantiles o los tarros de mermelada. </w:t>
      </w:r>
    </w:p>
    <w:p>
      <w:pPr>
        <w:pStyle w:val="style199"/>
        <w:numPr>
          <w:ilvl w:val="0"/>
          <w:numId w:val="34"/>
        </w:numPr>
        <w:autoSpaceDE w:val="false"/>
        <w:spacing w:after="0" w:before="0" w:line="360" w:lineRule="auto"/>
        <w:jc w:val="both"/>
      </w:pPr>
      <w:r>
        <w:rPr>
          <w:rFonts w:ascii="Arial" w:cs="Arial" w:hAnsi="Arial"/>
          <w:color w:val="000000"/>
          <w:sz w:val="24"/>
          <w:szCs w:val="24"/>
        </w:rPr>
        <w:t>Los envases de plástico, latas y envases tipo brick: bricks de leche, latas de refrescos, botellas de agua.</w:t>
      </w:r>
    </w:p>
    <w:p>
      <w:pPr>
        <w:pStyle w:val="style199"/>
        <w:autoSpaceDE w:val="false"/>
        <w:spacing w:after="0" w:before="0" w:line="360" w:lineRule="auto"/>
        <w:ind w:hanging="0" w:left="0" w:right="0"/>
        <w:jc w:val="both"/>
      </w:pPr>
      <w:r>
        <w:rPr>
          <w:rFonts w:ascii="Arial" w:cs="Arial" w:hAnsi="Arial"/>
          <w:color w:val="000000"/>
          <w:sz w:val="24"/>
          <w:szCs w:val="24"/>
        </w:rPr>
      </w:r>
    </w:p>
    <w:p>
      <w:pPr>
        <w:pStyle w:val="style199"/>
        <w:autoSpaceDE w:val="false"/>
        <w:spacing w:after="0" w:before="0" w:line="360" w:lineRule="auto"/>
        <w:ind w:hanging="0" w:left="0" w:right="0"/>
        <w:jc w:val="both"/>
      </w:pPr>
      <w:r>
        <w:rPr>
          <w:rFonts w:ascii="Arial" w:cs="Arial" w:hAnsi="Arial"/>
          <w:color w:val="000000"/>
          <w:sz w:val="24"/>
          <w:szCs w:val="24"/>
          <w:shd w:fill="FFFFFF" w:val="clear"/>
        </w:rPr>
        <w:tab/>
        <w:t xml:space="preserve">Sobre la base del </w:t>
      </w:r>
      <w:r>
        <w:rPr>
          <w:rFonts w:ascii="Arial" w:cs="Arial" w:hAnsi="Arial"/>
          <w:bCs/>
          <w:color w:val="000000"/>
          <w:sz w:val="24"/>
          <w:szCs w:val="24"/>
        </w:rPr>
        <w:t>reciclaje de los metales</w:t>
      </w:r>
      <w:r>
        <w:rPr>
          <w:rFonts w:ascii="Arial" w:cs="Arial" w:hAnsi="Arial"/>
          <w:color w:val="000000"/>
          <w:sz w:val="24"/>
          <w:szCs w:val="24"/>
        </w:rPr>
        <w:t xml:space="preserve"> en la página web de Recicla.com  (2002) coloca a la vista que  este </w:t>
      </w:r>
      <w:r>
        <w:rPr>
          <w:rFonts w:ascii="Arial" w:cs="Arial" w:hAnsi="Arial"/>
          <w:color w:val="000000"/>
          <w:sz w:val="24"/>
          <w:szCs w:val="24"/>
          <w:shd w:fill="FFFFFF" w:val="clear"/>
        </w:rPr>
        <w:t xml:space="preserve">contribuye significantemente a no empeorar la situación actual de contaminación.  También expone que al reciclar la chatarra se reduce la contaminación del agua, aire y los desechos de la minería en un 70%. </w:t>
      </w:r>
    </w:p>
    <w:p>
      <w:pPr>
        <w:pStyle w:val="style199"/>
        <w:autoSpaceDE w:val="false"/>
        <w:spacing w:after="0" w:before="0" w:line="360" w:lineRule="auto"/>
        <w:ind w:hanging="0" w:left="0" w:right="0"/>
        <w:jc w:val="both"/>
      </w:pPr>
      <w:r>
        <w:rPr>
          <w:rFonts w:ascii="Arial" w:cs="Arial" w:hAnsi="Arial"/>
          <w:color w:val="000000"/>
          <w:sz w:val="24"/>
          <w:szCs w:val="24"/>
          <w:shd w:fill="FFFFFF" w:val="clear"/>
        </w:rPr>
      </w:r>
    </w:p>
    <w:p>
      <w:pPr>
        <w:pStyle w:val="style199"/>
        <w:autoSpaceDE w:val="false"/>
        <w:spacing w:after="0" w:before="0" w:line="360" w:lineRule="auto"/>
        <w:ind w:hanging="0" w:left="0" w:right="0"/>
        <w:jc w:val="both"/>
      </w:pPr>
      <w:r>
        <w:rPr>
          <w:rFonts w:ascii="Arial" w:cs="Arial" w:hAnsi="Arial"/>
          <w:color w:val="000000"/>
          <w:sz w:val="24"/>
          <w:szCs w:val="24"/>
          <w:shd w:fill="FFFFFF" w:val="clear"/>
        </w:rPr>
        <w:tab/>
        <w:t>Al obtener aluminio reciclado reduce un 95% la contaminación, y contribuye a la menor utilización de energía eléctrica, en comparación con el procesado de materiales vírgenes. Reciclando una</w:t>
      </w:r>
      <w:r>
        <w:rPr>
          <w:rFonts w:ascii="Arial" w:cs="Arial" w:hAnsi="Arial"/>
          <w:color w:val="000000"/>
          <w:sz w:val="24"/>
          <w:szCs w:val="24"/>
        </w:rPr>
        <w:t xml:space="preserve"> </w:t>
      </w:r>
      <w:r>
        <w:rPr>
          <w:rFonts w:ascii="Arial" w:cs="Arial" w:hAnsi="Arial"/>
          <w:bCs/>
          <w:color w:val="000000"/>
          <w:sz w:val="24"/>
          <w:szCs w:val="24"/>
        </w:rPr>
        <w:t>lata</w:t>
      </w:r>
      <w:r>
        <w:rPr>
          <w:rFonts w:ascii="Arial" w:cs="Arial" w:hAnsi="Arial"/>
          <w:color w:val="000000"/>
          <w:sz w:val="24"/>
          <w:szCs w:val="24"/>
        </w:rPr>
        <w:t xml:space="preserve"> </w:t>
      </w:r>
      <w:r>
        <w:rPr>
          <w:rFonts w:ascii="Arial" w:cs="Arial" w:hAnsi="Arial"/>
          <w:color w:val="000000"/>
          <w:sz w:val="24"/>
          <w:szCs w:val="24"/>
          <w:shd w:fill="FFFFFF" w:val="clear"/>
        </w:rPr>
        <w:t>de refresco se ahorra la</w:t>
      </w:r>
      <w:r>
        <w:rPr>
          <w:rFonts w:ascii="Arial" w:cs="Arial" w:hAnsi="Arial"/>
          <w:color w:val="000000"/>
          <w:sz w:val="24"/>
          <w:szCs w:val="24"/>
        </w:rPr>
        <w:t xml:space="preserve"> </w:t>
      </w:r>
      <w:r>
        <w:rPr>
          <w:rFonts w:ascii="Arial" w:cs="Arial" w:hAnsi="Arial"/>
          <w:bCs/>
          <w:color w:val="000000"/>
          <w:sz w:val="24"/>
          <w:szCs w:val="24"/>
        </w:rPr>
        <w:t>energía</w:t>
      </w:r>
      <w:r>
        <w:rPr>
          <w:rFonts w:ascii="Arial" w:cs="Arial" w:hAnsi="Arial"/>
          <w:color w:val="000000"/>
          <w:sz w:val="24"/>
          <w:szCs w:val="24"/>
        </w:rPr>
        <w:t xml:space="preserve"> </w:t>
      </w:r>
      <w:r>
        <w:rPr>
          <w:rFonts w:ascii="Arial" w:cs="Arial" w:hAnsi="Arial"/>
          <w:color w:val="000000"/>
          <w:sz w:val="24"/>
          <w:szCs w:val="24"/>
          <w:shd w:fill="FFFFFF" w:val="clear"/>
        </w:rPr>
        <w:t>necesaria para mantener un televisor encendido durante 3 horas</w:t>
      </w:r>
    </w:p>
    <w:p>
      <w:pPr>
        <w:pStyle w:val="style199"/>
        <w:autoSpaceDE w:val="false"/>
        <w:spacing w:after="0" w:before="0" w:line="360" w:lineRule="auto"/>
        <w:ind w:hanging="0" w:left="0" w:right="0"/>
        <w:jc w:val="both"/>
      </w:pPr>
      <w:r>
        <w:rPr>
          <w:rFonts w:ascii="Arial" w:cs="Arial" w:hAnsi="Arial"/>
          <w:color w:val="000000"/>
          <w:sz w:val="24"/>
          <w:szCs w:val="24"/>
          <w:shd w:fill="FFFFFF" w:val="clear"/>
        </w:rPr>
      </w:r>
    </w:p>
    <w:p>
      <w:pPr>
        <w:pStyle w:val="style199"/>
        <w:autoSpaceDE w:val="false"/>
        <w:spacing w:after="0" w:before="0" w:line="360" w:lineRule="auto"/>
        <w:ind w:hanging="0" w:left="0" w:right="0"/>
        <w:jc w:val="both"/>
      </w:pPr>
      <w:r>
        <w:rPr>
          <w:rFonts w:ascii="Arial" w:cs="Arial" w:hAnsi="Arial"/>
          <w:color w:val="000000"/>
          <w:sz w:val="24"/>
          <w:szCs w:val="24"/>
          <w:shd w:fill="FFFFFF" w:val="clear"/>
        </w:rPr>
        <w:tab/>
        <w:t xml:space="preserve">En esta página web </w:t>
      </w:r>
      <w:r>
        <w:rPr>
          <w:rFonts w:ascii="Arial" w:cs="Arial" w:hAnsi="Arial"/>
          <w:color w:val="000000"/>
          <w:sz w:val="24"/>
          <w:szCs w:val="24"/>
        </w:rPr>
        <w:t xml:space="preserve">Recicla.com  (2002) </w:t>
      </w:r>
      <w:r>
        <w:rPr>
          <w:rFonts w:ascii="Arial" w:cs="Arial" w:hAnsi="Arial"/>
          <w:color w:val="000000"/>
          <w:sz w:val="24"/>
          <w:szCs w:val="24"/>
          <w:shd w:fill="FFFFFF" w:val="clear"/>
        </w:rPr>
        <w:t xml:space="preserve"> señala que la  gran ventaja del reciclaje del metal, en relación al papel, es que ilimitado el número de veces que se puede reciclar. Sin embargo presenta una desventaja, no se puede</w:t>
      </w:r>
      <w:r>
        <w:rPr>
          <w:rFonts w:ascii="Arial" w:cs="Arial" w:hAnsi="Arial"/>
          <w:color w:val="000000"/>
          <w:sz w:val="24"/>
          <w:szCs w:val="24"/>
        </w:rPr>
        <w:t xml:space="preserve"> </w:t>
      </w:r>
      <w:r>
        <w:rPr>
          <w:rFonts w:ascii="Arial" w:cs="Arial" w:hAnsi="Arial"/>
          <w:bCs/>
          <w:color w:val="000000"/>
          <w:sz w:val="24"/>
          <w:szCs w:val="24"/>
        </w:rPr>
        <w:t>reciclar en casa</w:t>
      </w:r>
      <w:r>
        <w:rPr>
          <w:rFonts w:ascii="Arial" w:cs="Arial" w:hAnsi="Arial"/>
          <w:color w:val="000000"/>
          <w:sz w:val="24"/>
          <w:szCs w:val="24"/>
          <w:shd w:fill="FFFFFF" w:val="clear"/>
        </w:rPr>
        <w:t xml:space="preserve">. </w:t>
      </w:r>
    </w:p>
    <w:p>
      <w:pPr>
        <w:pStyle w:val="style199"/>
        <w:autoSpaceDE w:val="false"/>
        <w:spacing w:after="0" w:before="0" w:line="360" w:lineRule="auto"/>
        <w:ind w:hanging="0" w:left="0" w:right="0"/>
        <w:jc w:val="both"/>
      </w:pPr>
      <w:r>
        <w:rPr>
          <w:rFonts w:ascii="Arial" w:cs="Arial" w:hAnsi="Arial"/>
          <w:color w:val="000000"/>
          <w:sz w:val="24"/>
          <w:szCs w:val="24"/>
          <w:shd w:fill="FFFFFF" w:val="clear"/>
        </w:rPr>
      </w:r>
    </w:p>
    <w:p>
      <w:pPr>
        <w:pStyle w:val="style199"/>
        <w:autoSpaceDE w:val="false"/>
        <w:spacing w:after="0" w:before="0" w:line="360" w:lineRule="auto"/>
        <w:ind w:hanging="0" w:left="0" w:right="0"/>
        <w:jc w:val="both"/>
      </w:pPr>
      <w:r>
        <w:rPr>
          <w:rFonts w:ascii="Arial" w:cs="Arial" w:hAnsi="Arial"/>
          <w:color w:val="000000"/>
          <w:sz w:val="24"/>
          <w:szCs w:val="24"/>
          <w:shd w:fill="FFFFFF" w:val="clear"/>
        </w:rPr>
        <w:tab/>
        <w:t xml:space="preserve">Especificando la causa del porque no se puede realizar en casa porque una vez  llegado a  la industria siderúrgica   se   corta en trozos, se le somete a la alta temperatura y se le da la nueva forma deseada ya sea en pieza para producción automotriz, en cabillas o en otro material metálico. </w:t>
      </w:r>
    </w:p>
    <w:p>
      <w:pPr>
        <w:pStyle w:val="style0"/>
        <w:shd w:fill="FFFFFF" w:val="clear"/>
        <w:spacing w:after="280" w:before="280" w:line="360" w:lineRule="auto"/>
        <w:jc w:val="both"/>
      </w:pPr>
      <w:r>
        <w:rPr>
          <w:rFonts w:ascii="Arial" w:cs="Arial" w:eastAsia="Times New Roman" w:hAnsi="Arial"/>
          <w:color w:val="000000"/>
          <w:sz w:val="24"/>
          <w:szCs w:val="24"/>
          <w:lang w:eastAsia="es-ES"/>
        </w:rPr>
        <w:tab/>
        <w:t>Como se concibe  en la página web demuestra que de los 784 millones de toneladas anuales producidas de acero en el mundo, cerca del 43% es reciclada proveniente de chatarra. Esto equivale al peso de 150 torres Eiffel o 1,2 millones de autos cada día.</w:t>
      </w:r>
    </w:p>
    <w:p>
      <w:pPr>
        <w:pStyle w:val="style0"/>
        <w:shd w:fill="FFFFFF" w:val="clear"/>
        <w:spacing w:after="280" w:before="280" w:line="360" w:lineRule="auto"/>
        <w:jc w:val="both"/>
      </w:pPr>
      <w:r>
        <w:rPr>
          <w:rFonts w:ascii="Arial" w:cs="Arial" w:eastAsia="Times New Roman" w:hAnsi="Arial"/>
          <w:color w:val="000000"/>
          <w:sz w:val="24"/>
          <w:szCs w:val="24"/>
          <w:lang w:eastAsia="es-ES"/>
        </w:rPr>
        <w:tab/>
        <w:t xml:space="preserve">Es indiscutible para ellos que en un año normal, la industria mundial del acero a través del reciclado, ahorra el equivalente a la energía requerida para 110 millones de hogares. Al mismo tiempo sostienen que el </w:t>
      </w:r>
      <w:r>
        <w:rPr>
          <w:rFonts w:ascii="Arial" w:cs="Arial" w:eastAsia="Times New Roman" w:hAnsi="Arial"/>
          <w:bCs/>
          <w:color w:val="000000"/>
          <w:sz w:val="24"/>
          <w:szCs w:val="24"/>
          <w:lang w:eastAsia="es-ES"/>
        </w:rPr>
        <w:t xml:space="preserve">acero </w:t>
      </w:r>
      <w:r>
        <w:rPr>
          <w:rFonts w:ascii="Arial" w:cs="Arial" w:eastAsia="Times New Roman" w:hAnsi="Arial"/>
          <w:color w:val="000000"/>
          <w:sz w:val="24"/>
          <w:szCs w:val="24"/>
          <w:lang w:eastAsia="es-ES"/>
        </w:rPr>
        <w:t xml:space="preserve">es </w:t>
      </w:r>
      <w:r>
        <w:rPr>
          <w:rFonts w:ascii="Arial" w:cs="Arial" w:eastAsia="Times New Roman" w:hAnsi="Arial"/>
          <w:bCs/>
          <w:color w:val="000000"/>
          <w:sz w:val="24"/>
          <w:szCs w:val="24"/>
          <w:lang w:eastAsia="es-ES"/>
        </w:rPr>
        <w:t>completamente reciclable</w:t>
      </w:r>
      <w:r>
        <w:rPr>
          <w:rFonts w:ascii="Arial" w:cs="Arial" w:eastAsia="Times New Roman" w:hAnsi="Arial"/>
          <w:color w:val="000000"/>
          <w:sz w:val="24"/>
          <w:szCs w:val="24"/>
          <w:lang w:eastAsia="es-ES"/>
        </w:rPr>
        <w:t> al final de la vida útil del producto y podría ser reciclado un número ilimitado de veces, sin perder calidad. También sustenta que un producto de acero puede reciclarse a pesar de su origen. Es el material más reciclado del mundo, siendo reciclado más que el aluminio, el plástico y el vidrio sumados.</w:t>
      </w:r>
    </w:p>
    <w:p>
      <w:pPr>
        <w:pStyle w:val="style199"/>
        <w:autoSpaceDE w:val="false"/>
        <w:spacing w:after="0" w:before="0" w:line="360" w:lineRule="auto"/>
        <w:ind w:hanging="0" w:left="0" w:right="0"/>
        <w:jc w:val="both"/>
      </w:pPr>
      <w:r>
        <w:rPr>
          <w:rFonts w:ascii="Arial" w:cs="Arial" w:hAnsi="Arial"/>
          <w:color w:val="000000"/>
          <w:sz w:val="24"/>
          <w:szCs w:val="24"/>
          <w:shd w:fill="FFFFFF" w:val="clear"/>
        </w:rPr>
        <w:tab/>
        <w:t>El autor expresa que e</w:t>
      </w:r>
      <w:r>
        <w:rPr>
          <w:rFonts w:ascii="Arial" w:cs="Arial" w:eastAsia="Times New Roman" w:hAnsi="Arial"/>
          <w:color w:val="000000"/>
          <w:sz w:val="24"/>
          <w:szCs w:val="24"/>
          <w:lang w:eastAsia="es-ES"/>
        </w:rPr>
        <w:t>xiste en todo el mundo una amplia infraestructura de chatarreros para reciclar acero desde hace ya 100 años. Esta infraestructura industrial, prepara todo tipo de chatarra para suministrarla a las industrias siderúrgicas y fundiciones, las cuales la funden, refinan y convierten en nuevo acero.</w:t>
      </w:r>
    </w:p>
    <w:p>
      <w:pPr>
        <w:pStyle w:val="style0"/>
        <w:shd w:fill="FFFFFF" w:val="clear"/>
        <w:spacing w:after="280" w:before="280" w:line="360" w:lineRule="auto"/>
        <w:jc w:val="both"/>
      </w:pPr>
      <w:r>
        <w:rPr>
          <w:rFonts w:ascii="Arial" w:cs="Arial" w:eastAsia="Times New Roman" w:hAnsi="Arial"/>
          <w:color w:val="000000"/>
          <w:sz w:val="24"/>
          <w:szCs w:val="24"/>
          <w:lang w:eastAsia="es-ES"/>
        </w:rPr>
        <w:tab/>
        <w:t xml:space="preserve">Con respecto a las principales fuentes de </w:t>
      </w:r>
      <w:r>
        <w:rPr>
          <w:rFonts w:ascii="Arial" w:cs="Arial" w:eastAsia="Times New Roman" w:hAnsi="Arial"/>
          <w:bCs/>
          <w:color w:val="000000"/>
          <w:sz w:val="24"/>
          <w:szCs w:val="24"/>
          <w:lang w:eastAsia="es-ES"/>
        </w:rPr>
        <w:t>chatarra</w:t>
      </w:r>
      <w:r>
        <w:rPr>
          <w:rFonts w:ascii="Arial" w:cs="Arial" w:eastAsia="Times New Roman" w:hAnsi="Arial"/>
          <w:color w:val="000000"/>
          <w:sz w:val="24"/>
          <w:szCs w:val="24"/>
          <w:lang w:eastAsia="es-ES"/>
        </w:rPr>
        <w:t xml:space="preserve"> de acero el autor refrenda, que la mayoría provienen de obsolescencia de bienes de consumos, como automóviles viejos, electrodomésticos, latas y tarros de acero, construcciones y estructuras antiguas, sin olvidar también, la chatarra proveniente de mermas industriales. La tasa de reciclaje, definida como la relación de la cantidad de chatarra efectivamente reciclada y la cantidad de chatarra producida, es de alrededor de un 80%, en una base global.</w:t>
      </w:r>
    </w:p>
    <w:p>
      <w:pPr>
        <w:pStyle w:val="style0"/>
        <w:shd w:fill="FFFFFF" w:val="clear"/>
        <w:spacing w:after="280" w:before="280" w:line="360" w:lineRule="auto"/>
        <w:jc w:val="both"/>
      </w:pPr>
      <w:r>
        <w:rPr>
          <w:rFonts w:ascii="Arial" w:cs="Arial" w:eastAsia="Times New Roman" w:hAnsi="Arial"/>
          <w:color w:val="000000"/>
          <w:sz w:val="24"/>
          <w:szCs w:val="24"/>
          <w:lang w:eastAsia="es-ES"/>
        </w:rPr>
        <w:tab/>
        <w:t>Por otro lado  el  acero se degrada muy poco en los procesos de reciclados, por eso puede reciclarse un gran número de veces, siendo la única limitación el rendimiento del reciclado, el que está determinado por dos factores:</w:t>
      </w:r>
    </w:p>
    <w:p>
      <w:pPr>
        <w:pStyle w:val="style0"/>
        <w:numPr>
          <w:ilvl w:val="0"/>
          <w:numId w:val="17"/>
        </w:numPr>
        <w:shd w:fill="FFFFFF" w:val="clear"/>
        <w:spacing w:after="0" w:before="0" w:line="360" w:lineRule="auto"/>
      </w:pPr>
      <w:r>
        <w:rPr>
          <w:rFonts w:ascii="Arial" w:cs="Arial" w:eastAsia="Times New Roman" w:hAnsi="Arial"/>
          <w:color w:val="000000"/>
          <w:sz w:val="24"/>
          <w:szCs w:val="24"/>
          <w:lang w:eastAsia="es-ES"/>
        </w:rPr>
        <w:t>La efectividad del proceso de recuperación de los usos previos.</w:t>
      </w:r>
    </w:p>
    <w:p>
      <w:pPr>
        <w:pStyle w:val="style0"/>
        <w:numPr>
          <w:ilvl w:val="0"/>
          <w:numId w:val="17"/>
        </w:numPr>
        <w:shd w:fill="FFFFFF" w:val="clear"/>
        <w:spacing w:after="280" w:before="0" w:line="360" w:lineRule="auto"/>
      </w:pPr>
      <w:r>
        <w:rPr>
          <w:rFonts w:ascii="Arial" w:cs="Arial" w:eastAsia="Times New Roman" w:hAnsi="Arial"/>
          <w:color w:val="000000"/>
          <w:sz w:val="24"/>
          <w:szCs w:val="24"/>
          <w:lang w:eastAsia="es-ES"/>
        </w:rPr>
        <w:t>La efectividad del sistema de recolección y selección.</w:t>
      </w:r>
    </w:p>
    <w:p>
      <w:pPr>
        <w:pStyle w:val="style0"/>
        <w:shd w:fill="FFFFFF" w:val="clear"/>
        <w:spacing w:after="280" w:before="280" w:line="360" w:lineRule="auto"/>
        <w:jc w:val="both"/>
      </w:pPr>
      <w:r>
        <w:rPr>
          <w:rFonts w:ascii="Arial" w:cs="Arial" w:eastAsia="Times New Roman" w:hAnsi="Arial"/>
          <w:color w:val="000000"/>
          <w:sz w:val="24"/>
          <w:szCs w:val="24"/>
          <w:lang w:eastAsia="es-ES"/>
        </w:rPr>
        <w:tab/>
        <w:t>Los productos de acero tienen una larga duración, es por ello que es un material con una alta demanda, la que no puede ser satisfecha en su totalidad mediante el proceso de reciclaje, es por eso se hace necesario producir nuevo acero como suplemento, a partir de las fuentes primarias de mineral de hierro</w:t>
      </w:r>
    </w:p>
    <w:p>
      <w:pPr>
        <w:pStyle w:val="style0"/>
        <w:shd w:fill="FFFFFF" w:val="clear"/>
        <w:spacing w:after="280" w:before="280" w:line="360" w:lineRule="auto"/>
        <w:jc w:val="both"/>
      </w:pPr>
      <w:r>
        <w:rPr>
          <w:rFonts w:ascii="Arial" w:cs="Arial" w:eastAsia="Times New Roman" w:hAnsi="Arial"/>
          <w:color w:val="000000"/>
          <w:sz w:val="24"/>
          <w:szCs w:val="24"/>
          <w:lang w:eastAsia="es-ES"/>
        </w:rPr>
        <w:t>En relación al proceso del reciclado la pagina web Recicla.com (2002): detalla los pasos  a continuación</w:t>
      </w:r>
    </w:p>
    <w:p>
      <w:pPr>
        <w:pStyle w:val="style0"/>
        <w:numPr>
          <w:ilvl w:val="0"/>
          <w:numId w:val="9"/>
        </w:numPr>
        <w:shd w:fill="FFFFFF" w:val="clear"/>
        <w:spacing w:after="0" w:before="0" w:line="360" w:lineRule="auto"/>
        <w:jc w:val="both"/>
      </w:pPr>
      <w:r>
        <w:rPr>
          <w:rFonts w:ascii="Arial" w:cs="Arial" w:eastAsia="Times New Roman" w:hAnsi="Arial"/>
          <w:color w:val="000000"/>
          <w:sz w:val="24"/>
          <w:szCs w:val="24"/>
          <w:lang w:eastAsia="es-ES"/>
        </w:rPr>
        <w:t>Se recogen y clasifican los diferentes metales.</w:t>
      </w:r>
    </w:p>
    <w:p>
      <w:pPr>
        <w:pStyle w:val="style0"/>
        <w:numPr>
          <w:ilvl w:val="0"/>
          <w:numId w:val="9"/>
        </w:numPr>
        <w:shd w:fill="FFFFFF" w:val="clear"/>
        <w:spacing w:after="200" w:before="0" w:line="360" w:lineRule="auto"/>
        <w:jc w:val="both"/>
      </w:pPr>
      <w:r>
        <w:rPr>
          <w:rFonts w:ascii="Arial" w:cs="Arial" w:eastAsia="Times New Roman" w:hAnsi="Arial"/>
          <w:color w:val="000000"/>
          <w:sz w:val="24"/>
          <w:szCs w:val="24"/>
          <w:lang w:eastAsia="es-ES"/>
        </w:rPr>
        <w:t>Las latas de aluminio y acero se comprimen para llevarlas a la planta de reciclado.</w:t>
      </w:r>
    </w:p>
    <w:p>
      <w:pPr>
        <w:pStyle w:val="style0"/>
        <w:numPr>
          <w:ilvl w:val="0"/>
          <w:numId w:val="9"/>
        </w:numPr>
        <w:shd w:fill="FFFFFF" w:val="clear"/>
        <w:spacing w:after="200" w:before="0" w:line="360" w:lineRule="auto"/>
        <w:jc w:val="both"/>
      </w:pPr>
      <w:r>
        <w:rPr>
          <w:rFonts w:ascii="Arial" w:cs="Arial" w:eastAsia="Times New Roman" w:hAnsi="Arial"/>
          <w:color w:val="000000"/>
          <w:sz w:val="24"/>
          <w:szCs w:val="24"/>
          <w:lang w:eastAsia="es-ES"/>
        </w:rPr>
        <w:t>Las latas comprimidas se meten en una trituradora para desmenuzarlas.</w:t>
      </w:r>
    </w:p>
    <w:p>
      <w:pPr>
        <w:pStyle w:val="style0"/>
        <w:numPr>
          <w:ilvl w:val="0"/>
          <w:numId w:val="9"/>
        </w:numPr>
        <w:shd w:fill="FFFFFF" w:val="clear"/>
        <w:spacing w:after="200" w:before="0" w:line="360" w:lineRule="auto"/>
        <w:jc w:val="both"/>
      </w:pPr>
      <w:r>
        <w:rPr>
          <w:rFonts w:ascii="Arial" w:cs="Arial" w:eastAsia="Times New Roman" w:hAnsi="Arial"/>
          <w:color w:val="000000"/>
          <w:sz w:val="24"/>
          <w:szCs w:val="24"/>
          <w:lang w:eastAsia="es-ES"/>
        </w:rPr>
        <w:t>Un enorme imán que se sitúa sobre el metal, separa el acero del aluminio. Los dos metales tendrán una aventura diferente en su proceso de reciclaje.</w:t>
      </w:r>
    </w:p>
    <w:p>
      <w:pPr>
        <w:pStyle w:val="style0"/>
        <w:numPr>
          <w:ilvl w:val="0"/>
          <w:numId w:val="9"/>
        </w:numPr>
        <w:shd w:fill="FFFFFF" w:val="clear"/>
        <w:spacing w:after="200" w:before="0" w:line="360" w:lineRule="auto"/>
        <w:jc w:val="both"/>
      </w:pPr>
      <w:r>
        <w:rPr>
          <w:rFonts w:ascii="Arial" w:cs="Arial" w:eastAsia="Times New Roman" w:hAnsi="Arial"/>
          <w:color w:val="000000"/>
          <w:sz w:val="24"/>
          <w:szCs w:val="24"/>
          <w:lang w:eastAsia="es-ES"/>
        </w:rPr>
        <w:t>El aluminio se funde y se moldea en lingotes de 25 toneladas.</w:t>
      </w:r>
    </w:p>
    <w:p>
      <w:pPr>
        <w:pStyle w:val="style0"/>
        <w:numPr>
          <w:ilvl w:val="0"/>
          <w:numId w:val="9"/>
        </w:numPr>
        <w:shd w:fill="FFFFFF" w:val="clear"/>
        <w:spacing w:after="200" w:before="0" w:line="360" w:lineRule="auto"/>
        <w:jc w:val="both"/>
      </w:pPr>
      <w:r>
        <w:rPr>
          <w:rFonts w:ascii="Arial" w:cs="Arial" w:eastAsia="Times New Roman" w:hAnsi="Arial"/>
          <w:color w:val="000000"/>
          <w:sz w:val="24"/>
          <w:szCs w:val="24"/>
          <w:lang w:eastAsia="es-ES"/>
        </w:rPr>
        <w:t>Los lingotes de aluminio se funden y se pasan por rodillos para formar láminas finas, haciendo así latas nuevas.</w:t>
      </w:r>
    </w:p>
    <w:p>
      <w:pPr>
        <w:pStyle w:val="style0"/>
        <w:numPr>
          <w:ilvl w:val="0"/>
          <w:numId w:val="9"/>
        </w:numPr>
        <w:shd w:fill="FFFFFF" w:val="clear"/>
        <w:spacing w:after="200" w:before="0" w:line="360" w:lineRule="auto"/>
        <w:jc w:val="both"/>
      </w:pPr>
      <w:r>
        <w:rPr>
          <w:rFonts w:ascii="Arial" w:cs="Arial" w:eastAsia="Times New Roman" w:hAnsi="Arial"/>
          <w:color w:val="000000"/>
          <w:sz w:val="24"/>
          <w:szCs w:val="24"/>
          <w:lang w:eastAsia="es-ES"/>
        </w:rPr>
        <w:t>En el caso de acero por ejemplo, las latas de conserva están formadas un 99% de acero, forrado en el interior con una fina capa de estaño evitando así la oxidación del material que contienen.</w:t>
      </w:r>
    </w:p>
    <w:p>
      <w:pPr>
        <w:pStyle w:val="style0"/>
        <w:numPr>
          <w:ilvl w:val="0"/>
          <w:numId w:val="9"/>
        </w:numPr>
        <w:shd w:fill="FFFFFF" w:val="clear"/>
        <w:spacing w:after="200" w:before="0" w:line="360" w:lineRule="auto"/>
        <w:jc w:val="both"/>
      </w:pPr>
      <w:r>
        <w:rPr>
          <w:rFonts w:ascii="Arial" w:cs="Arial" w:eastAsia="Times New Roman" w:hAnsi="Arial"/>
          <w:color w:val="000000"/>
          <w:sz w:val="24"/>
          <w:szCs w:val="24"/>
          <w:lang w:eastAsia="es-ES"/>
        </w:rPr>
        <w:t>Se colocan estas latas en un cubo con agua sometiéndolo a electricidad y sustancias químicas, la reacción obtenida es que el estaño flota separándolo del acero. Para continuar el proceso de reciclaje</w:t>
      </w:r>
    </w:p>
    <w:p>
      <w:pPr>
        <w:pStyle w:val="style0"/>
        <w:numPr>
          <w:ilvl w:val="0"/>
          <w:numId w:val="9"/>
        </w:numPr>
        <w:shd w:fill="FFFFFF" w:val="clear"/>
        <w:spacing w:after="200" w:before="0" w:line="360" w:lineRule="auto"/>
        <w:jc w:val="both"/>
      </w:pPr>
      <w:r>
        <w:rPr>
          <w:rFonts w:ascii="Arial" w:cs="Arial" w:eastAsia="Times New Roman" w:hAnsi="Arial"/>
          <w:color w:val="000000"/>
          <w:sz w:val="24"/>
          <w:szCs w:val="24"/>
          <w:lang w:eastAsia="es-ES"/>
        </w:rPr>
        <w:t>El acero puro se lava e introduce en la fundidora para hacer lingotes.</w:t>
      </w:r>
    </w:p>
    <w:p>
      <w:pPr>
        <w:pStyle w:val="style0"/>
        <w:numPr>
          <w:ilvl w:val="0"/>
          <w:numId w:val="9"/>
        </w:numPr>
        <w:shd w:fill="FFFFFF" w:val="clear"/>
        <w:spacing w:after="200" w:before="0" w:line="360" w:lineRule="auto"/>
        <w:jc w:val="both"/>
      </w:pPr>
      <w:r>
        <w:rPr>
          <w:rFonts w:ascii="Arial" w:cs="Arial" w:eastAsia="Times New Roman" w:hAnsi="Arial"/>
          <w:color w:val="000000"/>
          <w:sz w:val="24"/>
          <w:szCs w:val="24"/>
          <w:lang w:eastAsia="es-ES"/>
        </w:rPr>
        <w:t>Los lingotes de acero se funden y pasan por rodillos para así formar láminas finas en hojas delgadas para latas nuevas.</w:t>
      </w:r>
    </w:p>
    <w:p>
      <w:pPr>
        <w:pStyle w:val="style0"/>
        <w:numPr>
          <w:ilvl w:val="0"/>
          <w:numId w:val="9"/>
        </w:numPr>
        <w:shd w:fill="FFFFFF" w:val="clear"/>
        <w:spacing w:after="200" w:before="0" w:line="360" w:lineRule="auto"/>
        <w:jc w:val="both"/>
      </w:pPr>
      <w:r>
        <w:rPr>
          <w:rFonts w:ascii="Arial" w:cs="Arial" w:eastAsia="Times New Roman" w:hAnsi="Arial"/>
          <w:color w:val="000000"/>
          <w:sz w:val="24"/>
          <w:szCs w:val="24"/>
          <w:lang w:eastAsia="es-ES"/>
        </w:rPr>
        <w:t>Objetos reciclables de metal:</w:t>
      </w:r>
    </w:p>
    <w:p>
      <w:pPr>
        <w:pStyle w:val="style0"/>
        <w:numPr>
          <w:ilvl w:val="0"/>
          <w:numId w:val="9"/>
        </w:numPr>
        <w:shd w:fill="FFFFFF" w:val="clear"/>
        <w:spacing w:after="200" w:before="0" w:line="360" w:lineRule="auto"/>
        <w:jc w:val="both"/>
      </w:pPr>
      <w:r>
        <w:rPr>
          <w:rFonts w:ascii="Arial" w:cs="Arial" w:eastAsia="Times New Roman" w:hAnsi="Arial"/>
          <w:color w:val="000000"/>
          <w:sz w:val="24"/>
          <w:szCs w:val="24"/>
          <w:lang w:eastAsia="es-ES"/>
        </w:rPr>
        <w:t>Latas de conservas</w:t>
      </w:r>
    </w:p>
    <w:p>
      <w:pPr>
        <w:pStyle w:val="style0"/>
        <w:numPr>
          <w:ilvl w:val="0"/>
          <w:numId w:val="9"/>
        </w:numPr>
        <w:shd w:fill="FFFFFF" w:val="clear"/>
        <w:spacing w:after="200" w:before="0" w:line="360" w:lineRule="auto"/>
        <w:jc w:val="both"/>
      </w:pPr>
      <w:r>
        <w:rPr>
          <w:rFonts w:ascii="Arial" w:cs="Arial" w:eastAsia="Times New Roman" w:hAnsi="Arial"/>
          <w:color w:val="000000"/>
          <w:sz w:val="24"/>
          <w:szCs w:val="24"/>
          <w:lang w:eastAsia="es-ES"/>
        </w:rPr>
        <w:t>Latas de cerveza</w:t>
      </w:r>
    </w:p>
    <w:p>
      <w:pPr>
        <w:pStyle w:val="style0"/>
        <w:numPr>
          <w:ilvl w:val="0"/>
          <w:numId w:val="9"/>
        </w:numPr>
        <w:shd w:fill="FFFFFF" w:val="clear"/>
        <w:spacing w:after="200" w:before="0" w:line="360" w:lineRule="auto"/>
        <w:jc w:val="both"/>
      </w:pPr>
      <w:r>
        <w:rPr>
          <w:rFonts w:ascii="Arial" w:cs="Arial" w:eastAsia="Times New Roman" w:hAnsi="Arial"/>
          <w:color w:val="000000"/>
          <w:sz w:val="24"/>
          <w:szCs w:val="24"/>
          <w:lang w:eastAsia="es-ES"/>
        </w:rPr>
        <w:t>Tapas de metal</w:t>
      </w:r>
    </w:p>
    <w:p>
      <w:pPr>
        <w:pStyle w:val="style0"/>
        <w:numPr>
          <w:ilvl w:val="0"/>
          <w:numId w:val="9"/>
        </w:numPr>
        <w:shd w:fill="FFFFFF" w:val="clear"/>
        <w:spacing w:after="200" w:before="0" w:line="360" w:lineRule="auto"/>
        <w:jc w:val="both"/>
      </w:pPr>
      <w:r>
        <w:rPr>
          <w:rFonts w:ascii="Arial" w:cs="Arial" w:eastAsia="Times New Roman" w:hAnsi="Arial"/>
          <w:color w:val="000000"/>
          <w:sz w:val="24"/>
          <w:szCs w:val="24"/>
          <w:lang w:eastAsia="es-ES"/>
        </w:rPr>
        <w:t>Botones de metal</w:t>
      </w:r>
    </w:p>
    <w:p>
      <w:pPr>
        <w:pStyle w:val="style0"/>
        <w:numPr>
          <w:ilvl w:val="0"/>
          <w:numId w:val="9"/>
        </w:numPr>
        <w:shd w:fill="FFFFFF" w:val="clear"/>
        <w:spacing w:after="200" w:before="0" w:line="360" w:lineRule="auto"/>
        <w:jc w:val="both"/>
      </w:pPr>
      <w:r>
        <w:rPr>
          <w:rFonts w:ascii="Arial" w:cs="Arial" w:eastAsia="Times New Roman" w:hAnsi="Arial"/>
          <w:color w:val="000000"/>
          <w:sz w:val="24"/>
          <w:szCs w:val="24"/>
          <w:lang w:eastAsia="es-ES"/>
        </w:rPr>
        <w:t>Papel aluminio</w:t>
      </w:r>
    </w:p>
    <w:p>
      <w:pPr>
        <w:pStyle w:val="style0"/>
        <w:numPr>
          <w:ilvl w:val="0"/>
          <w:numId w:val="9"/>
        </w:numPr>
        <w:shd w:fill="FFFFFF" w:val="clear"/>
        <w:spacing w:after="200" w:before="0" w:line="360" w:lineRule="auto"/>
        <w:jc w:val="both"/>
      </w:pPr>
      <w:r>
        <w:rPr>
          <w:rFonts w:ascii="Arial" w:cs="Arial" w:eastAsia="Times New Roman" w:hAnsi="Arial"/>
          <w:color w:val="000000"/>
          <w:sz w:val="24"/>
          <w:szCs w:val="24"/>
          <w:lang w:eastAsia="es-ES"/>
        </w:rPr>
        <w:t>Bolsa interior de la leche en polvo</w:t>
      </w:r>
    </w:p>
    <w:p>
      <w:pPr>
        <w:pStyle w:val="style0"/>
        <w:numPr>
          <w:ilvl w:val="0"/>
          <w:numId w:val="9"/>
        </w:numPr>
        <w:shd w:fill="FFFFFF" w:val="clear"/>
        <w:spacing w:after="200" w:before="0" w:line="360" w:lineRule="auto"/>
        <w:jc w:val="both"/>
      </w:pPr>
      <w:r>
        <w:rPr>
          <w:rFonts w:ascii="Arial" w:cs="Arial" w:eastAsia="Times New Roman" w:hAnsi="Arial"/>
          <w:color w:val="000000"/>
          <w:sz w:val="24"/>
          <w:szCs w:val="24"/>
          <w:lang w:eastAsia="es-ES"/>
        </w:rPr>
        <w:t>Alfileres</w:t>
      </w:r>
    </w:p>
    <w:p>
      <w:pPr>
        <w:pStyle w:val="style0"/>
        <w:numPr>
          <w:ilvl w:val="0"/>
          <w:numId w:val="9"/>
        </w:numPr>
        <w:shd w:fill="FFFFFF" w:val="clear"/>
        <w:spacing w:after="200" w:before="0" w:line="360" w:lineRule="auto"/>
        <w:jc w:val="both"/>
      </w:pPr>
      <w:r>
        <w:rPr>
          <w:rFonts w:ascii="Arial" w:cs="Arial" w:eastAsia="Times New Roman" w:hAnsi="Arial"/>
          <w:color w:val="000000"/>
          <w:sz w:val="24"/>
          <w:szCs w:val="24"/>
          <w:lang w:eastAsia="es-ES"/>
        </w:rPr>
        <w:t>Alambre</w:t>
      </w:r>
    </w:p>
    <w:p>
      <w:pPr>
        <w:pStyle w:val="style0"/>
        <w:numPr>
          <w:ilvl w:val="0"/>
          <w:numId w:val="9"/>
        </w:numPr>
        <w:shd w:fill="FFFFFF" w:val="clear"/>
        <w:spacing w:after="280" w:before="0" w:line="360" w:lineRule="auto"/>
        <w:jc w:val="both"/>
      </w:pPr>
      <w:r>
        <w:rPr>
          <w:rFonts w:ascii="Arial" w:cs="Arial" w:eastAsia="Times New Roman" w:hAnsi="Arial"/>
          <w:color w:val="000000"/>
          <w:sz w:val="24"/>
          <w:szCs w:val="24"/>
          <w:lang w:eastAsia="es-ES"/>
        </w:rPr>
        <w:t>Cacerolas de aluminio, entre otros.</w:t>
      </w:r>
    </w:p>
    <w:p>
      <w:pPr>
        <w:pStyle w:val="style0"/>
        <w:autoSpaceDE w:val="false"/>
        <w:spacing w:after="0" w:before="0" w:line="360" w:lineRule="auto"/>
        <w:jc w:val="both"/>
      </w:pPr>
      <w:r>
        <w:rPr>
          <w:rFonts w:ascii="Arial" w:cs="Arial" w:hAnsi="Arial"/>
          <w:color w:val="000000"/>
          <w:sz w:val="24"/>
          <w:szCs w:val="24"/>
        </w:rPr>
        <w:tab/>
        <w:t xml:space="preserve">En el proceso de reciclaje son utilizados contenedores de colores para su separación, tal como se presenta: </w:t>
      </w:r>
    </w:p>
    <w:p>
      <w:pPr>
        <w:pStyle w:val="style199"/>
        <w:numPr>
          <w:ilvl w:val="0"/>
          <w:numId w:val="41"/>
        </w:numPr>
        <w:autoSpaceDE w:val="false"/>
        <w:spacing w:after="0" w:before="0" w:line="360" w:lineRule="auto"/>
        <w:jc w:val="both"/>
      </w:pPr>
      <w:r>
        <w:rPr>
          <w:rFonts w:ascii="Arial" w:cs="Arial" w:hAnsi="Arial"/>
          <w:b/>
          <w:color w:val="000000"/>
          <w:sz w:val="24"/>
          <w:szCs w:val="24"/>
        </w:rPr>
        <w:t>Amarillo</w:t>
      </w:r>
      <w:r>
        <w:rPr>
          <w:rFonts w:ascii="Arial" w:cs="Arial" w:hAnsi="Arial"/>
          <w:color w:val="000000"/>
          <w:sz w:val="24"/>
          <w:szCs w:val="24"/>
        </w:rPr>
        <w:t xml:space="preserve">: botes de bebidas, latas de conservas, vegetales, de pescado, de carne, platos y bandejas de aluminio, comidas preparadas, chapas y latas de metal </w:t>
      </w:r>
    </w:p>
    <w:p>
      <w:pPr>
        <w:pStyle w:val="style199"/>
        <w:numPr>
          <w:ilvl w:val="0"/>
          <w:numId w:val="41"/>
        </w:numPr>
        <w:autoSpaceDE w:val="false"/>
        <w:spacing w:after="0" w:before="0" w:line="360" w:lineRule="auto"/>
        <w:jc w:val="both"/>
      </w:pPr>
      <w:r>
        <w:rPr>
          <w:rFonts w:ascii="Arial" w:cs="Arial" w:hAnsi="Arial"/>
          <w:b/>
          <w:color w:val="000000"/>
          <w:sz w:val="24"/>
          <w:szCs w:val="24"/>
        </w:rPr>
        <w:t>Azul</w:t>
      </w:r>
      <w:r>
        <w:rPr>
          <w:rFonts w:ascii="Arial" w:cs="Arial" w:hAnsi="Arial"/>
          <w:color w:val="000000"/>
          <w:sz w:val="24"/>
          <w:szCs w:val="24"/>
        </w:rPr>
        <w:t xml:space="preserve">: para envases de cartón, cajas, periódicos, revistas, papeles de envolver, propaganda, etc. </w:t>
      </w:r>
    </w:p>
    <w:p>
      <w:pPr>
        <w:pStyle w:val="style199"/>
        <w:numPr>
          <w:ilvl w:val="0"/>
          <w:numId w:val="41"/>
        </w:numPr>
        <w:autoSpaceDE w:val="false"/>
        <w:spacing w:after="0" w:before="0" w:line="360" w:lineRule="auto"/>
        <w:jc w:val="both"/>
      </w:pPr>
      <w:r>
        <w:rPr>
          <w:rFonts w:ascii="Arial" w:cs="Arial" w:hAnsi="Arial"/>
          <w:b/>
          <w:color w:val="000000"/>
          <w:sz w:val="24"/>
          <w:szCs w:val="24"/>
        </w:rPr>
        <w:t>Verde</w:t>
      </w:r>
      <w:r>
        <w:rPr>
          <w:rFonts w:ascii="Arial" w:cs="Arial" w:hAnsi="Arial"/>
          <w:color w:val="000000"/>
          <w:sz w:val="24"/>
          <w:szCs w:val="24"/>
        </w:rPr>
        <w:t xml:space="preserve">: vidrio, botellas, tarros de vidrio, frascos de conservas, de cosmetología y de perfumería </w:t>
      </w:r>
    </w:p>
    <w:p>
      <w:pPr>
        <w:pStyle w:val="style199"/>
        <w:numPr>
          <w:ilvl w:val="0"/>
          <w:numId w:val="41"/>
        </w:numPr>
        <w:autoSpaceDE w:val="false"/>
        <w:spacing w:after="0" w:before="0" w:line="360" w:lineRule="auto"/>
        <w:jc w:val="both"/>
      </w:pPr>
      <w:r>
        <w:rPr>
          <w:rFonts w:ascii="Arial" w:cs="Arial" w:hAnsi="Arial"/>
          <w:b/>
          <w:color w:val="000000"/>
          <w:sz w:val="24"/>
          <w:szCs w:val="24"/>
        </w:rPr>
        <w:t>Gris</w:t>
      </w:r>
      <w:r>
        <w:rPr>
          <w:rFonts w:ascii="Arial" w:cs="Arial" w:hAnsi="Arial"/>
          <w:color w:val="000000"/>
          <w:sz w:val="24"/>
          <w:szCs w:val="24"/>
        </w:rPr>
        <w:t xml:space="preserve">: chatarra, candados, herramientas, alambres, tarros de leche, café, no contaminados con hidrocarburos, reactivos químicos o concentrado de mineral </w:t>
      </w:r>
    </w:p>
    <w:p>
      <w:pPr>
        <w:pStyle w:val="style199"/>
        <w:numPr>
          <w:ilvl w:val="0"/>
          <w:numId w:val="41"/>
        </w:numPr>
        <w:autoSpaceDE w:val="false"/>
        <w:spacing w:after="0" w:before="0" w:line="360" w:lineRule="auto"/>
        <w:jc w:val="both"/>
      </w:pPr>
      <w:r>
        <w:rPr>
          <w:rFonts w:ascii="Arial" w:cs="Arial" w:hAnsi="Arial"/>
          <w:b/>
          <w:bCs/>
          <w:color w:val="000000"/>
          <w:sz w:val="24"/>
          <w:szCs w:val="24"/>
        </w:rPr>
        <w:t>Color Beige reciclaje (cartón para bebidas):</w:t>
      </w:r>
      <w:r>
        <w:rPr>
          <w:rFonts w:ascii="Arial" w:cs="Arial" w:hAnsi="Arial"/>
          <w:color w:val="000000"/>
          <w:sz w:val="24"/>
          <w:szCs w:val="24"/>
        </w:rPr>
        <w:t xml:space="preserve"> </w:t>
      </w:r>
      <w:r>
        <w:rPr>
          <w:rFonts w:ascii="Arial" w:cs="Arial" w:hAnsi="Arial"/>
          <w:color w:val="000000"/>
          <w:sz w:val="24"/>
          <w:szCs w:val="24"/>
          <w:shd w:fill="FFFFFF" w:val="clear"/>
        </w:rPr>
        <w:t>aquí se pueden depositar todos los envases de cartón (tetra pack) que contienen refrescos, leches, bebidas alcohólicas y alimentos.</w:t>
      </w:r>
      <w:r>
        <w:rPr>
          <w:rFonts w:ascii="Arial" w:cs="Arial" w:hAnsi="Arial"/>
          <w:color w:val="000000"/>
          <w:sz w:val="24"/>
          <w:szCs w:val="24"/>
        </w:rPr>
        <w:t> </w:t>
      </w:r>
    </w:p>
    <w:p>
      <w:pPr>
        <w:pStyle w:val="style199"/>
        <w:numPr>
          <w:ilvl w:val="0"/>
          <w:numId w:val="41"/>
        </w:numPr>
        <w:autoSpaceDE w:val="false"/>
        <w:spacing w:after="0" w:before="0" w:line="360" w:lineRule="auto"/>
        <w:jc w:val="both"/>
      </w:pPr>
      <w:r>
        <w:rPr>
          <w:rFonts w:ascii="Arial" w:cs="Arial" w:hAnsi="Arial"/>
          <w:b/>
          <w:color w:val="000000"/>
          <w:sz w:val="24"/>
          <w:szCs w:val="24"/>
        </w:rPr>
        <w:t>Rojo</w:t>
      </w:r>
      <w:r>
        <w:rPr>
          <w:rFonts w:ascii="Arial" w:cs="Arial" w:hAnsi="Arial"/>
          <w:color w:val="000000"/>
          <w:sz w:val="24"/>
          <w:szCs w:val="24"/>
        </w:rPr>
        <w:t xml:space="preserve">: residuos contaminados con sustancias químicas o concentrado de mineral, residuos contaminados con reactivos químicos, envases de aerosoles, solventes, pintura, tiner, ácidos, soda, floculante, cal, espumantes, flotadores, entre otros </w:t>
      </w:r>
    </w:p>
    <w:p>
      <w:pPr>
        <w:pStyle w:val="style199"/>
        <w:numPr>
          <w:ilvl w:val="0"/>
          <w:numId w:val="41"/>
        </w:numPr>
        <w:autoSpaceDE w:val="false"/>
        <w:spacing w:after="0" w:before="0" w:line="360" w:lineRule="auto"/>
        <w:jc w:val="both"/>
      </w:pPr>
      <w:r>
        <w:rPr>
          <w:rFonts w:ascii="Arial" w:cs="Arial" w:hAnsi="Arial"/>
          <w:b/>
          <w:color w:val="000000"/>
          <w:sz w:val="24"/>
          <w:szCs w:val="24"/>
        </w:rPr>
        <w:t>Negro</w:t>
      </w:r>
      <w:r>
        <w:rPr>
          <w:rFonts w:ascii="Arial" w:cs="Arial" w:hAnsi="Arial"/>
          <w:color w:val="000000"/>
          <w:sz w:val="24"/>
          <w:szCs w:val="24"/>
        </w:rPr>
        <w:t>: residuos contaminados con hidrocarburos, aceites y grasa, residuos de madera, cartón, plásticos, piezas metálicas, naipes, paños absorbentes, guantes y trapos de algodón contaminados con algún hidrocarburo (gasolina, diesel, aceite, grasa).</w:t>
      </w:r>
    </w:p>
    <w:p>
      <w:pPr>
        <w:pStyle w:val="style199"/>
        <w:numPr>
          <w:ilvl w:val="0"/>
          <w:numId w:val="41"/>
        </w:numPr>
        <w:autoSpaceDE w:val="false"/>
        <w:spacing w:after="0" w:before="0" w:line="360" w:lineRule="auto"/>
        <w:jc w:val="both"/>
      </w:pPr>
      <w:r>
        <w:rPr>
          <w:rFonts w:ascii="Arial" w:cs="Arial" w:hAnsi="Arial"/>
          <w:b/>
          <w:bCs/>
          <w:color w:val="000000"/>
          <w:sz w:val="24"/>
          <w:szCs w:val="24"/>
        </w:rPr>
        <w:t>Burdeo reciclaje (aparatos eléctricos y electrónicos):</w:t>
      </w:r>
      <w:r>
        <w:rPr>
          <w:rFonts w:ascii="Arial" w:cs="Arial" w:hAnsi="Arial"/>
          <w:color w:val="000000"/>
          <w:sz w:val="24"/>
          <w:szCs w:val="24"/>
        </w:rPr>
        <w:t xml:space="preserve"> </w:t>
      </w:r>
      <w:r>
        <w:rPr>
          <w:rFonts w:ascii="Arial" w:cs="Arial" w:hAnsi="Arial"/>
          <w:color w:val="000000"/>
          <w:sz w:val="24"/>
          <w:szCs w:val="24"/>
          <w:shd w:fill="FFFFFF" w:val="clear"/>
        </w:rPr>
        <w:t>En este contendor se deben depositar Electrodomésticos voluminosos, Audio y video, Computación y Electrodomésticos pequeños.</w:t>
      </w:r>
    </w:p>
    <w:p>
      <w:pPr>
        <w:pStyle w:val="style199"/>
        <w:numPr>
          <w:ilvl w:val="0"/>
          <w:numId w:val="41"/>
        </w:numPr>
        <w:autoSpaceDE w:val="false"/>
        <w:spacing w:after="0" w:before="0" w:line="360" w:lineRule="auto"/>
        <w:jc w:val="both"/>
      </w:pPr>
      <w:r>
        <w:rPr>
          <w:rFonts w:ascii="Arial" w:cs="Arial" w:hAnsi="Arial"/>
          <w:b/>
          <w:bCs/>
          <w:color w:val="000000"/>
          <w:sz w:val="24"/>
          <w:szCs w:val="24"/>
        </w:rPr>
        <w:t>Color gris oscuro reciclaje (resto de residuos):</w:t>
      </w:r>
      <w:r>
        <w:rPr>
          <w:rFonts w:ascii="Arial" w:cs="Arial" w:hAnsi="Arial"/>
          <w:color w:val="000000"/>
          <w:sz w:val="24"/>
          <w:szCs w:val="24"/>
        </w:rPr>
        <w:t xml:space="preserve"> </w:t>
      </w:r>
      <w:r>
        <w:rPr>
          <w:rFonts w:ascii="Arial" w:cs="Arial" w:hAnsi="Arial"/>
          <w:color w:val="000000"/>
          <w:sz w:val="24"/>
          <w:szCs w:val="24"/>
          <w:shd w:fill="FFFFFF" w:val="clear"/>
        </w:rPr>
        <w:t>En estos contenedores, se depositan los residuos que no pueden ser reciclados o que el mercado aún no está establecido y que deben ser dispuestos en rellenos sanitarios</w:t>
      </w:r>
      <w:r>
        <w:rPr>
          <w:rFonts w:ascii="Trebuchet MS" w:cs="Trebuchet MS" w:hAnsi="Trebuchet MS"/>
          <w:color w:val="000000"/>
          <w:sz w:val="18"/>
          <w:szCs w:val="18"/>
          <w:shd w:fill="FFFFFF" w:val="clear"/>
        </w:rPr>
        <w:t>.</w:t>
      </w:r>
    </w:p>
    <w:p>
      <w:pPr>
        <w:pStyle w:val="style0"/>
        <w:autoSpaceDE w:val="false"/>
        <w:spacing w:after="0" w:before="0" w:line="360" w:lineRule="auto"/>
        <w:ind w:hanging="0" w:left="360" w:right="0"/>
        <w:jc w:val="both"/>
      </w:pPr>
      <w:r>
        <w:rPr>
          <w:rFonts w:ascii="Arial" w:cs="Arial" w:hAnsi="Arial"/>
          <w:color w:val="000000"/>
          <w:sz w:val="24"/>
          <w:szCs w:val="24"/>
        </w:rPr>
      </w:r>
    </w:p>
    <w:p>
      <w:pPr>
        <w:pStyle w:val="style0"/>
        <w:shd w:fill="FFFFFF" w:val="clear"/>
        <w:spacing w:after="0" w:before="0" w:line="360" w:lineRule="auto"/>
        <w:jc w:val="center"/>
      </w:pPr>
      <w:r>
        <w:rPr>
          <w:rFonts w:ascii="Arial" w:cs="Arial" w:hAnsi="Arial"/>
          <w:sz w:val="24"/>
          <w:szCs w:val="24"/>
          <w:lang w:eastAsia="es-VE" w:val="es-VE"/>
        </w:rPr>
        <w:drawing>
          <wp:inline distB="0" distL="0" distR="0" distT="0">
            <wp:extent cx="3885565" cy="2124710"/>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10"/>
                    <a:srcRect/>
                    <a:stretch>
                      <a:fillRect/>
                    </a:stretch>
                  </pic:blipFill>
                  <pic:spPr bwMode="auto">
                    <a:xfrm>
                      <a:off x="0" y="0"/>
                      <a:ext cx="3885565" cy="2124710"/>
                    </a:xfrm>
                    <a:prstGeom prst="rect">
                      <a:avLst/>
                    </a:prstGeom>
                    <a:noFill/>
                    <a:ln w="9525">
                      <a:noFill/>
                      <a:miter lim="800000"/>
                      <a:headEnd/>
                      <a:tailEnd/>
                    </a:ln>
                  </pic:spPr>
                </pic:pic>
              </a:graphicData>
            </a:graphic>
          </wp:inline>
        </w:drawing>
      </w:r>
    </w:p>
    <w:p>
      <w:pPr>
        <w:pStyle w:val="style0"/>
        <w:tabs>
          <w:tab w:leader="none" w:pos="1965" w:val="left"/>
        </w:tabs>
        <w:spacing w:line="240" w:lineRule="auto"/>
        <w:jc w:val="center"/>
      </w:pPr>
      <w:r>
        <w:rPr>
          <w:rFonts w:ascii="Arial" w:cs="Arial" w:hAnsi="Arial"/>
          <w:color w:val="000000"/>
          <w:sz w:val="24"/>
          <w:szCs w:val="24"/>
        </w:rPr>
        <w:t>Figura  1  Colores del reciclaje</w:t>
      </w:r>
    </w:p>
    <w:p>
      <w:pPr>
        <w:pStyle w:val="style0"/>
        <w:tabs>
          <w:tab w:leader="none" w:pos="1965" w:val="left"/>
        </w:tabs>
        <w:spacing w:line="240" w:lineRule="auto"/>
        <w:jc w:val="center"/>
      </w:pPr>
      <w:r>
        <w:rPr>
          <w:rFonts w:ascii="Arial" w:cs="Arial" w:hAnsi="Arial"/>
          <w:color w:val="000000"/>
          <w:sz w:val="24"/>
          <w:szCs w:val="24"/>
        </w:rPr>
        <w:t xml:space="preserve">Fuente: </w:t>
      </w:r>
      <w:hyperlink r:id="rId11">
        <w:r>
          <w:rPr>
            <w:rStyle w:val="style148"/>
            <w:rStyle w:val="style148"/>
            <w:rFonts w:ascii="Arial" w:hAnsi="Arial"/>
            <w:bCs/>
            <w:sz w:val="24"/>
            <w:szCs w:val="24"/>
            <w:shd w:fill="FFFFFF" w:val="clear"/>
          </w:rPr>
          <w:t>j</w:t>
        </w:r>
        <w:r>
          <w:rPr>
            <w:rStyle w:val="style148"/>
            <w:rStyle w:val="style148"/>
            <w:rFonts w:ascii="Arial" w:hAnsi="Arial"/>
            <w:bCs/>
            <w:sz w:val="24"/>
            <w:szCs w:val="24"/>
            <w:u w:val="none"/>
            <w:shd w:fill="FFFFFF" w:val="clear"/>
          </w:rPr>
          <w:t>garciap81</w:t>
        </w:r>
      </w:hyperlink>
      <w:r>
        <w:rPr>
          <w:rFonts w:ascii="Arial" w:cs="Arial" w:hAnsi="Arial"/>
          <w:color w:val="000000"/>
          <w:sz w:val="24"/>
          <w:szCs w:val="24"/>
        </w:rPr>
        <w:t xml:space="preserve"> 2013</w:t>
      </w:r>
    </w:p>
    <w:p>
      <w:pPr>
        <w:pStyle w:val="style0"/>
        <w:tabs>
          <w:tab w:leader="none" w:pos="1965" w:val="left"/>
        </w:tabs>
        <w:spacing w:line="240" w:lineRule="auto"/>
        <w:jc w:val="center"/>
      </w:pPr>
      <w:r>
        <w:rPr>
          <w:rFonts w:ascii="Arial" w:cs="Arial" w:hAnsi="Arial"/>
          <w:color w:val="000000"/>
          <w:sz w:val="24"/>
          <w:szCs w:val="24"/>
        </w:rPr>
      </w:r>
    </w:p>
    <w:p>
      <w:pPr>
        <w:pStyle w:val="style197"/>
        <w:spacing w:after="120" w:before="120" w:line="360" w:lineRule="auto"/>
        <w:jc w:val="both"/>
      </w:pPr>
      <w:r>
        <w:rPr>
          <w:rFonts w:ascii="Arial" w:cs="Arial" w:hAnsi="Arial"/>
          <w:color w:val="000000"/>
          <w:shd w:fill="FFFFFF" w:val="clear"/>
        </w:rPr>
        <w:tab/>
        <w:t xml:space="preserve">La </w:t>
      </w:r>
      <w:r>
        <w:rPr>
          <w:rFonts w:ascii="Arial" w:cs="Arial" w:hAnsi="Arial"/>
          <w:b/>
          <w:color w:val="000000"/>
          <w:shd w:fill="FFFFFF" w:val="clear"/>
        </w:rPr>
        <w:t>reutilización</w:t>
      </w:r>
      <w:r>
        <w:rPr>
          <w:rFonts w:ascii="Arial" w:cs="Arial" w:hAnsi="Arial"/>
          <w:color w:val="000000"/>
          <w:shd w:fill="FFFFFF" w:val="clear"/>
        </w:rPr>
        <w:t xml:space="preserve"> consiste en recuperar los materiales, elementos y componentes de las obras para ser de nuevo ensamblados e incorporados en otras deificaciones o en el comercio de materiales de segunda mano. Ejemplo es el caso de las puertas, ventanas, rejas entre otros los cuales pueden ser desmontados fácilmente de las paredes y no necesitan  modificaciones adicionales para ser usados nuevamente. (Marque 2007, 34)</w:t>
      </w:r>
    </w:p>
    <w:p>
      <w:pPr>
        <w:pStyle w:val="style197"/>
        <w:spacing w:after="120" w:before="120" w:line="360" w:lineRule="auto"/>
        <w:jc w:val="both"/>
      </w:pPr>
      <w:r>
        <w:rPr>
          <w:rFonts w:ascii="Arial" w:cs="Arial" w:hAnsi="Arial"/>
          <w:color w:val="000000"/>
          <w:shd w:fill="FFFFFF" w:val="clear"/>
        </w:rPr>
        <w:tab/>
        <w:t xml:space="preserve"> La reutilización de los desechos es una de las formas más eficientes que podemos realizar para la reducción de residuos, sin pasar por complejos procesos industriales. Muchas veces se pueden utilizar partes o muchas veces los productos completos, como los envases de vidrio de café, que pueden pasar de ser contenedores de grano a floreros o joyeros.</w:t>
      </w:r>
    </w:p>
    <w:p>
      <w:pPr>
        <w:pStyle w:val="style197"/>
        <w:spacing w:after="120" w:before="120" w:line="360" w:lineRule="auto"/>
        <w:jc w:val="both"/>
      </w:pPr>
      <w:r>
        <w:rPr>
          <w:rFonts w:ascii="Arial" w:cs="Arial" w:hAnsi="Arial"/>
          <w:color w:val="000000"/>
          <w:shd w:fill="FFFFFF" w:val="clear"/>
        </w:rPr>
      </w:r>
    </w:p>
    <w:p>
      <w:pPr>
        <w:pStyle w:val="style0"/>
        <w:autoSpaceDE w:val="false"/>
        <w:spacing w:after="0" w:before="0" w:line="360" w:lineRule="auto"/>
        <w:jc w:val="both"/>
      </w:pPr>
      <w:r>
        <w:rPr>
          <w:rFonts w:ascii="Arial" w:cs="Arial" w:hAnsi="Arial"/>
          <w:b/>
          <w:bCs/>
          <w:color w:val="000000"/>
          <w:sz w:val="24"/>
          <w:szCs w:val="24"/>
        </w:rPr>
        <w:t>Reutilización de los recursos</w:t>
      </w:r>
    </w:p>
    <w:p>
      <w:pPr>
        <w:pStyle w:val="style0"/>
        <w:autoSpaceDE w:val="false"/>
        <w:spacing w:after="0" w:before="0" w:line="360" w:lineRule="auto"/>
        <w:jc w:val="both"/>
      </w:pPr>
      <w:r>
        <w:rPr>
          <w:rFonts w:ascii="Arial" w:cs="Arial" w:hAnsi="Arial"/>
          <w:color w:val="000000"/>
          <w:sz w:val="24"/>
          <w:szCs w:val="24"/>
        </w:rPr>
      </w:r>
    </w:p>
    <w:p>
      <w:pPr>
        <w:pStyle w:val="style0"/>
        <w:autoSpaceDE w:val="false"/>
        <w:spacing w:after="0" w:before="0" w:line="360" w:lineRule="auto"/>
        <w:ind w:firstLine="737" w:left="0" w:right="0"/>
        <w:jc w:val="both"/>
      </w:pPr>
      <w:r>
        <w:rPr>
          <w:rFonts w:ascii="Arial" w:cs="Arial" w:hAnsi="Arial"/>
          <w:color w:val="000000"/>
          <w:sz w:val="24"/>
          <w:szCs w:val="24"/>
        </w:rPr>
        <w:t>Es el tratamiento que se le da a los residuos es lo que diferencia un sistema de gestión de los residuos adecuado de otro que no lo es. Así, aquellos que se basan en la destrucción de los residuos sin aprovechamiento alguno, como la incineración sin recuperación energética y el vertido, se consideran como no adecuados desde un punto de vista medioambiental, mientras que los demás constituyen formas de obtener un rendimiento de los residuos a la vez que permiten su reincorporación a los ciclos productivos.</w:t>
      </w:r>
    </w:p>
    <w:p>
      <w:pPr>
        <w:pStyle w:val="style0"/>
        <w:autoSpaceDE w:val="false"/>
        <w:spacing w:after="0" w:before="0" w:line="360" w:lineRule="auto"/>
        <w:ind w:firstLine="737" w:left="0" w:right="0"/>
        <w:jc w:val="both"/>
      </w:pPr>
      <w:r>
        <w:rPr>
          <w:rFonts w:ascii="Arial" w:cs="Arial" w:hAnsi="Arial"/>
          <w:color w:val="000000"/>
          <w:sz w:val="24"/>
          <w:szCs w:val="24"/>
        </w:rPr>
      </w:r>
    </w:p>
    <w:p>
      <w:pPr>
        <w:pStyle w:val="style0"/>
        <w:autoSpaceDE w:val="false"/>
        <w:spacing w:after="0" w:before="0" w:line="360" w:lineRule="auto"/>
        <w:ind w:firstLine="142" w:left="0" w:right="0"/>
        <w:jc w:val="both"/>
      </w:pPr>
      <w:r>
        <w:rPr>
          <w:rFonts w:ascii="Arial" w:cs="Arial" w:hAnsi="Arial"/>
          <w:color w:val="000000"/>
          <w:sz w:val="24"/>
          <w:szCs w:val="24"/>
        </w:rPr>
        <w:tab/>
        <w:t>Dicho de otra forma  se obtiene un aprovechamiento más óptimo de los recursos naturales, minimizando el impacto sobre el medio ambiente, al reducir la contaminación que generaban los otros sistemas.</w:t>
      </w:r>
    </w:p>
    <w:p>
      <w:pPr>
        <w:pStyle w:val="style0"/>
        <w:autoSpaceDE w:val="false"/>
        <w:spacing w:after="0" w:before="0" w:line="360" w:lineRule="auto"/>
        <w:ind w:firstLine="142" w:left="0" w:right="0"/>
        <w:jc w:val="both"/>
      </w:pPr>
      <w:r>
        <w:rPr>
          <w:rFonts w:ascii="Arial" w:cs="Arial" w:hAnsi="Arial"/>
          <w:color w:val="000000"/>
          <w:sz w:val="24"/>
          <w:szCs w:val="24"/>
        </w:rPr>
      </w:r>
    </w:p>
    <w:p>
      <w:pPr>
        <w:pStyle w:val="style0"/>
        <w:autoSpaceDE w:val="false"/>
        <w:spacing w:after="0" w:before="0" w:line="360" w:lineRule="auto"/>
        <w:ind w:firstLine="284" w:left="0" w:right="0"/>
        <w:jc w:val="both"/>
      </w:pPr>
      <w:r>
        <w:rPr>
          <w:rFonts w:ascii="Arial" w:cs="Arial" w:hAnsi="Arial"/>
          <w:color w:val="000000"/>
          <w:sz w:val="24"/>
          <w:szCs w:val="24"/>
        </w:rPr>
        <w:tab/>
        <w:t>La reutilización está íntimamente relacionada con la prevención en la producción de residuos. La adopción de medidas se centra principalmente en la reutilización de los envases. En el pasado este sistema ha sido   utilizado con mucha frecuencia.</w:t>
      </w:r>
    </w:p>
    <w:p>
      <w:pPr>
        <w:pStyle w:val="style0"/>
        <w:autoSpaceDE w:val="false"/>
        <w:spacing w:after="0" w:before="0" w:line="360" w:lineRule="auto"/>
        <w:ind w:firstLine="284" w:left="0" w:right="0"/>
        <w:jc w:val="both"/>
      </w:pPr>
      <w:r>
        <w:rPr/>
      </w:r>
    </w:p>
    <w:p>
      <w:pPr>
        <w:pStyle w:val="style0"/>
        <w:autoSpaceDE w:val="false"/>
        <w:spacing w:after="0" w:before="0" w:line="360" w:lineRule="auto"/>
        <w:ind w:firstLine="284" w:left="0" w:right="0"/>
        <w:jc w:val="both"/>
      </w:pPr>
      <w:r>
        <w:rPr>
          <w:rFonts w:ascii="Arial" w:cs="Arial" w:hAnsi="Arial"/>
          <w:color w:val="000000"/>
          <w:sz w:val="24"/>
          <w:szCs w:val="24"/>
        </w:rPr>
        <w:t>En principio hay que hacer algunas consideraciones para ciertos materiales como el vidrio la reutilización es deseable en términos ecológicos. Sin embargo, hay que tener en cuenta que si los envases han de ser transportados a gran distancia, un radio superior a 200-300 kilómetros, el coste ecológico de la reutilización alcanza y supera al del reciclado.</w:t>
      </w:r>
    </w:p>
    <w:p>
      <w:pPr>
        <w:pStyle w:val="style0"/>
        <w:autoSpaceDE w:val="false"/>
        <w:spacing w:after="0" w:before="0" w:line="360" w:lineRule="auto"/>
        <w:ind w:firstLine="284" w:left="0" w:right="0"/>
        <w:jc w:val="both"/>
      </w:pPr>
      <w:r>
        <w:rPr>
          <w:rFonts w:ascii="Arial" w:cs="Arial" w:hAnsi="Arial"/>
          <w:color w:val="000000"/>
          <w:sz w:val="24"/>
          <w:szCs w:val="24"/>
        </w:rPr>
        <w:br/>
        <w:t xml:space="preserve"> </w:t>
        <w:tab/>
        <w:t xml:space="preserve">  Dado que un envase reutilizable ha de ser más robusto y tener más peso, a igualdad de materiales, debe tener en su vida útil un número mínimo de ciclos de consumo.</w:t>
      </w:r>
      <w:r>
        <w:rPr>
          <w:rStyle w:val="style147"/>
          <w:rFonts w:ascii="Arial" w:hAnsi="Arial"/>
          <w:color w:val="000000"/>
          <w:sz w:val="24"/>
          <w:szCs w:val="24"/>
        </w:rPr>
        <w:t> </w:t>
      </w:r>
    </w:p>
    <w:p>
      <w:pPr>
        <w:pStyle w:val="style0"/>
        <w:autoSpaceDE w:val="false"/>
        <w:spacing w:after="0" w:before="0" w:line="360" w:lineRule="auto"/>
        <w:ind w:firstLine="284" w:left="0" w:right="0"/>
        <w:jc w:val="both"/>
      </w:pPr>
      <w:r>
        <w:rPr>
          <w:rFonts w:ascii="Arial" w:cs="Arial" w:hAnsi="Arial"/>
          <w:color w:val="000000"/>
          <w:sz w:val="24"/>
          <w:szCs w:val="24"/>
        </w:rPr>
      </w:r>
    </w:p>
    <w:p>
      <w:pPr>
        <w:pStyle w:val="style0"/>
        <w:autoSpaceDE w:val="false"/>
        <w:spacing w:after="0" w:before="0" w:line="360" w:lineRule="auto"/>
        <w:ind w:firstLine="284" w:left="0" w:right="0"/>
        <w:jc w:val="both"/>
      </w:pPr>
      <w:r>
        <w:rPr>
          <w:rFonts w:ascii="Arial" w:cs="Arial" w:hAnsi="Arial"/>
          <w:color w:val="000000"/>
          <w:sz w:val="24"/>
          <w:szCs w:val="24"/>
        </w:rPr>
        <w:t>Tradicionalmente, el sector de las bebidas y los alimentos líquidos ha sido el que mayor proporción de reutilización de los envases ha desarrollado. Sin embargo, el sistema que se ha venido aplicando durante muchos años ha empezado a desaparecer debido a los nuevos hábitos de consumo y a la implantación de nuevos sistemas de distribución.</w:t>
      </w:r>
    </w:p>
    <w:p>
      <w:pPr>
        <w:pStyle w:val="style0"/>
        <w:autoSpaceDE w:val="false"/>
        <w:spacing w:after="0" w:before="0" w:line="360" w:lineRule="auto"/>
        <w:ind w:firstLine="284" w:left="0" w:right="0"/>
        <w:jc w:val="both"/>
      </w:pPr>
      <w:r>
        <w:rPr>
          <w:rFonts w:ascii="Arial" w:cs="Arial" w:hAnsi="Arial"/>
          <w:color w:val="000000"/>
          <w:sz w:val="24"/>
          <w:szCs w:val="24"/>
        </w:rPr>
      </w:r>
    </w:p>
    <w:p>
      <w:pPr>
        <w:pStyle w:val="style0"/>
        <w:autoSpaceDE w:val="false"/>
        <w:spacing w:after="0" w:before="0" w:line="360" w:lineRule="auto"/>
        <w:ind w:firstLine="284" w:left="0" w:right="0"/>
        <w:jc w:val="both"/>
      </w:pPr>
      <w:r>
        <w:rPr>
          <w:rFonts w:ascii="Arial" w:cs="Arial" w:eastAsia="Arial" w:hAnsi="Arial"/>
          <w:color w:val="000000"/>
          <w:sz w:val="24"/>
          <w:szCs w:val="24"/>
        </w:rPr>
        <w:t xml:space="preserve">   </w:t>
      </w:r>
      <w:r>
        <w:rPr>
          <w:rFonts w:ascii="Arial" w:cs="Arial" w:hAnsi="Arial"/>
          <w:color w:val="000000"/>
          <w:sz w:val="24"/>
          <w:szCs w:val="24"/>
        </w:rPr>
        <w:t>Por último hay una modalidad muy importante de reutilización que viene dada por el comercio de artículos de segunda mano o por la actuación de entidades benéficas, ONG, iglesias, etc. que recogen, restauran y comercializan o donan, en el caso de las entidades benéficas, una serie de objetos que estando todavía en buen estado sus propietarios ya no desean conservar. Tal es el caso de muebles, electrodomésticos, libros, ropa, etc.</w:t>
      </w:r>
    </w:p>
    <w:p>
      <w:pPr>
        <w:pStyle w:val="style197"/>
        <w:spacing w:after="120" w:before="120" w:line="360" w:lineRule="auto"/>
        <w:jc w:val="both"/>
      </w:pPr>
      <w:r>
        <w:rPr/>
      </w:r>
    </w:p>
    <w:p>
      <w:pPr>
        <w:pStyle w:val="style0"/>
        <w:autoSpaceDE w:val="false"/>
        <w:spacing w:after="0" w:before="0" w:line="360" w:lineRule="auto"/>
        <w:jc w:val="both"/>
      </w:pPr>
      <w:r>
        <w:rPr>
          <w:rFonts w:ascii="Arial" w:cs="Arial" w:eastAsia="Arial" w:hAnsi="Arial"/>
          <w:b/>
          <w:iCs/>
          <w:color w:val="000000"/>
          <w:sz w:val="24"/>
          <w:szCs w:val="24"/>
        </w:rPr>
        <w:t xml:space="preserve"> </w:t>
      </w:r>
      <w:r>
        <w:rPr>
          <w:rFonts w:ascii="Arial" w:cs="Arial" w:hAnsi="Arial"/>
          <w:b/>
          <w:iCs/>
          <w:color w:val="000000"/>
          <w:sz w:val="24"/>
          <w:szCs w:val="24"/>
        </w:rPr>
        <w:t xml:space="preserve">Basura </w:t>
      </w:r>
    </w:p>
    <w:p>
      <w:pPr>
        <w:pStyle w:val="style0"/>
        <w:autoSpaceDE w:val="false"/>
        <w:spacing w:after="0" w:before="0" w:line="360" w:lineRule="auto"/>
        <w:jc w:val="both"/>
      </w:pPr>
      <w:r>
        <w:rPr>
          <w:rFonts w:ascii="Arial" w:cs="Arial" w:hAnsi="Arial"/>
          <w:color w:val="000000"/>
          <w:sz w:val="24"/>
          <w:szCs w:val="24"/>
        </w:rPr>
      </w:r>
    </w:p>
    <w:p>
      <w:pPr>
        <w:pStyle w:val="style0"/>
        <w:autoSpaceDE w:val="false"/>
        <w:spacing w:after="0" w:before="0" w:line="360" w:lineRule="auto"/>
        <w:jc w:val="both"/>
      </w:pPr>
      <w:r>
        <w:rPr>
          <w:rFonts w:ascii="Arial" w:cs="Arial" w:hAnsi="Arial"/>
          <w:color w:val="000000"/>
          <w:sz w:val="24"/>
          <w:szCs w:val="24"/>
        </w:rPr>
        <w:t xml:space="preserve">Enciclopedia Wikipedia (2010), presenta la basura como todo aquel material considerado como desecho y que se requiere eliminar. La basura es un producto de las acciones humanas al cual se le considera de valor igual a cero por el desechado. No precisamente debe ser odorífica, repugnante e indeseable; eso depende del origen y composición que ésta tenga. </w:t>
      </w:r>
    </w:p>
    <w:p>
      <w:pPr>
        <w:pStyle w:val="style0"/>
        <w:autoSpaceDE w:val="false"/>
        <w:spacing w:after="0" w:before="0" w:line="360" w:lineRule="auto"/>
        <w:jc w:val="both"/>
      </w:pPr>
      <w:r>
        <w:rPr>
          <w:rFonts w:ascii="Arial" w:cs="Arial" w:hAnsi="Arial"/>
          <w:color w:val="000000"/>
          <w:sz w:val="24"/>
          <w:szCs w:val="24"/>
        </w:rPr>
      </w:r>
    </w:p>
    <w:p>
      <w:pPr>
        <w:pStyle w:val="style0"/>
        <w:autoSpaceDE w:val="false"/>
        <w:spacing w:after="0" w:before="0" w:line="360" w:lineRule="auto"/>
        <w:ind w:firstLine="737" w:left="0" w:right="0"/>
        <w:jc w:val="both"/>
      </w:pPr>
      <w:r>
        <w:rPr>
          <w:rFonts w:ascii="Arial" w:cs="Arial" w:hAnsi="Arial"/>
          <w:color w:val="000000"/>
          <w:sz w:val="24"/>
          <w:szCs w:val="24"/>
        </w:rPr>
        <w:t xml:space="preserve">Normalmente la basura se deposita en lugares previstos para la recolección y ser canalizada a tiraderos o vertederos, rellenos sanitarios u otro lugar. Actualmente, se usa ese término para designar aquella fracción de residuos que no son aprovechables y que por lo tanto debería ser tratada y dispuesta para evitar problemas sanitarios o ambientales. </w:t>
      </w:r>
    </w:p>
    <w:p>
      <w:pPr>
        <w:pStyle w:val="style0"/>
        <w:autoSpaceDE w:val="false"/>
        <w:spacing w:after="0" w:before="0" w:line="360" w:lineRule="auto"/>
        <w:ind w:firstLine="737" w:left="0" w:right="0"/>
        <w:jc w:val="both"/>
      </w:pPr>
      <w:r>
        <w:rPr>
          <w:rFonts w:ascii="Arial" w:cs="Arial" w:hAnsi="Arial"/>
          <w:color w:val="000000"/>
          <w:sz w:val="24"/>
          <w:szCs w:val="24"/>
        </w:rPr>
      </w:r>
    </w:p>
    <w:p>
      <w:pPr>
        <w:pStyle w:val="style0"/>
        <w:autoSpaceDE w:val="false"/>
        <w:spacing w:after="0" w:before="0" w:line="360" w:lineRule="auto"/>
        <w:ind w:firstLine="737" w:left="0" w:right="0"/>
        <w:jc w:val="both"/>
      </w:pPr>
      <w:r>
        <w:rPr>
          <w:rFonts w:ascii="Arial" w:cs="Arial" w:hAnsi="Arial"/>
          <w:color w:val="000000"/>
          <w:sz w:val="24"/>
          <w:szCs w:val="24"/>
        </w:rPr>
        <w:t xml:space="preserve">Para el manejo de estos residuos sólidos se utiliza una serie de procedimientos y políticas que conforman el sistema de manejo de los residuos sólidos. La meta para  desvanecer la basura es realizar una gestión que sea ambiental y económicamente adecuada para todos. </w:t>
      </w:r>
    </w:p>
    <w:p>
      <w:pPr>
        <w:pStyle w:val="style0"/>
        <w:autoSpaceDE w:val="false"/>
        <w:spacing w:after="0" w:before="0" w:line="360" w:lineRule="auto"/>
        <w:jc w:val="both"/>
      </w:pPr>
      <w:r>
        <w:rPr>
          <w:rFonts w:ascii="Arial" w:cs="Arial" w:hAnsi="Arial"/>
          <w:b/>
          <w:bCs/>
          <w:color w:val="000000"/>
          <w:sz w:val="24"/>
          <w:szCs w:val="24"/>
        </w:rPr>
      </w:r>
    </w:p>
    <w:p>
      <w:pPr>
        <w:pStyle w:val="style0"/>
        <w:pageBreakBefore/>
        <w:spacing w:after="0" w:before="0" w:line="240" w:lineRule="auto"/>
      </w:pPr>
      <w:r>
        <w:rPr>
          <w:rFonts w:ascii="Arial" w:cs="Arial" w:hAnsi="Arial"/>
          <w:b/>
          <w:bCs/>
          <w:color w:val="000000"/>
          <w:sz w:val="24"/>
          <w:szCs w:val="24"/>
        </w:rPr>
        <w:t>Tipos de residuos</w:t>
      </w:r>
    </w:p>
    <w:p>
      <w:pPr>
        <w:pStyle w:val="style0"/>
        <w:autoSpaceDE w:val="false"/>
        <w:spacing w:after="0" w:before="0" w:line="360" w:lineRule="auto"/>
        <w:ind w:firstLine="737" w:left="0" w:right="0"/>
        <w:jc w:val="both"/>
      </w:pPr>
      <w:r>
        <w:rPr>
          <w:rFonts w:ascii="Arial" w:cs="Arial" w:hAnsi="Arial"/>
          <w:color w:val="000000"/>
          <w:sz w:val="24"/>
          <w:szCs w:val="24"/>
        </w:rPr>
      </w:r>
    </w:p>
    <w:p>
      <w:pPr>
        <w:pStyle w:val="style0"/>
        <w:autoSpaceDE w:val="false"/>
        <w:spacing w:after="0" w:before="0" w:line="360" w:lineRule="auto"/>
        <w:ind w:firstLine="737" w:left="0" w:right="0"/>
        <w:jc w:val="both"/>
      </w:pPr>
      <w:r>
        <w:rPr>
          <w:rFonts w:ascii="Arial" w:cs="Arial" w:hAnsi="Arial"/>
          <w:color w:val="000000"/>
          <w:sz w:val="24"/>
          <w:szCs w:val="24"/>
        </w:rPr>
        <w:t xml:space="preserve">Todas las actividades humanas producen residuos: los hogares, la agricultura y ganadería, la industria, la actividad comercial, entre otros. Sin embargo, la cantidad y naturaleza de los residuos son muy distintas dependiendo de su origen. Por eso, se suelen distinguir varios grupos: </w:t>
      </w:r>
    </w:p>
    <w:p>
      <w:pPr>
        <w:pStyle w:val="style0"/>
        <w:autoSpaceDE w:val="false"/>
        <w:spacing w:after="0" w:before="0" w:line="360" w:lineRule="auto"/>
        <w:ind w:firstLine="737" w:left="0" w:right="0"/>
        <w:jc w:val="both"/>
      </w:pPr>
      <w:r>
        <w:rPr>
          <w:rFonts w:ascii="Arial" w:cs="Arial" w:hAnsi="Arial"/>
          <w:color w:val="000000"/>
          <w:sz w:val="24"/>
          <w:szCs w:val="24"/>
        </w:rPr>
      </w:r>
    </w:p>
    <w:p>
      <w:pPr>
        <w:pStyle w:val="style199"/>
        <w:numPr>
          <w:ilvl w:val="0"/>
          <w:numId w:val="27"/>
        </w:numPr>
        <w:autoSpaceDE w:val="false"/>
        <w:spacing w:after="0" w:before="0" w:line="360" w:lineRule="auto"/>
        <w:jc w:val="both"/>
      </w:pPr>
      <w:r>
        <w:rPr>
          <w:rFonts w:ascii="Arial" w:cs="Arial" w:hAnsi="Arial"/>
          <w:color w:val="000000"/>
          <w:sz w:val="24"/>
          <w:szCs w:val="24"/>
        </w:rPr>
        <w:t>Según su origen se pueden clasificar los residuos de las siguientes formas:</w:t>
      </w:r>
    </w:p>
    <w:p>
      <w:pPr>
        <w:pStyle w:val="style0"/>
        <w:autoSpaceDE w:val="false"/>
        <w:spacing w:after="0" w:before="0" w:line="360" w:lineRule="auto"/>
        <w:jc w:val="both"/>
      </w:pPr>
      <w:r>
        <w:rPr>
          <w:rFonts w:ascii="Arial" w:cs="Arial" w:hAnsi="Arial"/>
          <w:color w:val="000000"/>
          <w:sz w:val="24"/>
          <w:szCs w:val="24"/>
        </w:rPr>
      </w:r>
    </w:p>
    <w:p>
      <w:pPr>
        <w:pStyle w:val="style199"/>
        <w:numPr>
          <w:ilvl w:val="0"/>
          <w:numId w:val="15"/>
        </w:numPr>
        <w:autoSpaceDE w:val="false"/>
        <w:spacing w:after="0" w:before="0" w:line="360" w:lineRule="auto"/>
        <w:jc w:val="both"/>
      </w:pPr>
      <w:r>
        <w:rPr>
          <w:rFonts w:ascii="Arial" w:cs="Arial" w:hAnsi="Arial"/>
          <w:b/>
          <w:color w:val="000000"/>
          <w:sz w:val="24"/>
          <w:szCs w:val="24"/>
        </w:rPr>
        <w:t>Residuo orgánico</w:t>
      </w:r>
      <w:r>
        <w:rPr>
          <w:rFonts w:ascii="Arial" w:cs="Arial" w:hAnsi="Arial"/>
          <w:color w:val="000000"/>
          <w:sz w:val="24"/>
          <w:szCs w:val="24"/>
        </w:rPr>
        <w:t xml:space="preserve">: desecho de origen biológico, que alguna vez estuvo vivo o fue parte de un ser vivo, por ejemplo: hojas, ramas, cáscaras y residuos de la fabricación de alimentos en el hogar, etc. </w:t>
      </w:r>
    </w:p>
    <w:p>
      <w:pPr>
        <w:pStyle w:val="style199"/>
        <w:numPr>
          <w:ilvl w:val="0"/>
          <w:numId w:val="15"/>
        </w:numPr>
        <w:autoSpaceDE w:val="false"/>
        <w:spacing w:after="0" w:before="0" w:line="360" w:lineRule="auto"/>
        <w:jc w:val="both"/>
      </w:pPr>
      <w:r>
        <w:rPr>
          <w:rFonts w:ascii="Arial" w:cs="Arial" w:hAnsi="Arial"/>
          <w:b/>
          <w:color w:val="000000"/>
          <w:sz w:val="24"/>
          <w:szCs w:val="24"/>
        </w:rPr>
        <w:t>Residuo inorgánico</w:t>
      </w:r>
      <w:r>
        <w:rPr>
          <w:rFonts w:ascii="Arial" w:cs="Arial" w:hAnsi="Arial"/>
          <w:color w:val="000000"/>
          <w:sz w:val="24"/>
          <w:szCs w:val="24"/>
        </w:rPr>
        <w:t xml:space="preserve">: desecho de origen no biológico, de origen industrial o de algún otro proceso no natural, por ejemplo: plástico, telas sintéticas, etc. </w:t>
      </w:r>
    </w:p>
    <w:p>
      <w:pPr>
        <w:pStyle w:val="style199"/>
        <w:numPr>
          <w:ilvl w:val="0"/>
          <w:numId w:val="15"/>
        </w:numPr>
        <w:autoSpaceDE w:val="false"/>
        <w:spacing w:after="0" w:before="0" w:line="360" w:lineRule="auto"/>
        <w:jc w:val="both"/>
      </w:pPr>
      <w:r>
        <w:rPr>
          <w:rFonts w:ascii="Arial" w:cs="Arial" w:hAnsi="Arial"/>
          <w:b/>
          <w:color w:val="000000"/>
          <w:sz w:val="24"/>
          <w:szCs w:val="24"/>
        </w:rPr>
        <w:t>Residuos peligrosos</w:t>
      </w:r>
      <w:r>
        <w:rPr>
          <w:rFonts w:ascii="Arial" w:cs="Arial" w:hAnsi="Arial"/>
          <w:color w:val="000000"/>
          <w:sz w:val="24"/>
          <w:szCs w:val="24"/>
        </w:rPr>
        <w:t xml:space="preserve">: desecho, ya sea de origen biológico o no, que constituye un peligro potencial y por lo cual debe ser tratado de forma especial, por ejemplo: material médico infeccioso, residuo radiactivo, ácidos y sustancias químicas corrosivas, etc. </w:t>
      </w:r>
    </w:p>
    <w:p>
      <w:pPr>
        <w:pStyle w:val="style199"/>
        <w:numPr>
          <w:ilvl w:val="0"/>
          <w:numId w:val="61"/>
        </w:numPr>
        <w:autoSpaceDE w:val="false"/>
        <w:spacing w:after="0" w:before="0" w:line="360" w:lineRule="auto"/>
        <w:jc w:val="both"/>
      </w:pPr>
      <w:r>
        <w:rPr>
          <w:rFonts w:ascii="Arial" w:cs="Arial" w:hAnsi="Arial"/>
          <w:b/>
          <w:color w:val="000000"/>
          <w:sz w:val="24"/>
          <w:szCs w:val="24"/>
        </w:rPr>
        <w:t>Residuo domiciliario</w:t>
      </w:r>
      <w:r>
        <w:rPr>
          <w:rFonts w:ascii="Arial" w:cs="Arial" w:hAnsi="Arial"/>
          <w:color w:val="000000"/>
          <w:sz w:val="24"/>
          <w:szCs w:val="24"/>
        </w:rPr>
        <w:t xml:space="preserve">: basura proveniente de los hogares y/o comunidades. </w:t>
      </w:r>
    </w:p>
    <w:p>
      <w:pPr>
        <w:pStyle w:val="style199"/>
        <w:numPr>
          <w:ilvl w:val="0"/>
          <w:numId w:val="61"/>
        </w:numPr>
        <w:autoSpaceDE w:val="false"/>
        <w:spacing w:after="0" w:before="0" w:line="360" w:lineRule="auto"/>
        <w:jc w:val="both"/>
      </w:pPr>
      <w:r>
        <w:rPr>
          <w:rFonts w:ascii="Arial" w:cs="Arial" w:hAnsi="Arial"/>
          <w:b/>
          <w:color w:val="000000"/>
          <w:sz w:val="24"/>
          <w:szCs w:val="24"/>
        </w:rPr>
        <w:t>Residuo hospitalario</w:t>
      </w:r>
      <w:r>
        <w:rPr>
          <w:rFonts w:ascii="Arial" w:cs="Arial" w:hAnsi="Arial"/>
          <w:color w:val="000000"/>
          <w:sz w:val="24"/>
          <w:szCs w:val="24"/>
        </w:rPr>
        <w:t>: son desechos que son catalogados por lo general como residuos peligrosos y pueden ser orgánicos e inorgánicos.</w:t>
      </w:r>
    </w:p>
    <w:p>
      <w:pPr>
        <w:pStyle w:val="style199"/>
        <w:numPr>
          <w:ilvl w:val="0"/>
          <w:numId w:val="61"/>
        </w:numPr>
        <w:autoSpaceDE w:val="false"/>
        <w:spacing w:after="0" w:before="0" w:line="360" w:lineRule="auto"/>
        <w:jc w:val="both"/>
      </w:pPr>
      <w:r>
        <w:rPr>
          <w:rFonts w:ascii="Arial" w:cs="Arial" w:hAnsi="Arial"/>
          <w:b/>
          <w:color w:val="000000"/>
          <w:sz w:val="24"/>
          <w:szCs w:val="24"/>
        </w:rPr>
        <w:t>Residuo industrial</w:t>
      </w:r>
      <w:r>
        <w:rPr>
          <w:rFonts w:ascii="Arial" w:cs="Arial" w:hAnsi="Arial"/>
          <w:color w:val="000000"/>
          <w:sz w:val="24"/>
          <w:szCs w:val="24"/>
        </w:rPr>
        <w:t xml:space="preserve">: su origen es producto de la manufactura o proceso de transformación de la materia prima. </w:t>
      </w:r>
    </w:p>
    <w:p>
      <w:pPr>
        <w:pStyle w:val="style199"/>
        <w:numPr>
          <w:ilvl w:val="0"/>
          <w:numId w:val="61"/>
        </w:numPr>
        <w:autoSpaceDE w:val="false"/>
        <w:spacing w:after="0" w:before="0" w:line="360" w:lineRule="auto"/>
        <w:jc w:val="both"/>
      </w:pPr>
      <w:r>
        <w:rPr>
          <w:rFonts w:ascii="Arial" w:cs="Arial" w:hAnsi="Arial"/>
          <w:b/>
          <w:color w:val="000000"/>
          <w:sz w:val="24"/>
          <w:szCs w:val="24"/>
        </w:rPr>
        <w:t>Residuo comercial</w:t>
      </w:r>
      <w:r>
        <w:rPr>
          <w:rFonts w:ascii="Arial" w:cs="Arial" w:hAnsi="Arial"/>
          <w:color w:val="000000"/>
          <w:sz w:val="24"/>
          <w:szCs w:val="24"/>
        </w:rPr>
        <w:t xml:space="preserve">: provenientes de ferias, oficinas, tiendas, etc., y cuya composición es orgánica, tales como restos de frutas, verduras, cartones, papeles, etc. </w:t>
      </w:r>
    </w:p>
    <w:p>
      <w:pPr>
        <w:pStyle w:val="style199"/>
        <w:numPr>
          <w:ilvl w:val="0"/>
          <w:numId w:val="61"/>
        </w:numPr>
        <w:autoSpaceDE w:val="false"/>
        <w:spacing w:after="0" w:before="0" w:line="360" w:lineRule="auto"/>
        <w:jc w:val="both"/>
      </w:pPr>
      <w:r>
        <w:rPr>
          <w:rFonts w:ascii="Arial" w:cs="Arial" w:hAnsi="Arial"/>
          <w:b/>
          <w:color w:val="000000"/>
          <w:sz w:val="24"/>
          <w:szCs w:val="24"/>
        </w:rPr>
        <w:t>Residuo urbano</w:t>
      </w:r>
      <w:r>
        <w:rPr>
          <w:rFonts w:ascii="Arial" w:cs="Arial" w:hAnsi="Arial"/>
          <w:color w:val="000000"/>
          <w:sz w:val="24"/>
          <w:szCs w:val="24"/>
        </w:rPr>
        <w:t xml:space="preserve">: correspondiente a las poblaciones, como desechos de parques y jardines, mobiliario urbano inservible, etc. </w:t>
      </w:r>
    </w:p>
    <w:p>
      <w:pPr>
        <w:pStyle w:val="style0"/>
        <w:autoSpaceDE w:val="false"/>
        <w:spacing w:after="0" w:before="0" w:line="360" w:lineRule="auto"/>
        <w:jc w:val="both"/>
      </w:pPr>
      <w:r>
        <w:rPr>
          <w:rFonts w:ascii="Arial" w:cs="Arial" w:hAnsi="Arial"/>
          <w:b/>
          <w:iCs/>
          <w:color w:val="000000"/>
          <w:sz w:val="24"/>
          <w:szCs w:val="24"/>
        </w:rPr>
      </w:r>
    </w:p>
    <w:p>
      <w:pPr>
        <w:pStyle w:val="style0"/>
        <w:autoSpaceDE w:val="false"/>
        <w:spacing w:after="0" w:before="0" w:line="360" w:lineRule="auto"/>
        <w:jc w:val="both"/>
      </w:pPr>
      <w:r>
        <w:rPr>
          <w:rFonts w:ascii="Arial" w:cs="Arial" w:hAnsi="Arial"/>
          <w:b/>
          <w:iCs/>
          <w:color w:val="000000"/>
          <w:sz w:val="24"/>
          <w:szCs w:val="24"/>
        </w:rPr>
        <w:t xml:space="preserve">Basura Tecnológica </w:t>
      </w:r>
    </w:p>
    <w:p>
      <w:pPr>
        <w:pStyle w:val="style0"/>
        <w:autoSpaceDE w:val="false"/>
        <w:spacing w:after="0" w:before="0" w:line="360" w:lineRule="auto"/>
        <w:jc w:val="both"/>
      </w:pPr>
      <w:r>
        <w:rPr>
          <w:rFonts w:ascii="Arial" w:cs="Arial" w:hAnsi="Arial"/>
          <w:b/>
          <w:iCs/>
          <w:color w:val="000000"/>
          <w:sz w:val="24"/>
          <w:szCs w:val="24"/>
        </w:rPr>
      </w:r>
    </w:p>
    <w:p>
      <w:pPr>
        <w:pStyle w:val="style0"/>
        <w:autoSpaceDE w:val="false"/>
        <w:spacing w:after="0" w:before="0" w:line="360" w:lineRule="auto"/>
        <w:ind w:firstLine="737" w:left="0" w:right="0"/>
        <w:jc w:val="both"/>
      </w:pPr>
      <w:r>
        <w:rPr>
          <w:rFonts w:ascii="Arial" w:cs="Arial" w:hAnsi="Arial"/>
          <w:color w:val="000000"/>
          <w:sz w:val="24"/>
          <w:szCs w:val="24"/>
        </w:rPr>
        <w:t xml:space="preserve">La basura tecnológica o chatarra electrónica, es la que se produce al final de la vida útil de todo tipo de aparatos electrodomésticos, pero especialmente de la electrónica de consumo (computadoras, televisores, ordenadores, teléfonos móviles) que son potencialmente muy peligrosos para el medio ambiente y para sus operadores si no se reciclan apropiadamente </w:t>
      </w:r>
    </w:p>
    <w:p>
      <w:pPr>
        <w:pStyle w:val="style0"/>
        <w:autoSpaceDE w:val="false"/>
        <w:spacing w:after="0" w:before="0" w:line="360" w:lineRule="auto"/>
        <w:ind w:firstLine="737" w:left="0" w:right="0"/>
        <w:jc w:val="both"/>
      </w:pPr>
      <w:r>
        <w:rPr>
          <w:rFonts w:ascii="Arial" w:cs="Arial" w:hAnsi="Arial"/>
          <w:color w:val="000000"/>
          <w:sz w:val="24"/>
          <w:szCs w:val="24"/>
        </w:rPr>
      </w:r>
    </w:p>
    <w:p>
      <w:pPr>
        <w:pStyle w:val="style0"/>
        <w:autoSpaceDE w:val="false"/>
        <w:spacing w:after="0" w:before="0" w:line="360" w:lineRule="auto"/>
        <w:jc w:val="both"/>
      </w:pPr>
      <w:r>
        <w:rPr>
          <w:rFonts w:ascii="Arial" w:cs="Arial" w:hAnsi="Arial"/>
          <w:b/>
          <w:iCs/>
          <w:color w:val="000000"/>
          <w:sz w:val="24"/>
          <w:szCs w:val="24"/>
        </w:rPr>
        <w:t xml:space="preserve">Basura Espacial </w:t>
      </w:r>
    </w:p>
    <w:p>
      <w:pPr>
        <w:pStyle w:val="style0"/>
        <w:autoSpaceDE w:val="false"/>
        <w:spacing w:after="0" w:before="0" w:line="360" w:lineRule="auto"/>
        <w:ind w:firstLine="737" w:left="0" w:right="0"/>
        <w:jc w:val="both"/>
      </w:pPr>
      <w:r>
        <w:rPr>
          <w:rFonts w:ascii="Arial" w:cs="Arial" w:hAnsi="Arial"/>
          <w:color w:val="000000"/>
          <w:sz w:val="24"/>
          <w:szCs w:val="24"/>
        </w:rPr>
      </w:r>
    </w:p>
    <w:p>
      <w:pPr>
        <w:pStyle w:val="style0"/>
        <w:autoSpaceDE w:val="false"/>
        <w:spacing w:after="0" w:before="0" w:line="360" w:lineRule="auto"/>
        <w:jc w:val="both"/>
      </w:pPr>
      <w:r>
        <w:rPr>
          <w:rFonts w:ascii="Arial" w:cs="Arial" w:hAnsi="Arial"/>
          <w:color w:val="000000"/>
          <w:sz w:val="24"/>
          <w:szCs w:val="24"/>
        </w:rPr>
        <w:t xml:space="preserve">La basura espacial son aquellos objetos y fragmentos de origen humano que se encuentran en órbita terrestre. En su gran mayoría la basura espacial es el resultado de la destrucción en órbita de satélites y cohetes. </w:t>
      </w:r>
    </w:p>
    <w:p>
      <w:pPr>
        <w:pStyle w:val="style0"/>
        <w:autoSpaceDE w:val="false"/>
        <w:spacing w:after="0" w:before="0" w:line="360" w:lineRule="auto"/>
        <w:ind w:firstLine="737" w:left="0" w:right="0"/>
        <w:jc w:val="both"/>
      </w:pPr>
      <w:r>
        <w:rPr>
          <w:rFonts w:ascii="Arial" w:cs="Arial" w:hAnsi="Arial"/>
          <w:color w:val="000000"/>
          <w:sz w:val="24"/>
          <w:szCs w:val="24"/>
        </w:rPr>
        <w:t xml:space="preserve">Estos objetos son atraídos por la Tierra y se desintegran sin dejar rastro, sin embargo los objetos y fragmentos menores no logran salir de órbita (caen hacia la Tierra) por lo que contribuyen a la basura espacial. </w:t>
      </w:r>
    </w:p>
    <w:p>
      <w:pPr>
        <w:pStyle w:val="style0"/>
        <w:autoSpaceDE w:val="false"/>
        <w:spacing w:after="0" w:before="0" w:line="360" w:lineRule="auto"/>
        <w:ind w:firstLine="737" w:left="0" w:right="0"/>
        <w:jc w:val="both"/>
      </w:pPr>
      <w:r>
        <w:rPr>
          <w:rFonts w:ascii="Arial" w:cs="Arial" w:hAnsi="Arial"/>
          <w:color w:val="000000"/>
          <w:sz w:val="24"/>
          <w:szCs w:val="24"/>
        </w:rPr>
      </w:r>
    </w:p>
    <w:p>
      <w:pPr>
        <w:pStyle w:val="style0"/>
        <w:autoSpaceDE w:val="false"/>
        <w:spacing w:after="0" w:before="0" w:line="360" w:lineRule="auto"/>
        <w:jc w:val="both"/>
      </w:pPr>
      <w:r>
        <w:rPr>
          <w:rFonts w:ascii="Arial" w:cs="Arial" w:hAnsi="Arial"/>
          <w:color w:val="000000"/>
          <w:sz w:val="24"/>
          <w:szCs w:val="24"/>
        </w:rPr>
        <w:tab/>
        <w:t>Esta basura tiene gran repercusión en toda nueva misión espacial, ya sea que esté destinada a permanecer en órbita o salir al espacio exterior. El peligro de golpes es significativo pues en la órbita baja los choques suelen ocurrir a 10 km/s. Un fragmento de 3 mm a esta celeridad tiene el mismo poder que una piedra de 15 cm de diámetro a 110 km/h.</w:t>
      </w:r>
    </w:p>
    <w:p>
      <w:pPr>
        <w:pStyle w:val="style0"/>
        <w:autoSpaceDE w:val="false"/>
        <w:spacing w:after="0" w:before="0" w:line="360" w:lineRule="auto"/>
        <w:ind w:firstLine="737" w:left="0" w:right="0"/>
        <w:jc w:val="both"/>
      </w:pPr>
      <w:r>
        <w:rPr>
          <w:rFonts w:ascii="Arial" w:cs="Arial" w:hAnsi="Arial"/>
          <w:color w:val="000000"/>
          <w:sz w:val="24"/>
          <w:szCs w:val="24"/>
        </w:rPr>
      </w:r>
    </w:p>
    <w:p>
      <w:pPr>
        <w:pStyle w:val="style0"/>
        <w:autoSpaceDE w:val="false"/>
        <w:spacing w:after="0" w:before="0" w:line="360" w:lineRule="auto"/>
        <w:ind w:firstLine="737" w:left="0" w:right="0"/>
        <w:jc w:val="both"/>
      </w:pPr>
      <w:r>
        <w:rPr>
          <w:rFonts w:ascii="Arial" w:cs="Arial" w:hAnsi="Arial"/>
          <w:color w:val="000000"/>
          <w:sz w:val="24"/>
          <w:szCs w:val="24"/>
        </w:rPr>
        <w:t xml:space="preserve">Como posibles soluciones a estos fenómenos se ha propuesto enviar a la órbita un globo de espuma capaz de recolectar esta basura. Además, se propone para futuras misiones incluir en los fragmentos liberar en órbita propulsores encargados de hacer caer hacia la Tierra tales objetos consiguiendo con esto su desintegración. </w:t>
      </w:r>
    </w:p>
    <w:p>
      <w:pPr>
        <w:pStyle w:val="style0"/>
        <w:autoSpaceDE w:val="false"/>
        <w:spacing w:after="0" w:before="0" w:line="360" w:lineRule="auto"/>
        <w:jc w:val="both"/>
      </w:pPr>
      <w:r>
        <w:rPr>
          <w:rFonts w:ascii="Arial" w:cs="Arial" w:hAnsi="Arial"/>
          <w:b/>
          <w:iCs/>
          <w:color w:val="000000"/>
          <w:sz w:val="24"/>
          <w:szCs w:val="24"/>
        </w:rPr>
      </w:r>
    </w:p>
    <w:p>
      <w:pPr>
        <w:pStyle w:val="style0"/>
        <w:autoSpaceDE w:val="false"/>
        <w:spacing w:after="0" w:before="0" w:line="360" w:lineRule="auto"/>
        <w:jc w:val="both"/>
      </w:pPr>
      <w:r>
        <w:rPr>
          <w:rFonts w:ascii="Arial" w:cs="Arial" w:hAnsi="Arial"/>
          <w:b/>
          <w:iCs/>
          <w:color w:val="000000"/>
          <w:sz w:val="24"/>
          <w:szCs w:val="24"/>
        </w:rPr>
        <w:t xml:space="preserve">Ley de las tres erres (3R’s) </w:t>
      </w:r>
    </w:p>
    <w:p>
      <w:pPr>
        <w:pStyle w:val="style0"/>
        <w:autoSpaceDE w:val="false"/>
        <w:spacing w:after="0" w:before="0" w:line="360" w:lineRule="auto"/>
        <w:jc w:val="both"/>
      </w:pPr>
      <w:r>
        <w:rPr>
          <w:rFonts w:ascii="Arial" w:cs="Arial" w:hAnsi="Arial"/>
          <w:b/>
          <w:color w:val="000000"/>
          <w:sz w:val="24"/>
          <w:szCs w:val="24"/>
        </w:rPr>
      </w:r>
    </w:p>
    <w:p>
      <w:pPr>
        <w:pStyle w:val="style0"/>
        <w:autoSpaceDE w:val="false"/>
        <w:spacing w:after="0" w:before="0" w:line="360" w:lineRule="auto"/>
        <w:ind w:firstLine="737" w:left="0" w:right="0"/>
        <w:jc w:val="both"/>
      </w:pPr>
      <w:r>
        <w:rPr>
          <w:rFonts w:ascii="Arial" w:cs="Arial" w:hAnsi="Arial"/>
          <w:color w:val="000000"/>
          <w:sz w:val="24"/>
          <w:szCs w:val="24"/>
        </w:rPr>
        <w:t xml:space="preserve">La Ley de las 3R’s, fue una propuesta que popularizó la Organización Ecologista Greenpeace (2006) que propugna la reducción, la reutilización y el reciclaje de los productos que consumimos. </w:t>
      </w:r>
    </w:p>
    <w:p>
      <w:pPr>
        <w:pStyle w:val="style0"/>
        <w:autoSpaceDE w:val="false"/>
        <w:spacing w:after="0" w:before="0" w:line="360" w:lineRule="auto"/>
        <w:ind w:firstLine="737" w:left="0" w:right="0"/>
        <w:jc w:val="both"/>
      </w:pPr>
      <w:r>
        <w:rPr>
          <w:rFonts w:ascii="Arial" w:cs="Arial" w:hAnsi="Arial"/>
          <w:color w:val="000000"/>
          <w:sz w:val="24"/>
          <w:szCs w:val="24"/>
        </w:rPr>
      </w:r>
    </w:p>
    <w:p>
      <w:pPr>
        <w:pStyle w:val="style197"/>
        <w:shd w:fill="FFFFFF" w:val="clear"/>
        <w:spacing w:after="150" w:before="150" w:line="360" w:lineRule="auto"/>
        <w:jc w:val="both"/>
      </w:pPr>
      <w:r>
        <w:rPr>
          <w:rFonts w:ascii="Arial" w:cs="Arial" w:hAnsi="Arial"/>
          <w:b/>
          <w:iCs/>
          <w:color w:val="000000"/>
        </w:rPr>
        <w:t>Reducir</w:t>
      </w:r>
      <w:r>
        <w:rPr>
          <w:rFonts w:ascii="Arial" w:cs="Arial" w:hAnsi="Arial"/>
          <w:iCs/>
          <w:color w:val="000000"/>
        </w:rPr>
        <w:t xml:space="preserve">: </w:t>
      </w:r>
      <w:r>
        <w:rPr>
          <w:rFonts w:ascii="Arial" w:cs="Arial" w:hAnsi="Arial"/>
        </w:rPr>
        <w:t xml:space="preserve">consiste </w:t>
      </w:r>
      <w:r>
        <w:rPr>
          <w:rFonts w:ascii="Arial" w:cs="Arial" w:hAnsi="Arial"/>
          <w:color w:val="000000"/>
        </w:rPr>
        <w:t>en minimizar la cantidad de residuos sólidos generados para disminuir los impactos ambientales y los costos asociados a su manipulación. La reducción de residuos sólidos puede realizarse en las viviendas, las instalaciones comerciales e industriales a través de compras selectivas y del aprovechamiento de productos  y materiales.</w:t>
      </w:r>
    </w:p>
    <w:p>
      <w:pPr>
        <w:pStyle w:val="style197"/>
        <w:shd w:fill="FFFFFF" w:val="clear"/>
        <w:spacing w:after="150" w:before="0" w:line="360" w:lineRule="auto"/>
        <w:jc w:val="both"/>
      </w:pPr>
      <w:r>
        <w:rPr>
          <w:rFonts w:ascii="Arial" w:cs="Arial" w:eastAsia="Arial" w:hAnsi="Arial"/>
          <w:color w:val="333333"/>
        </w:rPr>
        <w:t xml:space="preserve"> </w:t>
      </w:r>
      <w:r>
        <w:rPr>
          <w:rFonts w:ascii="Arial" w:cs="Arial" w:hAnsi="Arial"/>
          <w:color w:val="333333"/>
        </w:rPr>
        <w:tab/>
      </w:r>
      <w:r>
        <w:rPr>
          <w:rFonts w:ascii="Arial" w:cs="Arial" w:hAnsi="Arial"/>
          <w:color w:val="000000"/>
          <w:lang w:eastAsia="es-ES" w:val="es-ES"/>
        </w:rPr>
        <w:t>Los</w:t>
      </w:r>
      <w:r>
        <w:rPr>
          <w:rFonts w:ascii="Arial" w:cs="Arial" w:hAnsi="Arial"/>
          <w:bCs/>
          <w:color w:val="000000"/>
          <w:lang w:eastAsia="es-ES" w:val="es-ES"/>
        </w:rPr>
        <w:t xml:space="preserve"> residuos sólidos</w:t>
      </w:r>
      <w:r>
        <w:rPr>
          <w:rFonts w:ascii="Arial" w:cs="Arial" w:hAnsi="Arial"/>
          <w:color w:val="000000"/>
          <w:lang w:eastAsia="es-ES" w:val="es-ES"/>
        </w:rPr>
        <w:t>, son los que componen aquellos materiales desechados tras su vida útil, y que por lo general por sí solos carecen de valor económico.</w:t>
      </w:r>
    </w:p>
    <w:p>
      <w:pPr>
        <w:pStyle w:val="style0"/>
        <w:shd w:fill="FFFFFF" w:val="clear"/>
        <w:spacing w:after="150" w:before="0" w:line="360" w:lineRule="auto"/>
        <w:jc w:val="both"/>
      </w:pPr>
      <w:r>
        <w:rPr>
          <w:rFonts w:ascii="Arial" w:cs="Arial" w:eastAsia="Times New Roman" w:hAnsi="Arial"/>
          <w:color w:val="000000"/>
          <w:sz w:val="24"/>
          <w:szCs w:val="24"/>
          <w:lang w:eastAsia="es-ES"/>
        </w:rPr>
        <w:tab/>
        <w:t xml:space="preserve">Estos se componen principalmente de desechos procedentes de materiales utilizados en la fabricación, transformación o utilización de bienes de consumo. </w:t>
      </w:r>
    </w:p>
    <w:p>
      <w:pPr>
        <w:pStyle w:val="style0"/>
        <w:shd w:fill="FFFFFF" w:val="clear"/>
        <w:spacing w:after="150" w:before="0" w:line="360" w:lineRule="auto"/>
        <w:jc w:val="both"/>
      </w:pPr>
      <w:r>
        <w:rPr>
          <w:rFonts w:ascii="Arial" w:cs="Arial" w:eastAsia="Times New Roman" w:hAnsi="Arial"/>
          <w:color w:val="000000"/>
          <w:sz w:val="24"/>
          <w:szCs w:val="24"/>
          <w:lang w:eastAsia="es-ES"/>
        </w:rPr>
        <w:tab/>
        <w:t>La  mayoría de los residuos son susceptibles de reaprovercharse o transformarse con un correcto reciclado. Los principales "productores" de residuos sólidos son los ciudadanos de las grandes ciudades, con un porcentaje muy elevado, en especial por la poca conciencia del reciclaje que existe en la actualidad esto está cambiando poco a poco, debido al  problema  con el cambio climático, ahora es  una amenaza real y a corto plazo</w:t>
      </w:r>
      <w:r>
        <w:rPr>
          <w:rFonts w:ascii="Arial" w:cs="Arial" w:eastAsia="Times New Roman" w:hAnsi="Arial"/>
          <w:color w:val="333333"/>
          <w:sz w:val="24"/>
          <w:szCs w:val="24"/>
          <w:lang w:eastAsia="es-ES"/>
        </w:rPr>
        <w:t>.</w:t>
      </w:r>
    </w:p>
    <w:p>
      <w:pPr>
        <w:pStyle w:val="style0"/>
        <w:shd w:fill="FFFFFF" w:val="clear"/>
        <w:spacing w:after="150" w:before="0" w:line="240" w:lineRule="auto"/>
        <w:jc w:val="both"/>
      </w:pPr>
      <w:r>
        <w:rPr>
          <w:rFonts w:ascii="Arial" w:cs="Arial" w:eastAsia="Times New Roman" w:hAnsi="Arial"/>
          <w:color w:val="333333"/>
          <w:sz w:val="24"/>
          <w:szCs w:val="24"/>
          <w:lang w:eastAsia="es-ES"/>
        </w:rPr>
      </w:r>
    </w:p>
    <w:p>
      <w:pPr>
        <w:pStyle w:val="style0"/>
        <w:autoSpaceDE w:val="false"/>
        <w:spacing w:after="0" w:before="0" w:line="360" w:lineRule="auto"/>
        <w:ind w:hanging="0" w:left="360" w:right="0"/>
        <w:jc w:val="both"/>
      </w:pPr>
      <w:r>
        <w:rPr>
          <w:rFonts w:ascii="Arial" w:cs="Arial" w:hAnsi="Arial"/>
          <w:color w:val="000000"/>
          <w:sz w:val="24"/>
          <w:szCs w:val="24"/>
        </w:rPr>
        <w:t xml:space="preserve">. Algunos desechos que se pueden reducir   son:  </w:t>
      </w:r>
    </w:p>
    <w:p>
      <w:pPr>
        <w:pStyle w:val="style0"/>
        <w:autoSpaceDE w:val="false"/>
        <w:spacing w:after="0" w:before="0" w:line="360" w:lineRule="auto"/>
        <w:ind w:hanging="0" w:left="360" w:right="0"/>
        <w:jc w:val="both"/>
      </w:pPr>
      <w:r>
        <w:rPr>
          <w:rFonts w:ascii="Arial" w:cs="Arial" w:hAnsi="Arial"/>
          <w:color w:val="000000"/>
          <w:sz w:val="24"/>
          <w:szCs w:val="24"/>
        </w:rPr>
      </w:r>
    </w:p>
    <w:p>
      <w:pPr>
        <w:pStyle w:val="style199"/>
        <w:numPr>
          <w:ilvl w:val="0"/>
          <w:numId w:val="28"/>
        </w:numPr>
        <w:autoSpaceDE w:val="false"/>
        <w:spacing w:after="0" w:before="0" w:line="360" w:lineRule="auto"/>
        <w:jc w:val="both"/>
      </w:pPr>
      <w:r>
        <w:rPr>
          <w:rFonts w:ascii="Arial" w:cs="Arial" w:hAnsi="Arial"/>
          <w:color w:val="000000"/>
          <w:sz w:val="24"/>
          <w:szCs w:val="24"/>
        </w:rPr>
        <w:t xml:space="preserve">Utilizar productos de usar y tirar, como papel de cocina o pañuelos de papel. </w:t>
      </w:r>
    </w:p>
    <w:p>
      <w:pPr>
        <w:pStyle w:val="style199"/>
        <w:numPr>
          <w:ilvl w:val="0"/>
          <w:numId w:val="28"/>
        </w:numPr>
        <w:autoSpaceDE w:val="false"/>
        <w:spacing w:after="0" w:before="0" w:line="360" w:lineRule="auto"/>
        <w:jc w:val="both"/>
      </w:pPr>
      <w:r>
        <w:rPr>
          <w:rFonts w:ascii="Arial" w:cs="Arial" w:hAnsi="Arial"/>
          <w:color w:val="000000"/>
          <w:sz w:val="24"/>
          <w:szCs w:val="24"/>
        </w:rPr>
        <w:t xml:space="preserve">Disminuir el uso del papel de aluminio, en su lugar utilizar fiambreras o recipientes </w:t>
      </w:r>
    </w:p>
    <w:p>
      <w:pPr>
        <w:pStyle w:val="style199"/>
        <w:numPr>
          <w:ilvl w:val="0"/>
          <w:numId w:val="28"/>
        </w:numPr>
        <w:autoSpaceDE w:val="false"/>
        <w:spacing w:after="0" w:before="0" w:line="360" w:lineRule="auto"/>
        <w:jc w:val="both"/>
      </w:pPr>
      <w:r>
        <w:rPr>
          <w:rFonts w:ascii="Arial" w:cs="Arial" w:hAnsi="Arial"/>
          <w:color w:val="000000"/>
          <w:sz w:val="24"/>
          <w:szCs w:val="24"/>
        </w:rPr>
        <w:t xml:space="preserve">Reducir el uso de las bolsas de plástico para la compra, recuperar los cestos </w:t>
      </w:r>
    </w:p>
    <w:p>
      <w:pPr>
        <w:pStyle w:val="style199"/>
        <w:numPr>
          <w:ilvl w:val="0"/>
          <w:numId w:val="28"/>
        </w:numPr>
        <w:autoSpaceDE w:val="false"/>
        <w:spacing w:after="0" w:before="0" w:line="360" w:lineRule="auto"/>
        <w:jc w:val="both"/>
      </w:pPr>
      <w:r>
        <w:rPr>
          <w:rFonts w:ascii="Arial" w:cs="Arial" w:hAnsi="Arial"/>
          <w:color w:val="000000"/>
          <w:sz w:val="24"/>
          <w:szCs w:val="24"/>
        </w:rPr>
        <w:t>Ahorrar el consumo de energía, utilizar el transporte público, apagar las luces cuando no sean necesarias.</w:t>
      </w:r>
    </w:p>
    <w:p>
      <w:pPr>
        <w:pStyle w:val="style199"/>
        <w:numPr>
          <w:ilvl w:val="0"/>
          <w:numId w:val="28"/>
        </w:numPr>
        <w:autoSpaceDE w:val="false"/>
        <w:spacing w:after="0" w:before="0" w:line="360" w:lineRule="auto"/>
        <w:jc w:val="both"/>
      </w:pPr>
      <w:r>
        <w:rPr>
          <w:rFonts w:ascii="Arial" w:cs="Arial" w:hAnsi="Arial"/>
          <w:color w:val="000000"/>
          <w:sz w:val="24"/>
          <w:szCs w:val="24"/>
        </w:rPr>
        <w:t>Vigilar el consumo de agua, ducharse en lugar de bañarse, fijarse que los grifos no pierdan agua</w:t>
      </w:r>
    </w:p>
    <w:p>
      <w:pPr>
        <w:pStyle w:val="style0"/>
        <w:pageBreakBefore/>
        <w:tabs>
          <w:tab w:leader="none" w:pos="0" w:val="left"/>
        </w:tabs>
      </w:pPr>
      <w:r>
        <w:rPr>
          <w:rFonts w:ascii="Arial" w:cs="Arial" w:hAnsi="Arial"/>
          <w:b/>
          <w:iCs/>
          <w:color w:val="000000"/>
          <w:sz w:val="24"/>
          <w:szCs w:val="24"/>
        </w:rPr>
        <w:t xml:space="preserve">Cadena del Reciclaje </w:t>
      </w:r>
    </w:p>
    <w:p>
      <w:pPr>
        <w:pStyle w:val="style0"/>
        <w:autoSpaceDE w:val="false"/>
        <w:spacing w:after="0" w:before="0" w:line="360" w:lineRule="auto"/>
      </w:pPr>
      <w:r>
        <w:rPr>
          <w:rFonts w:ascii="Arial" w:cs="Arial" w:hAnsi="Arial"/>
          <w:b/>
          <w:color w:val="000000"/>
          <w:sz w:val="24"/>
          <w:szCs w:val="24"/>
        </w:rPr>
      </w:r>
    </w:p>
    <w:p>
      <w:pPr>
        <w:pStyle w:val="style0"/>
        <w:autoSpaceDE w:val="false"/>
        <w:spacing w:after="0" w:before="0" w:line="360" w:lineRule="auto"/>
        <w:ind w:firstLine="737" w:left="0" w:right="0"/>
        <w:jc w:val="both"/>
      </w:pPr>
      <w:r>
        <w:rPr>
          <w:rFonts w:ascii="Arial" w:cs="Arial" w:hAnsi="Arial"/>
          <w:color w:val="000000"/>
          <w:sz w:val="24"/>
          <w:szCs w:val="24"/>
        </w:rPr>
        <w:t xml:space="preserve">En ecologismo.com (2010) la cadena de reciclaje consta de varios pasos, se inicia en donde se originan los desechos que pueden ser domésticos o industriales; se recolectan y se transportan a las plantas de clasificación, que es el momento en el que se seleccionan la que puede reciclarse. Luego los desechos llegan a las plantas de transferencia, en donde se mezclan para realizar transportaciones mayores. y, por último, llega a la planta de valorización, lugar donde los residuos se reciclan, se almacenan o se usan para la producción de materia prima. Este proceso cuenta con: deposito, consumo, tratamiento, distribución, fabricación, Envasado  y recogida </w:t>
      </w:r>
    </w:p>
    <w:p>
      <w:pPr>
        <w:pStyle w:val="style0"/>
        <w:autoSpaceDE w:val="false"/>
        <w:spacing w:after="0" w:before="0" w:line="360" w:lineRule="auto"/>
        <w:ind w:firstLine="737" w:left="0" w:right="0"/>
        <w:jc w:val="both"/>
      </w:pPr>
      <w:r>
        <w:rPr/>
        <w:drawing>
          <wp:inline distB="0" distL="0" distR="0" distT="0">
            <wp:extent cx="4070350" cy="2276475"/>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12"/>
                    <a:srcRect/>
                    <a:stretch>
                      <a:fillRect/>
                    </a:stretch>
                  </pic:blipFill>
                  <pic:spPr bwMode="auto">
                    <a:xfrm>
                      <a:off x="0" y="0"/>
                      <a:ext cx="4070350" cy="2276475"/>
                    </a:xfrm>
                    <a:prstGeom prst="rect">
                      <a:avLst/>
                    </a:prstGeom>
                    <a:noFill/>
                    <a:ln w="9525">
                      <a:noFill/>
                      <a:miter lim="800000"/>
                      <a:headEnd/>
                      <a:tailEnd/>
                    </a:ln>
                  </pic:spPr>
                </pic:pic>
              </a:graphicData>
            </a:graphic>
          </wp:inline>
        </w:drawing>
      </w:r>
    </w:p>
    <w:p>
      <w:pPr>
        <w:pStyle w:val="style0"/>
        <w:autoSpaceDE w:val="false"/>
        <w:spacing w:after="0" w:before="0" w:line="360" w:lineRule="auto"/>
        <w:ind w:firstLine="737" w:left="0" w:right="0"/>
        <w:jc w:val="both"/>
      </w:pPr>
      <w:r>
        <w:rPr>
          <w:rFonts w:ascii="Arial" w:cs="Arial" w:hAnsi="Arial"/>
          <w:color w:val="000000"/>
          <w:sz w:val="24"/>
          <w:szCs w:val="24"/>
        </w:rPr>
      </w:r>
    </w:p>
    <w:p>
      <w:pPr>
        <w:pStyle w:val="style0"/>
        <w:autoSpaceDE w:val="false"/>
        <w:spacing w:after="0" w:before="0" w:line="360" w:lineRule="auto"/>
        <w:ind w:firstLine="737" w:left="0" w:right="0"/>
        <w:jc w:val="both"/>
      </w:pPr>
      <w:r>
        <w:rPr>
          <w:rFonts w:ascii="Arial" w:cs="Arial" w:hAnsi="Arial"/>
          <w:color w:val="000000"/>
          <w:sz w:val="24"/>
          <w:szCs w:val="24"/>
        </w:rPr>
        <w:t>Figura Nº  2  Cadena de Reciclaje</w:t>
      </w:r>
    </w:p>
    <w:p>
      <w:pPr>
        <w:pStyle w:val="style0"/>
        <w:autoSpaceDE w:val="false"/>
        <w:spacing w:after="0" w:before="0" w:line="360" w:lineRule="auto"/>
        <w:ind w:firstLine="737" w:left="0" w:right="0"/>
        <w:jc w:val="both"/>
      </w:pPr>
      <w:r>
        <w:rPr>
          <w:rFonts w:ascii="Arial" w:cs="Arial" w:hAnsi="Arial"/>
          <w:color w:val="000000"/>
          <w:sz w:val="24"/>
          <w:szCs w:val="24"/>
        </w:rPr>
        <w:t xml:space="preserve">Fuente: ecologismo/como-es-la-cadena-del-reciclad 2010. </w:t>
      </w:r>
    </w:p>
    <w:p>
      <w:pPr>
        <w:pStyle w:val="style0"/>
        <w:autoSpaceDE w:val="false"/>
        <w:spacing w:after="0" w:before="0" w:line="360" w:lineRule="auto"/>
        <w:jc w:val="both"/>
      </w:pPr>
      <w:r>
        <w:rPr>
          <w:rFonts w:ascii="Arial" w:cs="Arial" w:hAnsi="Arial"/>
          <w:color w:val="000000"/>
          <w:sz w:val="24"/>
          <w:szCs w:val="24"/>
        </w:rPr>
        <w:tab/>
      </w:r>
    </w:p>
    <w:p>
      <w:pPr>
        <w:pStyle w:val="style0"/>
        <w:autoSpaceDE w:val="false"/>
        <w:spacing w:after="0" w:before="0" w:line="360" w:lineRule="auto"/>
        <w:jc w:val="both"/>
      </w:pPr>
      <w:r>
        <w:rPr>
          <w:rFonts w:ascii="Arial" w:cs="Arial" w:hAnsi="Arial"/>
          <w:color w:val="000000"/>
          <w:sz w:val="24"/>
          <w:szCs w:val="24"/>
        </w:rPr>
        <w:tab/>
        <w:t xml:space="preserve">Son muchos los productos que se pueden reciclar, siempre que se tenga la voluntad y el cuidado de gestionarlos correctamente. </w:t>
      </w:r>
    </w:p>
    <w:p>
      <w:pPr>
        <w:pStyle w:val="style0"/>
        <w:autoSpaceDE w:val="false"/>
        <w:spacing w:after="0" w:before="0" w:line="240" w:lineRule="auto"/>
        <w:jc w:val="both"/>
      </w:pPr>
      <w:r>
        <w:rPr>
          <w:rFonts w:ascii="Arial" w:cs="Arial" w:hAnsi="Arial"/>
          <w:color w:val="000000"/>
          <w:sz w:val="24"/>
          <w:szCs w:val="24"/>
        </w:rPr>
      </w:r>
    </w:p>
    <w:p>
      <w:pPr>
        <w:pStyle w:val="style0"/>
        <w:autoSpaceDE w:val="false"/>
        <w:spacing w:after="0" w:before="0" w:line="360" w:lineRule="auto"/>
        <w:jc w:val="both"/>
      </w:pPr>
      <w:r>
        <w:rPr>
          <w:rFonts w:ascii="Arial" w:cs="Arial" w:hAnsi="Arial"/>
          <w:color w:val="000000"/>
          <w:sz w:val="24"/>
          <w:szCs w:val="24"/>
        </w:rPr>
        <w:tab/>
        <w:t xml:space="preserve">El reciclado de cualquier material o producto sigue el siguiente ciclo: </w:t>
      </w:r>
    </w:p>
    <w:p>
      <w:pPr>
        <w:pStyle w:val="style0"/>
        <w:autoSpaceDE w:val="false"/>
        <w:spacing w:after="0" w:before="0" w:line="360" w:lineRule="auto"/>
        <w:jc w:val="both"/>
      </w:pPr>
      <w:r>
        <w:rPr>
          <w:rFonts w:ascii="Arial" w:cs="Arial" w:hAnsi="Arial"/>
          <w:color w:val="000000"/>
          <w:sz w:val="24"/>
          <w:szCs w:val="24"/>
        </w:rPr>
      </w:r>
    </w:p>
    <w:p>
      <w:pPr>
        <w:pStyle w:val="style0"/>
        <w:autoSpaceDE w:val="false"/>
        <w:spacing w:after="167" w:before="0" w:line="360" w:lineRule="auto"/>
        <w:ind w:hanging="0" w:left="567" w:right="0"/>
        <w:jc w:val="both"/>
      </w:pPr>
      <w:r>
        <w:rPr>
          <w:rFonts w:ascii="Arial" w:cs="Arial" w:hAnsi="Arial"/>
          <w:color w:val="000000"/>
          <w:sz w:val="24"/>
          <w:szCs w:val="24"/>
        </w:rPr>
        <w:t xml:space="preserve">1. Producción de la materia prima, tanto a partir de recursos naturales como de productos reciclados </w:t>
      </w:r>
    </w:p>
    <w:p>
      <w:pPr>
        <w:pStyle w:val="style0"/>
        <w:autoSpaceDE w:val="false"/>
        <w:spacing w:after="167" w:before="0" w:line="360" w:lineRule="auto"/>
        <w:ind w:hanging="0" w:left="567" w:right="0"/>
        <w:jc w:val="both"/>
      </w:pPr>
      <w:r>
        <w:rPr>
          <w:rFonts w:ascii="Arial" w:cs="Arial" w:hAnsi="Arial"/>
          <w:color w:val="000000"/>
          <w:sz w:val="24"/>
          <w:szCs w:val="24"/>
        </w:rPr>
        <w:t xml:space="preserve">2. Fabricación del envase, en caso de productos envasados </w:t>
      </w:r>
    </w:p>
    <w:p>
      <w:pPr>
        <w:pStyle w:val="style0"/>
        <w:autoSpaceDE w:val="false"/>
        <w:spacing w:after="167" w:before="0" w:line="360" w:lineRule="auto"/>
        <w:ind w:hanging="0" w:left="567" w:right="0"/>
        <w:jc w:val="both"/>
      </w:pPr>
      <w:r>
        <w:rPr>
          <w:rFonts w:ascii="Arial" w:cs="Arial" w:hAnsi="Arial"/>
          <w:color w:val="000000"/>
          <w:sz w:val="24"/>
          <w:szCs w:val="24"/>
        </w:rPr>
        <w:t xml:space="preserve">3. Fabricación del producto de consumo o rellenado en el caso de productos envasados </w:t>
      </w:r>
    </w:p>
    <w:p>
      <w:pPr>
        <w:pStyle w:val="style0"/>
        <w:autoSpaceDE w:val="false"/>
        <w:spacing w:after="167" w:before="0" w:line="360" w:lineRule="auto"/>
        <w:ind w:hanging="0" w:left="567" w:right="0"/>
        <w:jc w:val="both"/>
      </w:pPr>
      <w:r>
        <w:rPr>
          <w:rFonts w:ascii="Arial" w:cs="Arial" w:hAnsi="Arial"/>
          <w:color w:val="000000"/>
          <w:sz w:val="24"/>
          <w:szCs w:val="24"/>
        </w:rPr>
        <w:t xml:space="preserve">4. Distribución comercial </w:t>
      </w:r>
    </w:p>
    <w:p>
      <w:pPr>
        <w:pStyle w:val="style0"/>
        <w:autoSpaceDE w:val="false"/>
        <w:spacing w:after="167" w:before="0" w:line="360" w:lineRule="auto"/>
        <w:ind w:hanging="0" w:left="567" w:right="0"/>
        <w:jc w:val="both"/>
      </w:pPr>
      <w:r>
        <w:rPr>
          <w:rFonts w:ascii="Arial" w:cs="Arial" w:hAnsi="Arial"/>
          <w:color w:val="000000"/>
          <w:sz w:val="24"/>
          <w:szCs w:val="24"/>
        </w:rPr>
        <w:t xml:space="preserve">5. Adquisición por el consumidor </w:t>
      </w:r>
    </w:p>
    <w:p>
      <w:pPr>
        <w:pStyle w:val="style0"/>
        <w:autoSpaceDE w:val="false"/>
        <w:spacing w:after="167" w:before="0" w:line="360" w:lineRule="auto"/>
        <w:ind w:hanging="0" w:left="567" w:right="0"/>
        <w:jc w:val="both"/>
      </w:pPr>
      <w:r>
        <w:rPr>
          <w:rFonts w:ascii="Arial" w:cs="Arial" w:hAnsi="Arial"/>
          <w:color w:val="000000"/>
          <w:sz w:val="24"/>
          <w:szCs w:val="24"/>
        </w:rPr>
        <w:t xml:space="preserve">6. Consumo del producto </w:t>
      </w:r>
    </w:p>
    <w:p>
      <w:pPr>
        <w:pStyle w:val="style0"/>
        <w:autoSpaceDE w:val="false"/>
        <w:spacing w:after="167" w:before="0" w:line="360" w:lineRule="auto"/>
        <w:ind w:hanging="0" w:left="567" w:right="0"/>
        <w:jc w:val="both"/>
      </w:pPr>
      <w:r>
        <w:rPr>
          <w:rFonts w:ascii="Arial" w:cs="Arial" w:hAnsi="Arial"/>
          <w:color w:val="000000"/>
          <w:sz w:val="24"/>
          <w:szCs w:val="24"/>
        </w:rPr>
        <w:t xml:space="preserve">7. Generación del residuo por final de la vida útil del producto o generación de envases vacíos </w:t>
      </w:r>
    </w:p>
    <w:p>
      <w:pPr>
        <w:pStyle w:val="style0"/>
        <w:autoSpaceDE w:val="false"/>
        <w:spacing w:after="167" w:before="0" w:line="360" w:lineRule="auto"/>
        <w:ind w:hanging="0" w:left="567" w:right="0"/>
        <w:jc w:val="both"/>
      </w:pPr>
      <w:r>
        <w:rPr>
          <w:rFonts w:ascii="Arial" w:cs="Arial" w:hAnsi="Arial"/>
          <w:color w:val="000000"/>
          <w:sz w:val="24"/>
          <w:szCs w:val="24"/>
        </w:rPr>
        <w:t xml:space="preserve">8. Entrega del residuo al canal de recuperación indicado. En el caso de los envases, los contenedores para este fin </w:t>
      </w:r>
    </w:p>
    <w:p>
      <w:pPr>
        <w:pStyle w:val="style0"/>
        <w:autoSpaceDE w:val="false"/>
        <w:spacing w:after="167" w:before="0" w:line="360" w:lineRule="auto"/>
        <w:ind w:hanging="0" w:left="567" w:right="0"/>
      </w:pPr>
      <w:r>
        <w:rPr>
          <w:rFonts w:ascii="Arial" w:cs="Arial" w:hAnsi="Arial"/>
          <w:color w:val="000000"/>
          <w:sz w:val="24"/>
          <w:szCs w:val="24"/>
        </w:rPr>
        <w:t xml:space="preserve">9. Recogida de los residuos </w:t>
      </w:r>
    </w:p>
    <w:p>
      <w:pPr>
        <w:pStyle w:val="style0"/>
        <w:autoSpaceDE w:val="false"/>
        <w:spacing w:after="167" w:before="0" w:line="360" w:lineRule="auto"/>
        <w:ind w:hanging="0" w:left="567" w:right="0"/>
        <w:jc w:val="both"/>
      </w:pPr>
      <w:r>
        <w:rPr>
          <w:rFonts w:ascii="Arial" w:cs="Arial" w:hAnsi="Arial"/>
          <w:color w:val="000000"/>
          <w:sz w:val="24"/>
          <w:szCs w:val="24"/>
        </w:rPr>
        <w:t xml:space="preserve">10. Clasificación de los residuos por materiales en instalaciones adecuadas </w:t>
      </w:r>
    </w:p>
    <w:p>
      <w:pPr>
        <w:pStyle w:val="style0"/>
        <w:autoSpaceDE w:val="false"/>
        <w:spacing w:after="167" w:before="0" w:line="360" w:lineRule="auto"/>
        <w:ind w:hanging="0" w:left="567" w:right="0"/>
      </w:pPr>
      <w:r>
        <w:rPr>
          <w:rFonts w:ascii="Arial" w:cs="Arial" w:hAnsi="Arial"/>
          <w:color w:val="000000"/>
          <w:sz w:val="24"/>
          <w:szCs w:val="24"/>
        </w:rPr>
        <w:t xml:space="preserve">11. Tratamiento de los residuos a fin de prepararlos para su reciclado </w:t>
      </w:r>
    </w:p>
    <w:p>
      <w:pPr>
        <w:pStyle w:val="style0"/>
        <w:autoSpaceDE w:val="false"/>
        <w:spacing w:after="0" w:before="0" w:line="360" w:lineRule="auto"/>
        <w:ind w:hanging="0" w:left="567" w:right="0"/>
      </w:pPr>
      <w:r>
        <w:rPr>
          <w:rFonts w:ascii="Arial" w:cs="Arial" w:hAnsi="Arial"/>
          <w:color w:val="000000"/>
          <w:sz w:val="24"/>
          <w:szCs w:val="24"/>
        </w:rPr>
        <w:t xml:space="preserve">12. Envío a la industria recicladora e inicio de un nuevo ciclo. </w:t>
      </w:r>
    </w:p>
    <w:p>
      <w:pPr>
        <w:pStyle w:val="style0"/>
        <w:autoSpaceDE w:val="false"/>
        <w:spacing w:after="0" w:before="0" w:line="360" w:lineRule="auto"/>
        <w:ind w:hanging="0" w:left="567" w:right="0"/>
      </w:pPr>
      <w:r>
        <w:rPr>
          <w:rFonts w:ascii="Arial" w:cs="Arial" w:hAnsi="Arial"/>
          <w:color w:val="000000"/>
          <w:sz w:val="24"/>
          <w:szCs w:val="24"/>
        </w:rPr>
      </w:r>
    </w:p>
    <w:p>
      <w:pPr>
        <w:pStyle w:val="style206"/>
        <w:spacing w:line="360" w:lineRule="auto"/>
        <w:ind w:firstLine="709" w:left="0" w:right="0"/>
        <w:jc w:val="both"/>
      </w:pPr>
      <w:r>
        <w:rPr/>
        <w:t>Para continuar con las bases teóricas    se definirá   la Administración y sus principios:</w:t>
      </w:r>
    </w:p>
    <w:p>
      <w:pPr>
        <w:pStyle w:val="style206"/>
        <w:spacing w:line="360" w:lineRule="auto"/>
        <w:ind w:firstLine="709" w:left="0" w:right="0"/>
        <w:jc w:val="both"/>
      </w:pPr>
      <w:r>
        <w:rPr/>
      </w:r>
    </w:p>
    <w:p>
      <w:pPr>
        <w:pStyle w:val="style206"/>
        <w:spacing w:line="360" w:lineRule="auto"/>
        <w:ind w:firstLine="709" w:left="0" w:right="0"/>
        <w:jc w:val="both"/>
      </w:pPr>
      <w:r>
        <w:rPr/>
        <w:t xml:space="preserve">El término de </w:t>
      </w:r>
      <w:r>
        <w:rPr>
          <w:b/>
        </w:rPr>
        <w:t>administración</w:t>
      </w:r>
      <w:r>
        <w:rPr/>
        <w:t xml:space="preserve"> según Robbins y De Cenzo (2009,6; Citado en Gallardo 2011) se refiere “al proceso de conseguir que se hagan las cosas, con eficiencia y eficacia, mediante otras personas y junto con ellas”.</w:t>
      </w:r>
    </w:p>
    <w:p>
      <w:pPr>
        <w:pStyle w:val="style206"/>
        <w:spacing w:line="360" w:lineRule="auto"/>
        <w:ind w:firstLine="709" w:left="0" w:right="0"/>
        <w:jc w:val="both"/>
      </w:pPr>
      <w:r>
        <w:rPr>
          <w:rFonts w:eastAsia="Arial"/>
        </w:rPr>
        <w:t xml:space="preserve">  </w:t>
      </w:r>
    </w:p>
    <w:p>
      <w:pPr>
        <w:pStyle w:val="style206"/>
        <w:spacing w:line="360" w:lineRule="auto"/>
        <w:ind w:firstLine="709" w:left="0" w:right="0"/>
        <w:jc w:val="both"/>
      </w:pPr>
      <w:r>
        <w:rPr/>
        <w:t>Ellos definen a la eficiencia como: “Hacer algo correctamente, se refiere a la relación que hay entre insumo y producto. Busca reducir al mínimo los costos de los recursos.</w:t>
      </w:r>
    </w:p>
    <w:p>
      <w:pPr>
        <w:pStyle w:val="style206"/>
        <w:spacing w:line="360" w:lineRule="auto"/>
        <w:ind w:firstLine="709" w:left="0" w:right="0"/>
        <w:jc w:val="both"/>
      </w:pPr>
      <w:r>
        <w:rPr/>
      </w:r>
    </w:p>
    <w:p>
      <w:pPr>
        <w:pStyle w:val="style206"/>
        <w:spacing w:line="360" w:lineRule="auto"/>
        <w:ind w:firstLine="709" w:left="0" w:right="0"/>
        <w:jc w:val="both"/>
      </w:pPr>
      <w:r>
        <w:rPr/>
        <w:t>Mientras que la eficacia la definen como hacer lo correcto, alcanzar la meta.</w:t>
      </w:r>
    </w:p>
    <w:p>
      <w:pPr>
        <w:pStyle w:val="style206"/>
        <w:spacing w:line="360" w:lineRule="auto"/>
        <w:ind w:firstLine="709" w:left="0" w:right="0"/>
        <w:jc w:val="both"/>
      </w:pPr>
      <w:r>
        <w:rPr/>
        <w:t xml:space="preserve">Y  el proceso se refiere a las actividades primordiales que desempeñan los gerentes. </w:t>
      </w:r>
    </w:p>
    <w:p>
      <w:pPr>
        <w:pStyle w:val="style206"/>
        <w:spacing w:line="360" w:lineRule="auto"/>
        <w:ind w:firstLine="709" w:left="0" w:right="0"/>
        <w:jc w:val="both"/>
      </w:pPr>
      <w:r>
        <w:rPr/>
      </w:r>
    </w:p>
    <w:p>
      <w:pPr>
        <w:pStyle w:val="style206"/>
        <w:spacing w:line="360" w:lineRule="auto"/>
        <w:ind w:firstLine="709" w:left="0" w:right="0"/>
        <w:jc w:val="both"/>
      </w:pPr>
      <w:r>
        <w:rPr/>
        <w:t xml:space="preserve">En la definición de  koontz y Weihrich (2003;6)  la Administración:”es el proceso de diseñar y mantener un entorno en el que, trabajando en grupos, los individuos cumplan eficientemente objetivos específicos”. </w:t>
      </w:r>
    </w:p>
    <w:p>
      <w:pPr>
        <w:pStyle w:val="style206"/>
        <w:spacing w:line="360" w:lineRule="auto"/>
        <w:ind w:hanging="0" w:left="1134" w:right="1418"/>
        <w:jc w:val="both"/>
      </w:pPr>
      <w:r>
        <w:rPr>
          <w:rFonts w:ascii="Helvetica" w:cs="Helvetica" w:eastAsia="Helvetica" w:hAnsi="Helvetica"/>
          <w:color w:val="707070"/>
          <w:sz w:val="21"/>
          <w:szCs w:val="21"/>
          <w:shd w:fill="EEEEEE" w:val="clear"/>
        </w:rPr>
        <w:t xml:space="preserve"> </w:t>
      </w:r>
    </w:p>
    <w:p>
      <w:pPr>
        <w:pStyle w:val="style206"/>
        <w:spacing w:line="360" w:lineRule="auto"/>
        <w:jc w:val="both"/>
      </w:pPr>
      <w:r>
        <w:rPr/>
        <w:tab/>
        <w:t xml:space="preserve">Lo que refieren los autores es resaltar la importancia de la administración como uno de los medios que dispone los involucrados  en los procesos administrativos  para lograr determinado resultado con eficacia y eficiencia siempre y cuando  realicen sus mejores contribuciones </w:t>
      </w:r>
      <w:r>
        <w:rPr>
          <w:shd w:fill="FFFFFF" w:val="clear"/>
        </w:rPr>
        <w:t>en consecución de los objetivos y metas planteadas.</w:t>
      </w:r>
    </w:p>
    <w:p>
      <w:pPr>
        <w:pStyle w:val="style206"/>
        <w:spacing w:line="360" w:lineRule="auto"/>
        <w:jc w:val="both"/>
      </w:pPr>
      <w:r>
        <w:rPr>
          <w:shd w:fill="FFFFFF" w:val="clear"/>
        </w:rPr>
      </w:r>
    </w:p>
    <w:p>
      <w:pPr>
        <w:pStyle w:val="style206"/>
        <w:spacing w:line="360" w:lineRule="auto"/>
        <w:jc w:val="both"/>
      </w:pPr>
      <w:r>
        <w:rPr>
          <w:shd w:fill="FFFFFF" w:val="clear"/>
        </w:rPr>
        <w:tab/>
        <w:t xml:space="preserve">Por otra parte Chiavenato (2004:10) expresa que la administración  “es el proceso de planear, organizar, dirigir y controlar el uso de los recursos para lograr los objetivos organizacionales” </w:t>
      </w:r>
    </w:p>
    <w:p>
      <w:pPr>
        <w:pStyle w:val="style206"/>
        <w:spacing w:line="360" w:lineRule="auto"/>
        <w:jc w:val="both"/>
      </w:pPr>
      <w:r>
        <w:rPr>
          <w:shd w:fill="FFFFFF" w:val="clear"/>
        </w:rPr>
      </w:r>
    </w:p>
    <w:p>
      <w:pPr>
        <w:pStyle w:val="style206"/>
        <w:spacing w:line="360" w:lineRule="auto"/>
        <w:jc w:val="both"/>
      </w:pPr>
      <w:r>
        <w:rPr>
          <w:shd w:fill="FFFFFF" w:val="clear"/>
        </w:rPr>
        <w:tab/>
        <w:t>Según el autor se refiere que para alcanzar un objetivo con éxito y maximizar los recursos  se tiene que aplicar los cuatros pasos de la administración.</w:t>
      </w:r>
    </w:p>
    <w:p>
      <w:pPr>
        <w:pStyle w:val="style206"/>
        <w:spacing w:line="360" w:lineRule="auto"/>
        <w:jc w:val="both"/>
      </w:pPr>
      <w:r>
        <w:rPr/>
      </w:r>
    </w:p>
    <w:p>
      <w:pPr>
        <w:pStyle w:val="style206"/>
        <w:spacing w:line="360" w:lineRule="auto"/>
        <w:jc w:val="both"/>
      </w:pPr>
      <w:r>
        <w:rPr/>
        <w:tab/>
        <w:t xml:space="preserve">En otro orden de idea   Fayol (1916; 2)  define el acto de administrar como planear, organizar, dirigir, coordinar y controlar.   Además la señala “como toda ciencia, la administración se debe basar en leyes y principios </w:t>
      </w:r>
    </w:p>
    <w:p>
      <w:pPr>
        <w:pStyle w:val="style206"/>
        <w:spacing w:line="360" w:lineRule="auto"/>
        <w:jc w:val="both"/>
      </w:pPr>
      <w:r>
        <w:rPr/>
      </w:r>
    </w:p>
    <w:p>
      <w:pPr>
        <w:pStyle w:val="style206"/>
        <w:spacing w:line="360" w:lineRule="auto"/>
        <w:jc w:val="both"/>
      </w:pPr>
      <w:r>
        <w:rPr/>
        <w:tab/>
        <w:t>Mientras que para Fayol (1916) señala que la administración es un evento donde se aplica los cinco paso que el fundamento y que la misma debe basarse la leyes y principios.</w:t>
      </w:r>
    </w:p>
    <w:p>
      <w:pPr>
        <w:pStyle w:val="style206"/>
        <w:spacing w:line="360" w:lineRule="auto"/>
        <w:jc w:val="both"/>
      </w:pPr>
      <w:r>
        <w:rPr/>
      </w:r>
    </w:p>
    <w:p>
      <w:pPr>
        <w:pStyle w:val="style206"/>
        <w:spacing w:line="360" w:lineRule="auto"/>
        <w:ind w:firstLine="737" w:left="0" w:right="0"/>
        <w:jc w:val="both"/>
      </w:pPr>
      <w:r>
        <w:rPr/>
        <w:t>En cuanto a la palabra principio Fayol (1916)  lo adopta para apartarse de cualquiera idea de rigidez, ya que nada es rígido o absoluto en materia administrativa.</w:t>
      </w:r>
    </w:p>
    <w:p>
      <w:pPr>
        <w:pStyle w:val="style206"/>
        <w:spacing w:line="360" w:lineRule="auto"/>
        <w:jc w:val="both"/>
      </w:pPr>
      <w:r>
        <w:rPr/>
        <w:tab/>
      </w:r>
    </w:p>
    <w:p>
      <w:pPr>
        <w:pStyle w:val="style206"/>
        <w:spacing w:line="360" w:lineRule="auto"/>
        <w:jc w:val="both"/>
      </w:pPr>
      <w:r>
        <w:rPr/>
        <w:tab/>
        <w:t>En esta parte se detallara las definiciones dada por Fayol (1916:10) sobre los procesos administrativos:</w:t>
      </w:r>
    </w:p>
    <w:p>
      <w:pPr>
        <w:pStyle w:val="style206"/>
        <w:spacing w:line="360" w:lineRule="auto"/>
        <w:jc w:val="both"/>
      </w:pPr>
      <w:r>
        <w:rPr/>
      </w:r>
    </w:p>
    <w:p>
      <w:pPr>
        <w:pStyle w:val="style206"/>
        <w:numPr>
          <w:ilvl w:val="0"/>
          <w:numId w:val="59"/>
        </w:numPr>
        <w:spacing w:line="360" w:lineRule="auto"/>
        <w:jc w:val="both"/>
      </w:pPr>
      <w:r>
        <w:rPr/>
        <w:t xml:space="preserve">Planear: visualizar el futuro y trazar el programa de acción. </w:t>
      </w:r>
    </w:p>
    <w:p>
      <w:pPr>
        <w:pStyle w:val="style206"/>
        <w:numPr>
          <w:ilvl w:val="0"/>
          <w:numId w:val="59"/>
        </w:numPr>
        <w:spacing w:line="360" w:lineRule="auto"/>
        <w:jc w:val="both"/>
      </w:pPr>
      <w:r>
        <w:rPr/>
        <w:t xml:space="preserve">Organizar: construir las estructuras material y social de la empresa. </w:t>
      </w:r>
    </w:p>
    <w:p>
      <w:pPr>
        <w:pStyle w:val="style206"/>
        <w:numPr>
          <w:ilvl w:val="0"/>
          <w:numId w:val="59"/>
        </w:numPr>
        <w:spacing w:line="360" w:lineRule="auto"/>
        <w:jc w:val="both"/>
      </w:pPr>
      <w:r>
        <w:rPr/>
        <w:t xml:space="preserve">Dirigir: guiar y orientar al personal. </w:t>
      </w:r>
    </w:p>
    <w:p>
      <w:pPr>
        <w:pStyle w:val="style206"/>
        <w:numPr>
          <w:ilvl w:val="0"/>
          <w:numId w:val="59"/>
        </w:numPr>
        <w:spacing w:line="360" w:lineRule="auto"/>
        <w:jc w:val="both"/>
      </w:pPr>
      <w:r>
        <w:rPr/>
        <w:t xml:space="preserve">Coordinar: enlazar, unir y armonizar todos los actos y esfuerzos colectivos. </w:t>
      </w:r>
    </w:p>
    <w:p>
      <w:pPr>
        <w:pStyle w:val="style206"/>
        <w:numPr>
          <w:ilvl w:val="0"/>
          <w:numId w:val="59"/>
        </w:numPr>
        <w:spacing w:line="360" w:lineRule="auto"/>
        <w:jc w:val="both"/>
      </w:pPr>
      <w:r>
        <w:rPr>
          <w:rFonts w:eastAsia="Arial"/>
        </w:rPr>
        <w:t xml:space="preserve">• </w:t>
      </w:r>
      <w:r>
        <w:rPr/>
        <w:t xml:space="preserve">Controlar: verificar que todo suceda de acuerdo con las reglas establecidas y las órdenes dadas. </w:t>
      </w:r>
    </w:p>
    <w:p>
      <w:pPr>
        <w:pStyle w:val="style206"/>
        <w:spacing w:line="360" w:lineRule="auto"/>
        <w:ind w:hanging="0" w:left="720" w:right="0"/>
        <w:jc w:val="both"/>
      </w:pPr>
      <w:r>
        <w:rPr/>
      </w:r>
    </w:p>
    <w:p>
      <w:pPr>
        <w:pStyle w:val="style206"/>
        <w:spacing w:line="360" w:lineRule="auto"/>
        <w:jc w:val="both"/>
      </w:pPr>
      <w:r>
        <w:rPr/>
        <w:tab/>
        <w:t>Así mismo op. cit  considera estos elementos de la administración,  como  proceso administrativo a su vez indica que estos  se hallan presentes en cualquier actividad del administrador y en cualquier nivel o área de las actividades  de la empresa</w:t>
      </w:r>
    </w:p>
    <w:p>
      <w:pPr>
        <w:pStyle w:val="style206"/>
        <w:spacing w:line="360" w:lineRule="auto"/>
        <w:jc w:val="both"/>
      </w:pPr>
      <w:r>
        <w:rPr/>
      </w:r>
    </w:p>
    <w:p>
      <w:pPr>
        <w:pStyle w:val="style0"/>
        <w:spacing w:line="360" w:lineRule="auto"/>
        <w:jc w:val="both"/>
      </w:pPr>
      <w:r>
        <w:rPr/>
        <w:tab/>
      </w:r>
      <w:r>
        <w:rPr>
          <w:rFonts w:ascii="Arial" w:cs="Arial" w:hAnsi="Arial"/>
          <w:sz w:val="24"/>
          <w:szCs w:val="24"/>
        </w:rPr>
        <w:t xml:space="preserve">  Maldonado (2014:3) define los  procesos administrativos  </w:t>
      </w:r>
      <w:r>
        <w:rPr>
          <w:rFonts w:ascii="Arial" w:cs="Arial" w:eastAsia="Times New Roman" w:hAnsi="Arial"/>
          <w:sz w:val="24"/>
          <w:szCs w:val="24"/>
          <w:lang w:eastAsia="es-VE" w:val="es-VE"/>
        </w:rPr>
        <w:t xml:space="preserve">como “el  conjunto de fases o etapas sucesivas a través de las cuales se efectúa la administración, mismas que se interrelacionan y forman un proceso integral”. </w:t>
      </w:r>
    </w:p>
    <w:p>
      <w:pPr>
        <w:pStyle w:val="style206"/>
        <w:jc w:val="both"/>
      </w:pPr>
      <w:r>
        <w:rPr/>
      </w:r>
    </w:p>
    <w:p>
      <w:pPr>
        <w:pStyle w:val="style206"/>
        <w:spacing w:line="360" w:lineRule="auto"/>
        <w:jc w:val="both"/>
      </w:pPr>
      <w:r>
        <w:rPr/>
        <w:tab/>
        <w:t xml:space="preserve">Op. cit  manifiesta que los  principios son universales y se adaptan a cualquier tiempo, lugar o circunstancias, por consiguiente se mencionan  a continuación:  </w:t>
      </w:r>
    </w:p>
    <w:p>
      <w:pPr>
        <w:pStyle w:val="style206"/>
        <w:numPr>
          <w:ilvl w:val="0"/>
          <w:numId w:val="63"/>
        </w:numPr>
        <w:spacing w:line="360" w:lineRule="auto"/>
        <w:ind w:hanging="357" w:left="714" w:right="0"/>
        <w:jc w:val="both"/>
      </w:pPr>
      <w:r>
        <w:rPr>
          <w:b/>
        </w:rPr>
        <w:t>División del trabajo</w:t>
      </w:r>
      <w:r>
        <w:rPr/>
        <w:t xml:space="preserve"> especializado de las tareas y personas para aumentar la eficiencia.</w:t>
      </w:r>
    </w:p>
    <w:p>
      <w:pPr>
        <w:pStyle w:val="style206"/>
        <w:numPr>
          <w:ilvl w:val="0"/>
          <w:numId w:val="63"/>
        </w:numPr>
        <w:spacing w:line="360" w:lineRule="auto"/>
        <w:ind w:hanging="357" w:left="714" w:right="0"/>
        <w:jc w:val="both"/>
      </w:pPr>
      <w:r>
        <w:rPr>
          <w:b/>
        </w:rPr>
        <w:t>Autoridad y responsabilidad</w:t>
      </w:r>
      <w:r>
        <w:rPr/>
        <w:t>: autoridad es el derecho de dar órdenes y el poder de esperar obediencia; la responsabilidad es una consecuencia natural de la autoridad e implica el deber de rendir cuentas. Ambas deben estar equilibrada entre si.</w:t>
      </w:r>
    </w:p>
    <w:p>
      <w:pPr>
        <w:pStyle w:val="style206"/>
        <w:numPr>
          <w:ilvl w:val="0"/>
          <w:numId w:val="63"/>
        </w:numPr>
        <w:spacing w:line="360" w:lineRule="auto"/>
        <w:ind w:hanging="357" w:left="714" w:right="0"/>
        <w:jc w:val="both"/>
      </w:pPr>
      <w:r>
        <w:rPr>
          <w:b/>
        </w:rPr>
        <w:t>Disciplina</w:t>
      </w:r>
      <w:r>
        <w:rPr/>
        <w:t>: obediencia, dedicación, energía, comportamiento, y respeto de la normas establecidas.</w:t>
      </w:r>
    </w:p>
    <w:p>
      <w:pPr>
        <w:pStyle w:val="style206"/>
        <w:numPr>
          <w:ilvl w:val="0"/>
          <w:numId w:val="63"/>
        </w:numPr>
        <w:spacing w:line="360" w:lineRule="auto"/>
        <w:ind w:hanging="357" w:left="714" w:right="0"/>
        <w:jc w:val="both"/>
      </w:pPr>
      <w:r>
        <w:rPr>
          <w:b/>
        </w:rPr>
        <w:t>Unidad y mando</w:t>
      </w:r>
      <w:r>
        <w:rPr/>
        <w:t>: cada empleado debe de recibir órdenes de un solo superior. Es el principio de la autoridad única.</w:t>
      </w:r>
    </w:p>
    <w:p>
      <w:pPr>
        <w:pStyle w:val="style206"/>
        <w:numPr>
          <w:ilvl w:val="0"/>
          <w:numId w:val="63"/>
        </w:numPr>
        <w:spacing w:line="360" w:lineRule="auto"/>
        <w:ind w:hanging="357" w:left="714" w:right="0"/>
        <w:jc w:val="both"/>
      </w:pPr>
      <w:r>
        <w:rPr>
          <w:b/>
        </w:rPr>
        <w:t>Unidad de dirección</w:t>
      </w:r>
      <w:r>
        <w:rPr/>
        <w:t>: asignación de un jefe y un plan a cada grupo de actividades que tengan el mismo objetivo.</w:t>
      </w:r>
    </w:p>
    <w:p>
      <w:pPr>
        <w:pStyle w:val="style206"/>
        <w:numPr>
          <w:ilvl w:val="0"/>
          <w:numId w:val="63"/>
        </w:numPr>
        <w:spacing w:line="360" w:lineRule="auto"/>
        <w:ind w:hanging="357" w:left="714" w:right="0"/>
        <w:jc w:val="both"/>
      </w:pPr>
      <w:r>
        <w:rPr>
          <w:b/>
        </w:rPr>
        <w:t>Subordinación de los intereses individuales en los generales</w:t>
      </w:r>
      <w:r>
        <w:rPr/>
        <w:t>: los intereses generales deben de estar por encima de los intereses particulares.</w:t>
      </w:r>
    </w:p>
    <w:p>
      <w:pPr>
        <w:pStyle w:val="style206"/>
        <w:numPr>
          <w:ilvl w:val="0"/>
          <w:numId w:val="63"/>
        </w:numPr>
        <w:spacing w:line="360" w:lineRule="auto"/>
        <w:ind w:hanging="357" w:left="714" w:right="0"/>
        <w:jc w:val="both"/>
      </w:pPr>
      <w:r>
        <w:rPr>
          <w:b/>
        </w:rPr>
        <w:t>Remuneración del personal</w:t>
      </w:r>
      <w:r>
        <w:rPr/>
        <w:t>: debe haber (en cuanto retribución)  satisfacción justa y garantizada para los empleados y para la organización</w:t>
      </w:r>
    </w:p>
    <w:p>
      <w:pPr>
        <w:pStyle w:val="style206"/>
        <w:numPr>
          <w:ilvl w:val="0"/>
          <w:numId w:val="63"/>
        </w:numPr>
        <w:spacing w:line="360" w:lineRule="auto"/>
        <w:ind w:hanging="357" w:left="714" w:right="0"/>
        <w:jc w:val="both"/>
      </w:pPr>
      <w:r>
        <w:rPr>
          <w:b/>
        </w:rPr>
        <w:t>Centralización</w:t>
      </w:r>
      <w:r>
        <w:rPr/>
        <w:t>: concentración de la autoridad en la cúpula jerárquica de la organización</w:t>
      </w:r>
    </w:p>
    <w:p>
      <w:pPr>
        <w:pStyle w:val="style206"/>
        <w:numPr>
          <w:ilvl w:val="0"/>
          <w:numId w:val="63"/>
        </w:numPr>
        <w:spacing w:line="360" w:lineRule="auto"/>
        <w:ind w:hanging="357" w:left="714" w:right="0"/>
        <w:jc w:val="both"/>
      </w:pPr>
      <w:r>
        <w:rPr>
          <w:b/>
        </w:rPr>
        <w:t>Cadena escalar línea de autoridad</w:t>
      </w:r>
      <w:r>
        <w:rPr/>
        <w:t xml:space="preserve"> que va del escalón más alto al más bajo. Es el principio de mando.</w:t>
      </w:r>
    </w:p>
    <w:p>
      <w:pPr>
        <w:pStyle w:val="style206"/>
        <w:numPr>
          <w:ilvl w:val="0"/>
          <w:numId w:val="63"/>
        </w:numPr>
        <w:spacing w:line="360" w:lineRule="auto"/>
        <w:ind w:hanging="357" w:left="714" w:right="0"/>
        <w:jc w:val="both"/>
      </w:pPr>
      <w:r>
        <w:rPr>
          <w:b/>
        </w:rPr>
        <w:t>Orden</w:t>
      </w:r>
      <w:r>
        <w:rPr/>
        <w:t>: debe de existir un lugar para cada cosa y cada cosa debe estar en su lugar, es el orden material y humano.</w:t>
      </w:r>
    </w:p>
    <w:p>
      <w:pPr>
        <w:pStyle w:val="style206"/>
        <w:numPr>
          <w:ilvl w:val="0"/>
          <w:numId w:val="63"/>
        </w:numPr>
        <w:spacing w:line="360" w:lineRule="auto"/>
        <w:ind w:hanging="357" w:left="714" w:right="0"/>
        <w:jc w:val="both"/>
      </w:pPr>
      <w:r>
        <w:rPr>
          <w:b/>
        </w:rPr>
        <w:t>Equidad</w:t>
      </w:r>
      <w:r>
        <w:rPr/>
        <w:t>: amabilidad y justicia para conseguir la lealtad del personal.</w:t>
      </w:r>
    </w:p>
    <w:p>
      <w:pPr>
        <w:pStyle w:val="style206"/>
        <w:numPr>
          <w:ilvl w:val="0"/>
          <w:numId w:val="63"/>
        </w:numPr>
        <w:spacing w:line="360" w:lineRule="auto"/>
        <w:ind w:hanging="357" w:left="714" w:right="0"/>
        <w:jc w:val="both"/>
      </w:pPr>
      <w:r>
        <w:rPr>
          <w:b/>
        </w:rPr>
        <w:t>Estabilidad del personal</w:t>
      </w:r>
      <w:r>
        <w:rPr/>
        <w:t>: la rotación tiene un impacto negativo en la eficiencia de la organización. Cuanto mas tiempo permanezca una persona en un cargo, tanto mejor para la empresa.</w:t>
      </w:r>
    </w:p>
    <w:p>
      <w:pPr>
        <w:pStyle w:val="style206"/>
        <w:numPr>
          <w:ilvl w:val="0"/>
          <w:numId w:val="63"/>
        </w:numPr>
        <w:spacing w:line="360" w:lineRule="auto"/>
        <w:ind w:hanging="357" w:left="714" w:right="0"/>
        <w:jc w:val="both"/>
      </w:pPr>
      <w:r>
        <w:rPr>
          <w:b/>
        </w:rPr>
        <w:t>Iniciativa</w:t>
      </w:r>
      <w:r>
        <w:rPr/>
        <w:t>: capacidad de visualizar un plan y asegurar personalmente su éxito.</w:t>
      </w:r>
    </w:p>
    <w:p>
      <w:pPr>
        <w:pStyle w:val="style206"/>
        <w:numPr>
          <w:ilvl w:val="0"/>
          <w:numId w:val="63"/>
        </w:numPr>
        <w:spacing w:line="360" w:lineRule="auto"/>
        <w:ind w:hanging="357" w:left="714" w:right="0"/>
        <w:jc w:val="both"/>
      </w:pPr>
      <w:r>
        <w:rPr>
          <w:b/>
        </w:rPr>
        <w:t>Espíritu de equipo</w:t>
      </w:r>
      <w:r>
        <w:rPr/>
        <w:t>: la armonía y unión entre las personas constituyen grandes fortalezas para la organización.</w:t>
      </w:r>
    </w:p>
    <w:p>
      <w:pPr>
        <w:pStyle w:val="style206"/>
        <w:spacing w:line="360" w:lineRule="auto"/>
        <w:jc w:val="both"/>
      </w:pPr>
      <w:r>
        <w:rPr/>
      </w:r>
    </w:p>
    <w:p>
      <w:pPr>
        <w:pStyle w:val="style206"/>
        <w:spacing w:line="360" w:lineRule="auto"/>
        <w:jc w:val="both"/>
      </w:pPr>
      <w:r>
        <w:rPr/>
        <w:tab/>
        <w:t xml:space="preserve"> En lo que se refiere a las fases del proceso administrativo  existen muchos criterios y enfoques de parte de los autores en cuanto al número de etapas que la constituyen,  al respecto los  que más predomina son: Planeación, Organización, Dirección y Control.</w:t>
      </w:r>
    </w:p>
    <w:p>
      <w:pPr>
        <w:pStyle w:val="style206"/>
        <w:spacing w:line="360" w:lineRule="auto"/>
        <w:ind w:hanging="0" w:left="60" w:right="0"/>
        <w:jc w:val="both"/>
      </w:pPr>
      <w:r>
        <w:rPr/>
        <w:tab/>
        <w:t>Mientras que Fayol,  Koonttz y Weihrich al igual que Chiavenato consideran  estas etapas como funciones del administrador y los conceptualiza de la siguiente forma:</w:t>
      </w:r>
    </w:p>
    <w:p>
      <w:pPr>
        <w:pStyle w:val="style199"/>
        <w:numPr>
          <w:ilvl w:val="0"/>
          <w:numId w:val="64"/>
        </w:numPr>
        <w:shd w:fill="FFFFFF" w:val="clear"/>
        <w:spacing w:after="45" w:before="240" w:line="360" w:lineRule="auto"/>
        <w:ind w:hanging="360" w:left="780" w:right="0"/>
        <w:jc w:val="both"/>
      </w:pPr>
      <w:r>
        <w:rPr>
          <w:rFonts w:ascii="Arial" w:cs="Arial" w:eastAsia="Times New Roman" w:hAnsi="Arial"/>
          <w:b/>
          <w:bCs/>
          <w:color w:val="000000"/>
          <w:sz w:val="24"/>
          <w:szCs w:val="24"/>
          <w:lang w:eastAsia="es-ES"/>
        </w:rPr>
        <w:t xml:space="preserve">Planeación: </w:t>
      </w:r>
      <w:r>
        <w:rPr>
          <w:rFonts w:ascii="Arial" w:cs="Arial" w:eastAsia="Times New Roman" w:hAnsi="Arial"/>
          <w:bCs/>
          <w:color w:val="000000"/>
          <w:sz w:val="24"/>
          <w:szCs w:val="24"/>
          <w:lang w:eastAsia="es-ES"/>
        </w:rPr>
        <w:t>avizorar el futuro y trazar el programa de acción.</w:t>
      </w:r>
    </w:p>
    <w:p>
      <w:pPr>
        <w:pStyle w:val="style199"/>
        <w:shd w:fill="FFFFFF" w:val="clear"/>
        <w:spacing w:after="45" w:before="240" w:line="360" w:lineRule="auto"/>
        <w:ind w:hanging="0" w:left="780" w:right="0"/>
        <w:jc w:val="both"/>
      </w:pPr>
      <w:r>
        <w:rPr>
          <w:rFonts w:ascii="Arial" w:cs="Arial" w:eastAsia="Times New Roman" w:hAnsi="Arial"/>
          <w:bCs/>
          <w:color w:val="000000"/>
          <w:sz w:val="24"/>
          <w:szCs w:val="24"/>
          <w:lang w:eastAsia="es-ES"/>
        </w:rPr>
        <w:t>En esto se consideran las decisiones sobre los objetivos, la definición de los planes para alcanzar los objetivos y la programación de las actividades.</w:t>
      </w:r>
    </w:p>
    <w:p>
      <w:pPr>
        <w:pStyle w:val="style199"/>
        <w:shd w:fill="FFFFFF" w:val="clear"/>
        <w:spacing w:after="45" w:before="240" w:line="360" w:lineRule="auto"/>
        <w:ind w:hanging="0" w:left="780" w:right="0"/>
        <w:jc w:val="both"/>
      </w:pPr>
      <w:r>
        <w:rPr>
          <w:rFonts w:ascii="Arial" w:cs="Arial" w:eastAsia="Times New Roman" w:hAnsi="Arial"/>
          <w:color w:val="000000"/>
          <w:sz w:val="24"/>
          <w:szCs w:val="24"/>
          <w:lang w:eastAsia="es-ES"/>
        </w:rPr>
      </w:r>
    </w:p>
    <w:p>
      <w:pPr>
        <w:pStyle w:val="style199"/>
        <w:numPr>
          <w:ilvl w:val="0"/>
          <w:numId w:val="39"/>
        </w:numPr>
        <w:shd w:fill="FFFFFF" w:val="clear"/>
        <w:tabs>
          <w:tab w:leader="none" w:pos="1408" w:val="left"/>
        </w:tabs>
        <w:spacing w:after="0" w:before="0" w:line="360" w:lineRule="auto"/>
        <w:ind w:hanging="360" w:left="704" w:right="0"/>
        <w:jc w:val="both"/>
      </w:pPr>
      <w:r>
        <w:rPr>
          <w:rFonts w:ascii="Arial" w:cs="Arial" w:eastAsia="Times New Roman" w:hAnsi="Arial"/>
          <w:b/>
          <w:bCs/>
          <w:color w:val="000000"/>
          <w:sz w:val="24"/>
          <w:szCs w:val="24"/>
          <w:lang w:eastAsia="es-ES"/>
        </w:rPr>
        <w:t>Organización</w:t>
      </w:r>
      <w:r>
        <w:rPr>
          <w:rFonts w:ascii="Arial" w:cs="Arial" w:eastAsia="Times New Roman" w:hAnsi="Arial"/>
          <w:bCs/>
          <w:color w:val="000000"/>
          <w:sz w:val="24"/>
          <w:szCs w:val="24"/>
          <w:lang w:eastAsia="es-ES"/>
        </w:rPr>
        <w:t>: construir las estructuras material y social de la empresa tales como: los r</w:t>
      </w:r>
      <w:r>
        <w:rPr>
          <w:rFonts w:ascii="Arial" w:cs="Arial" w:eastAsia="Times New Roman" w:hAnsi="Arial"/>
          <w:color w:val="000000"/>
          <w:sz w:val="24"/>
          <w:szCs w:val="24"/>
          <w:lang w:eastAsia="es-ES"/>
        </w:rPr>
        <w:t>ecursos y actividades para alcanzar los objetivos,  los órganos y cargos, así como las atribución de autoridades y responsabilidad</w:t>
      </w:r>
    </w:p>
    <w:p>
      <w:pPr>
        <w:pStyle w:val="style199"/>
        <w:numPr>
          <w:ilvl w:val="0"/>
          <w:numId w:val="39"/>
        </w:numPr>
        <w:shd w:fill="FFFFFF" w:val="clear"/>
        <w:tabs>
          <w:tab w:leader="none" w:pos="1408" w:val="left"/>
        </w:tabs>
        <w:spacing w:after="45" w:before="240" w:line="360" w:lineRule="auto"/>
        <w:ind w:hanging="360" w:left="704" w:right="0"/>
        <w:jc w:val="both"/>
      </w:pPr>
      <w:r>
        <w:rPr>
          <w:rFonts w:ascii="Arial" w:cs="Arial" w:eastAsia="Times New Roman" w:hAnsi="Arial"/>
          <w:b/>
          <w:bCs/>
          <w:color w:val="000000"/>
          <w:sz w:val="24"/>
          <w:szCs w:val="24"/>
          <w:lang w:eastAsia="es-ES"/>
        </w:rPr>
        <w:t>Dirección</w:t>
      </w:r>
      <w:r>
        <w:rPr>
          <w:rFonts w:ascii="Arial" w:cs="Arial" w:eastAsia="Times New Roman" w:hAnsi="Arial"/>
          <w:bCs/>
          <w:color w:val="000000"/>
          <w:sz w:val="24"/>
          <w:szCs w:val="24"/>
          <w:lang w:eastAsia="es-ES"/>
        </w:rPr>
        <w:t>: guiar y oriental al personal entre sus funciones se encuentran: d</w:t>
      </w:r>
      <w:r>
        <w:rPr>
          <w:rFonts w:ascii="Arial" w:cs="Arial" w:eastAsia="Times New Roman" w:hAnsi="Arial"/>
          <w:color w:val="000000"/>
          <w:sz w:val="24"/>
          <w:szCs w:val="24"/>
          <w:lang w:eastAsia="es-ES"/>
        </w:rPr>
        <w:t>esignación de cargos, comunicación, liderazgo y motivación de personal y la dirección para los objetivos</w:t>
      </w:r>
    </w:p>
    <w:p>
      <w:pPr>
        <w:pStyle w:val="style199"/>
        <w:numPr>
          <w:ilvl w:val="0"/>
          <w:numId w:val="39"/>
        </w:numPr>
        <w:shd w:fill="FFFFFF" w:val="clear"/>
        <w:tabs>
          <w:tab w:leader="none" w:pos="1408" w:val="left"/>
        </w:tabs>
        <w:spacing w:after="280" w:before="0" w:line="360" w:lineRule="auto"/>
        <w:ind w:hanging="360" w:left="704" w:right="0"/>
        <w:jc w:val="both"/>
      </w:pPr>
      <w:r>
        <w:rPr>
          <w:rFonts w:ascii="Arial" w:cs="Arial" w:eastAsia="Times New Roman" w:hAnsi="Arial"/>
          <w:b/>
          <w:bCs/>
          <w:color w:val="000000"/>
          <w:sz w:val="24"/>
          <w:szCs w:val="24"/>
          <w:lang w:eastAsia="es-ES"/>
        </w:rPr>
        <w:t xml:space="preserve">Controlar: </w:t>
      </w:r>
      <w:r>
        <w:rPr>
          <w:rFonts w:ascii="Arial" w:cs="Arial" w:eastAsia="Times New Roman" w:hAnsi="Arial"/>
          <w:bCs/>
          <w:color w:val="000000"/>
          <w:sz w:val="24"/>
          <w:szCs w:val="24"/>
          <w:lang w:eastAsia="es-ES"/>
        </w:rPr>
        <w:t>verificar que todo suceda de acuerdo con las reglas establecidas y las órdenes dadas. Ente ellas: d</w:t>
      </w:r>
      <w:r>
        <w:rPr>
          <w:rFonts w:ascii="Arial" w:cs="Arial" w:eastAsia="Times New Roman" w:hAnsi="Arial"/>
          <w:color w:val="000000"/>
          <w:sz w:val="24"/>
          <w:szCs w:val="24"/>
          <w:lang w:eastAsia="es-ES"/>
        </w:rPr>
        <w:t>efinición de estándares para medir el desempeño y corregir desviaciones y garantizar que se realice la planeación</w:t>
      </w:r>
    </w:p>
    <w:p>
      <w:pPr>
        <w:pStyle w:val="style199"/>
        <w:shd w:fill="FFFFFF" w:val="clear"/>
        <w:spacing w:after="280" w:before="280" w:line="360" w:lineRule="auto"/>
        <w:ind w:hanging="0" w:left="704" w:right="0"/>
        <w:jc w:val="both"/>
      </w:pPr>
      <w:r>
        <w:rPr>
          <w:rFonts w:ascii="Arial" w:cs="Arial" w:eastAsia="Times New Roman" w:hAnsi="Arial"/>
          <w:color w:val="000000"/>
          <w:sz w:val="24"/>
          <w:szCs w:val="24"/>
          <w:lang w:eastAsia="es-ES"/>
        </w:rPr>
      </w:r>
    </w:p>
    <w:p>
      <w:pPr>
        <w:pStyle w:val="style199"/>
        <w:shd w:fill="FFFFFF" w:val="clear"/>
        <w:spacing w:after="280" w:before="280" w:line="360" w:lineRule="auto"/>
        <w:ind w:hanging="0" w:left="0" w:right="0"/>
        <w:jc w:val="both"/>
      </w:pPr>
      <w:r>
        <w:rPr>
          <w:rFonts w:ascii="Arial" w:cs="Arial" w:eastAsia="Times New Roman" w:hAnsi="Arial"/>
          <w:bCs/>
          <w:color w:val="000000"/>
          <w:sz w:val="24"/>
          <w:szCs w:val="24"/>
          <w:lang w:eastAsia="es-ES"/>
        </w:rPr>
        <w:tab/>
        <w:t xml:space="preserve">Seguidamente  se definirá la </w:t>
      </w:r>
      <w:r>
        <w:rPr>
          <w:rFonts w:ascii="Arial" w:cs="Arial" w:eastAsia="Times New Roman" w:hAnsi="Arial"/>
          <w:b/>
          <w:bCs/>
          <w:color w:val="000000"/>
          <w:sz w:val="24"/>
          <w:szCs w:val="24"/>
          <w:lang w:eastAsia="es-ES"/>
        </w:rPr>
        <w:t>administración pública</w:t>
      </w:r>
      <w:r>
        <w:rPr>
          <w:rFonts w:ascii="Arial" w:cs="Arial" w:eastAsia="Times New Roman" w:hAnsi="Arial"/>
          <w:bCs/>
          <w:color w:val="000000"/>
          <w:sz w:val="24"/>
          <w:szCs w:val="24"/>
          <w:lang w:eastAsia="es-ES"/>
        </w:rPr>
        <w:t xml:space="preserve"> según   Guerreo (1997) e</w:t>
      </w:r>
      <w:r>
        <w:rPr>
          <w:rFonts w:ascii="Arial" w:cs="Arial" w:hAnsi="Arial"/>
          <w:sz w:val="24"/>
          <w:szCs w:val="24"/>
        </w:rPr>
        <w:t xml:space="preserve">s una cualidad del Estado y sólo se puede explicar a partir del Estado. Tal aseveración es aplicable a todas las organizaciones de dominación que se han sucedido en la historia de la humanidad, pero para nuestro caso, es suficiente con ceñirnos al Estado tal y como lo denominó Maquiavelo tiempo atrás: "los estados y soberanías que han existido y tienen autoridad sobre los hombres, fueron y son, o repúblicas o principados"  </w:t>
      </w:r>
    </w:p>
    <w:p>
      <w:pPr>
        <w:pStyle w:val="style199"/>
        <w:shd w:fill="FFFFFF" w:val="clear"/>
        <w:spacing w:after="280" w:before="280" w:line="360" w:lineRule="auto"/>
        <w:ind w:hanging="0" w:left="0" w:right="0"/>
        <w:jc w:val="both"/>
      </w:pPr>
      <w:r>
        <w:rPr>
          <w:rFonts w:ascii="Arial" w:cs="Arial" w:hAnsi="Arial"/>
          <w:sz w:val="24"/>
          <w:szCs w:val="24"/>
        </w:rPr>
        <w:tab/>
        <w:t xml:space="preserve">De Igual forma Op. cit define al  estado que este constituye una categoría histórica singular y distinta a otras </w:t>
      </w:r>
      <w:r>
        <w:rPr>
          <w:rFonts w:ascii="Arial" w:cs="Arial" w:eastAsia="BatangChe" w:hAnsi="Arial"/>
          <w:sz w:val="24"/>
          <w:szCs w:val="24"/>
        </w:rPr>
        <w:t>formas de dominación política que le precedieron, desarrollada gracias a su configuración externa, es decir, la formación y delimitación del Estado frente a otros estados, así como a las transformaciones en su existencia interior.</w:t>
      </w:r>
    </w:p>
    <w:p>
      <w:pPr>
        <w:pStyle w:val="style199"/>
        <w:shd w:fill="FFFFFF" w:val="clear"/>
        <w:spacing w:after="280" w:before="280" w:line="360" w:lineRule="auto"/>
        <w:ind w:hanging="0" w:left="0" w:right="0"/>
        <w:jc w:val="both"/>
      </w:pPr>
      <w:r>
        <w:rPr>
          <w:rFonts w:ascii="Arial" w:cs="Arial" w:hAnsi="Arial"/>
          <w:sz w:val="24"/>
          <w:szCs w:val="24"/>
        </w:rPr>
      </w:r>
    </w:p>
    <w:p>
      <w:pPr>
        <w:pStyle w:val="style199"/>
        <w:shd w:fill="FFFFFF" w:val="clear"/>
        <w:spacing w:after="280" w:before="280" w:line="360" w:lineRule="auto"/>
        <w:ind w:hanging="0" w:left="0" w:right="0"/>
        <w:jc w:val="both"/>
      </w:pPr>
      <w:r>
        <w:rPr>
          <w:rFonts w:ascii="Arial" w:cs="Arial" w:eastAsia="Arial" w:hAnsi="Arial"/>
          <w:sz w:val="24"/>
          <w:szCs w:val="24"/>
        </w:rPr>
        <w:t xml:space="preserve">  </w:t>
      </w:r>
      <w:r>
        <w:rPr>
          <w:rFonts w:ascii="Arial" w:cs="Arial" w:hAnsi="Arial"/>
          <w:sz w:val="24"/>
          <w:szCs w:val="24"/>
        </w:rPr>
        <w:tab/>
        <w:t xml:space="preserve"> </w:t>
      </w:r>
      <w:r>
        <w:rPr>
          <w:rFonts w:ascii="Arial" w:cs="Arial" w:hAnsi="Arial"/>
          <w:color w:val="000000"/>
          <w:sz w:val="24"/>
          <w:szCs w:val="24"/>
        </w:rPr>
        <w:t>Y según Constitución Bolivariana de Venezuela (1999) se define al estado  como “s</w:t>
      </w:r>
      <w:r>
        <w:rPr>
          <w:rFonts w:ascii="Arial" w:cs="Arial" w:eastAsia="Times New Roman" w:hAnsi="Arial"/>
          <w:color w:val="000000"/>
          <w:sz w:val="24"/>
          <w:szCs w:val="24"/>
          <w:lang w:eastAsia="es-ES"/>
        </w:rPr>
        <w:t>on entidades autónomas e iguales en lo político, con personalidad jurídica plena, y quedan obligados a mantener la independencia, soberanía e integridad nacional, y a cumplir y hacer cumplir esta Constitución y las leyes de la República</w:t>
      </w:r>
      <w:r>
        <w:rPr>
          <w:rFonts w:ascii="Arial" w:cs="Arial" w:eastAsia="Times New Roman" w:hAnsi="Arial"/>
          <w:color w:val="333333"/>
          <w:sz w:val="24"/>
          <w:szCs w:val="24"/>
          <w:lang w:eastAsia="es-ES"/>
        </w:rPr>
        <w:t>”</w:t>
      </w:r>
    </w:p>
    <w:p>
      <w:pPr>
        <w:pStyle w:val="style199"/>
        <w:shd w:fill="FFFFFF" w:val="clear"/>
        <w:spacing w:after="280" w:before="280" w:line="360" w:lineRule="auto"/>
        <w:ind w:hanging="0" w:left="0" w:right="0"/>
        <w:jc w:val="both"/>
      </w:pPr>
      <w:r>
        <w:rPr>
          <w:rFonts w:ascii="Arial" w:cs="Arial" w:hAnsi="Arial"/>
          <w:sz w:val="24"/>
          <w:szCs w:val="24"/>
        </w:rPr>
      </w:r>
    </w:p>
    <w:p>
      <w:pPr>
        <w:pStyle w:val="style199"/>
        <w:shd w:fill="FFFFFF" w:val="clear"/>
        <w:spacing w:after="280" w:before="280" w:line="360" w:lineRule="auto"/>
        <w:ind w:hanging="0" w:left="0" w:right="0"/>
        <w:jc w:val="both"/>
      </w:pPr>
      <w:r>
        <w:rPr>
          <w:rFonts w:ascii="Arial" w:cs="Arial" w:hAnsi="Arial"/>
          <w:sz w:val="24"/>
          <w:szCs w:val="24"/>
        </w:rPr>
        <w:tab/>
        <w:t xml:space="preserve">Por otra parte  Guerrero (1997)  expresa que la administración pública se subdivide en: </w:t>
      </w:r>
    </w:p>
    <w:p>
      <w:pPr>
        <w:pStyle w:val="style199"/>
        <w:numPr>
          <w:ilvl w:val="0"/>
          <w:numId w:val="64"/>
        </w:numPr>
        <w:shd w:fill="FFFFFF" w:val="clear"/>
        <w:spacing w:after="0" w:before="0" w:line="360" w:lineRule="auto"/>
        <w:jc w:val="both"/>
      </w:pPr>
      <w:r>
        <w:rPr>
          <w:rFonts w:ascii="Arial" w:cs="Arial" w:hAnsi="Arial"/>
          <w:sz w:val="24"/>
          <w:szCs w:val="24"/>
        </w:rPr>
        <w:t xml:space="preserve">sentido lato “es la actividad encaminada a acrecentar el poder del Estado y expandir sus fuerzas interiores al máximo; es decir, lo hace formidable. Constituye una capacidad que produce poder”; </w:t>
      </w:r>
    </w:p>
    <w:p>
      <w:pPr>
        <w:pStyle w:val="style199"/>
        <w:numPr>
          <w:ilvl w:val="0"/>
          <w:numId w:val="64"/>
        </w:numPr>
        <w:shd w:fill="FFFFFF" w:val="clear"/>
        <w:spacing w:after="280" w:before="0" w:line="360" w:lineRule="auto"/>
        <w:jc w:val="both"/>
      </w:pPr>
      <w:r>
        <w:rPr>
          <w:rFonts w:ascii="Arial" w:cs="Arial" w:eastAsia="Arial" w:hAnsi="Arial"/>
          <w:sz w:val="24"/>
          <w:szCs w:val="24"/>
        </w:rPr>
        <w:t xml:space="preserve"> </w:t>
      </w:r>
      <w:r>
        <w:rPr>
          <w:rFonts w:ascii="Arial" w:cs="Arial" w:hAnsi="Arial"/>
          <w:sz w:val="24"/>
          <w:szCs w:val="24"/>
        </w:rPr>
        <w:t>y en sentido estricto según administración pública es la actividad que desarrolla la vida asociada a través del orden, la seguridad.</w:t>
      </w:r>
    </w:p>
    <w:p>
      <w:pPr>
        <w:pStyle w:val="style199"/>
        <w:shd w:fill="FFFFFF" w:val="clear"/>
        <w:spacing w:after="280" w:before="280" w:line="360" w:lineRule="auto"/>
        <w:jc w:val="both"/>
      </w:pPr>
      <w:r>
        <w:rPr>
          <w:rFonts w:ascii="Arial" w:cs="Arial" w:hAnsi="Arial"/>
          <w:sz w:val="24"/>
          <w:szCs w:val="24"/>
        </w:rPr>
      </w:r>
    </w:p>
    <w:p>
      <w:pPr>
        <w:pStyle w:val="style199"/>
        <w:shd w:fill="FFFFFF" w:val="clear"/>
        <w:spacing w:after="280" w:before="280" w:line="360" w:lineRule="auto"/>
        <w:ind w:hanging="0" w:left="0" w:right="0"/>
        <w:jc w:val="both"/>
      </w:pPr>
      <w:r>
        <w:rPr>
          <w:rFonts w:ascii="Arial" w:cs="Arial" w:hAnsi="Arial"/>
          <w:sz w:val="24"/>
          <w:szCs w:val="24"/>
        </w:rPr>
        <w:tab/>
      </w:r>
      <w:r>
        <w:rPr>
          <w:rFonts w:ascii="Arial" w:cs="Arial" w:eastAsia="BatangChe" w:hAnsi="Arial"/>
          <w:sz w:val="24"/>
          <w:szCs w:val="24"/>
        </w:rPr>
        <w:t>Mientras que la  Constitución Bolivariana de Venezuela  (1999) señala que la Administración Pública: e</w:t>
      </w:r>
      <w:r>
        <w:rPr>
          <w:rFonts w:ascii="Arial" w:cs="Arial" w:hAnsi="Arial"/>
          <w:sz w:val="24"/>
          <w:szCs w:val="24"/>
        </w:rPr>
        <w:t>stá al servicio de los ciudadanos y ciudadanas y se fundamenta en los principios de honestidad, participación, celeridad, eficacia, eficiencia, transparencia, rendición de cuentas y responsabilidad en el ejercicio de la función pública, con sometimiento pleno a la ley y al derecho.</w:t>
      </w:r>
    </w:p>
    <w:p>
      <w:pPr>
        <w:pStyle w:val="style199"/>
        <w:shd w:fill="FFFFFF" w:val="clear"/>
        <w:spacing w:after="280" w:before="280" w:line="360" w:lineRule="auto"/>
        <w:ind w:hanging="0" w:left="1134" w:right="1134"/>
        <w:jc w:val="both"/>
      </w:pPr>
      <w:r>
        <w:rPr>
          <w:rFonts w:ascii="Arial" w:cs="Arial" w:eastAsia="BatangChe" w:hAnsi="Arial"/>
          <w:sz w:val="24"/>
          <w:szCs w:val="24"/>
        </w:rPr>
      </w:r>
    </w:p>
    <w:p>
      <w:pPr>
        <w:pStyle w:val="style199"/>
        <w:shd w:fill="FFFFFF" w:val="clear"/>
        <w:spacing w:after="280" w:before="280" w:line="360" w:lineRule="auto"/>
        <w:ind w:hanging="0" w:left="0" w:right="0"/>
        <w:jc w:val="both"/>
      </w:pPr>
      <w:r>
        <w:rPr>
          <w:rFonts w:ascii="Arial" w:cs="Arial" w:eastAsia="BatangChe" w:hAnsi="Arial"/>
          <w:sz w:val="24"/>
          <w:szCs w:val="24"/>
        </w:rPr>
        <w:tab/>
        <w:t xml:space="preserve">Es por ello  que la función pública está comprometida  a las actividades que realiza el estado en beneficio de la sociedad o colectivo, para ellos debe de realizar un plan o una planeación  </w:t>
      </w:r>
    </w:p>
    <w:p>
      <w:pPr>
        <w:pStyle w:val="style206"/>
        <w:autoSpaceDE w:val="true"/>
        <w:spacing w:after="280" w:before="280" w:line="360" w:lineRule="auto"/>
        <w:jc w:val="both"/>
      </w:pPr>
      <w:r>
        <w:rPr/>
        <w:tab/>
        <w:t>Deduciendo por plan la toma anticipada de decisiones destinada a reducir las incertidumbres y las sorpresas, y a guiar a la acción hacia una situación deseada, mediante una instrumentación reflexiva de medios.</w:t>
      </w:r>
    </w:p>
    <w:p>
      <w:pPr>
        <w:pStyle w:val="style206"/>
        <w:autoSpaceDE w:val="true"/>
        <w:spacing w:after="280" w:before="280" w:line="360" w:lineRule="auto"/>
        <w:jc w:val="both"/>
      </w:pPr>
      <w:r>
        <w:rPr/>
      </w:r>
    </w:p>
    <w:p>
      <w:pPr>
        <w:pStyle w:val="style206"/>
        <w:autoSpaceDE w:val="true"/>
        <w:spacing w:after="280" w:before="280" w:line="360" w:lineRule="auto"/>
        <w:jc w:val="both"/>
      </w:pPr>
      <w:r>
        <w:rPr>
          <w:b/>
        </w:rPr>
        <w:t>Principios Rectores de la Administración Pública</w:t>
      </w:r>
    </w:p>
    <w:p>
      <w:pPr>
        <w:pStyle w:val="style206"/>
        <w:autoSpaceDE w:val="true"/>
        <w:spacing w:after="280" w:before="280" w:line="360" w:lineRule="auto"/>
        <w:jc w:val="both"/>
      </w:pPr>
      <w:r>
        <w:rPr>
          <w:b/>
          <w:sz w:val="28"/>
        </w:rPr>
        <w:tab/>
      </w:r>
    </w:p>
    <w:p>
      <w:pPr>
        <w:pStyle w:val="style206"/>
        <w:autoSpaceDE w:val="true"/>
        <w:spacing w:after="280" w:before="280" w:line="360" w:lineRule="auto"/>
        <w:jc w:val="both"/>
      </w:pPr>
      <w:r>
        <w:rPr>
          <w:b/>
        </w:rPr>
        <w:tab/>
      </w:r>
      <w:r>
        <w:rPr/>
        <w:t xml:space="preserve">Para Paz (2006:81) establecen que Para la Organización y </w:t>
      </w:r>
      <w:r>
        <w:rPr>
          <w:b/>
        </w:rPr>
        <w:t xml:space="preserve"> </w:t>
      </w:r>
      <w:r>
        <w:rPr/>
        <w:t xml:space="preserve">funcionamiento de la administración pública existen unos principios constitucionales que ponen de manifiesto las grandes líneas de las administraciones originadas a raíz de la Revolución Francesa y posteriormente transformadas por las exigencias del Estado Social de Derecho, entre estos principios, podemos resaltar los siguientes: </w:t>
      </w:r>
    </w:p>
    <w:p>
      <w:pPr>
        <w:pStyle w:val="style206"/>
        <w:autoSpaceDE w:val="true"/>
        <w:spacing w:after="280" w:before="280"/>
        <w:jc w:val="both"/>
      </w:pPr>
      <w:r>
        <w:rPr/>
      </w:r>
    </w:p>
    <w:p>
      <w:pPr>
        <w:pStyle w:val="style206"/>
        <w:numPr>
          <w:ilvl w:val="0"/>
          <w:numId w:val="54"/>
        </w:numPr>
        <w:autoSpaceDE w:val="true"/>
        <w:spacing w:after="280" w:before="0" w:line="360" w:lineRule="auto"/>
        <w:jc w:val="both"/>
      </w:pPr>
      <w:r>
        <w:rPr>
          <w:b/>
        </w:rPr>
        <w:t>El principio de la legalidad</w:t>
      </w:r>
      <w:r>
        <w:rPr/>
        <w:t xml:space="preserve">: Este es un principio constitucional básico relativo a la Administración Pública, la cual se encuentra plenamente sometida a la ley y al Derecho, es decir, sujeta al ordenamiento jurídico que actúa de acuerdo con las normas constitucionales, legales, principios generales del derecho, etc., lo cual implica, además, que la actuación de la Administración Pública pueda ser controlada jurídicamente por el órgano jurisdiccional. Por su parte, nuestra Ley Orgánica de la Administración Pública, establece que la actividad de la Administración Pública se desarrollará con base a este principio. </w:t>
      </w:r>
    </w:p>
    <w:p>
      <w:pPr>
        <w:pStyle w:val="style206"/>
        <w:autoSpaceDE w:val="true"/>
        <w:spacing w:after="280" w:before="280"/>
        <w:ind w:hanging="0" w:left="777" w:right="0"/>
        <w:jc w:val="both"/>
      </w:pPr>
      <w:r>
        <w:rPr/>
      </w:r>
    </w:p>
    <w:p>
      <w:pPr>
        <w:pStyle w:val="style206"/>
        <w:numPr>
          <w:ilvl w:val="0"/>
          <w:numId w:val="54"/>
        </w:numPr>
        <w:autoSpaceDE w:val="true"/>
        <w:spacing w:after="280" w:before="0" w:line="360" w:lineRule="auto"/>
        <w:jc w:val="both"/>
      </w:pPr>
      <w:r>
        <w:rPr>
          <w:rFonts w:eastAsia="Arial"/>
        </w:rPr>
        <w:t xml:space="preserve"> </w:t>
      </w:r>
      <w:r>
        <w:rPr>
          <w:b/>
        </w:rPr>
        <w:t>El principio de participación ciudadana</w:t>
      </w:r>
      <w:r>
        <w:rPr/>
        <w:t xml:space="preserve">: En nuestro Estado Democrático y Social de Derecho y de Justicia se establece, como una manifestación de uno de los principios de gobierno consagrados por la Constitución, la participación ciudadana, en este sentido se le permite su inherencia en la Administración Pública, en situaciones especificas, tales como, para la elaboración de normas de carácter general, el acceso a los archivos y registros públicos, el de audiencia del interesado en los procedimientos administrativos, que concretamente en la idea general de la participación ciudadana se completa con el deber general de información por parte de la Administración a los particulares, lo que implica que la Administración Pública debe brindar las condiciones mínimas a todos los administrados para acceder a la información que administren, sin expresión de causa, salvo aquellas que afectan la intimidad personal, las vinculadas a la seguridad nacional o las que expresamente sean excluidas por Ley; y extender las posibilidades de participación de los administrados y de sus representantes, en aquellas decisiones públicas que les puedan afectar, mediante cualquier sistema que permita la difusión, el servicio de acceso a la información y la presentación de opinión. </w:t>
      </w:r>
    </w:p>
    <w:p>
      <w:pPr>
        <w:pStyle w:val="style206"/>
        <w:autoSpaceDE w:val="true"/>
        <w:spacing w:after="280" w:before="280"/>
        <w:ind w:hanging="0" w:left="777" w:right="0"/>
        <w:jc w:val="both"/>
      </w:pPr>
      <w:r>
        <w:rPr/>
      </w:r>
    </w:p>
    <w:p>
      <w:pPr>
        <w:pStyle w:val="style206"/>
        <w:numPr>
          <w:ilvl w:val="0"/>
          <w:numId w:val="54"/>
        </w:numPr>
        <w:autoSpaceDE w:val="true"/>
        <w:spacing w:after="280" w:before="0" w:line="360" w:lineRule="auto"/>
        <w:jc w:val="both"/>
      </w:pPr>
      <w:r>
        <w:rPr>
          <w:b/>
        </w:rPr>
        <w:t>El principio de eficacia</w:t>
      </w:r>
      <w:r>
        <w:rPr/>
        <w:t xml:space="preserve">: En todos los supuestos de aplicación de este principio, la finalidad del acto que se privilegie sobre las formalidades no esenciales, deberá ajustarse al marco normativo aplicable y su validez será una garantía de la finalidad pública que se busca satisfacer con la aplicación del mismo, el cual exige a la Administración Pública que su acción sea efectiva, constituyendo un principio general que debe concretarse en toda la regulación jurídica de la organización y acción de la Administración. </w:t>
      </w:r>
    </w:p>
    <w:p>
      <w:pPr>
        <w:pStyle w:val="style206"/>
        <w:autoSpaceDE w:val="true"/>
        <w:spacing w:after="280" w:before="280" w:line="360" w:lineRule="auto"/>
        <w:ind w:hanging="0" w:left="774" w:right="0"/>
        <w:jc w:val="both"/>
      </w:pPr>
      <w:r>
        <w:rPr/>
      </w:r>
    </w:p>
    <w:p>
      <w:pPr>
        <w:pStyle w:val="style206"/>
        <w:autoSpaceDE w:val="true"/>
        <w:spacing w:after="280" w:before="280" w:line="360" w:lineRule="auto"/>
        <w:ind w:hanging="0" w:left="774" w:right="0"/>
        <w:jc w:val="both"/>
      </w:pPr>
      <w:r>
        <w:rPr/>
        <w:tab/>
        <w:t>Comprende pues, el funcionamiento de los órganos de la Administración Pública, ajustados a políticas, estrategias, metas y objetivos que se establezcan en los respectivos planes y compromisos de gestión, así como a las actividades, evaluaciones y control del desempeño institucional y de los resultados alcanzados. Se trata de uno de los principios de carácter programático, ya que de él derivan configuraciones jurídicas particulares de la Administración, sin embargo, conviene recordar que la necesaria eficacia de la Administración no puede desligarse de los principios fundamentales del Estado de Derecho, no pudiéndose justificar actuaciones que prescindan de los límites formales, procesales y materiales señalados por el ordenamiento jurídico a la Administración</w:t>
      </w:r>
    </w:p>
    <w:p>
      <w:pPr>
        <w:pStyle w:val="style206"/>
        <w:autoSpaceDE w:val="true"/>
        <w:spacing w:after="280" w:before="280" w:line="360" w:lineRule="auto"/>
        <w:ind w:hanging="0" w:left="774" w:right="0"/>
        <w:jc w:val="both"/>
      </w:pPr>
      <w:r>
        <w:rPr/>
      </w:r>
    </w:p>
    <w:p>
      <w:pPr>
        <w:pStyle w:val="style206"/>
        <w:numPr>
          <w:ilvl w:val="0"/>
          <w:numId w:val="54"/>
        </w:numPr>
        <w:autoSpaceDE w:val="true"/>
        <w:spacing w:after="280" w:before="0" w:line="360" w:lineRule="auto"/>
        <w:jc w:val="both"/>
      </w:pPr>
      <w:r>
        <w:rPr>
          <w:b/>
        </w:rPr>
        <w:t>El principio de eficiencia</w:t>
      </w:r>
      <w:r>
        <w:rPr/>
        <w:t>: Se refiere este principio a la validez de la relación entre la asignación y utilización del capital humano, recursos materiales y presupuestarios puestos a disposición de la Administración Pública, y su vinculación con el cumplimiento de los objetivos y metas propuestos, comprometiendo la responsabilidad fiscal.</w:t>
      </w:r>
    </w:p>
    <w:p>
      <w:pPr>
        <w:pStyle w:val="style206"/>
        <w:autoSpaceDE w:val="true"/>
        <w:spacing w:after="280" w:before="280"/>
        <w:ind w:hanging="0" w:left="777" w:right="0"/>
        <w:jc w:val="both"/>
      </w:pPr>
      <w:r>
        <w:rPr/>
      </w:r>
    </w:p>
    <w:p>
      <w:pPr>
        <w:pStyle w:val="style206"/>
        <w:numPr>
          <w:ilvl w:val="0"/>
          <w:numId w:val="54"/>
        </w:numPr>
        <w:autoSpaceDE w:val="true"/>
        <w:spacing w:after="280" w:before="0" w:line="360" w:lineRule="auto"/>
        <w:jc w:val="both"/>
      </w:pPr>
      <w:r>
        <w:rPr>
          <w:b/>
        </w:rPr>
        <w:t>El Principio de celeridad</w:t>
      </w:r>
      <w:r>
        <w:rPr/>
        <w:t>: Se concreta en el respeto que debe prestarle la Administración Pública a los derechos que le corresponden a los administrados, debiendo ajustar su actuación, de tal modo que se dote al trámite de la máxima dinámica posible, evitando actuaciones procesales que dificulten su desenvolvimiento o constituyan meros formalismos, a fin de alcanzar una decisión en tiempo razonable, sin que ello releve a las autoridades del respeto al debido procedimiento o vulnere el ordenamiento.</w:t>
      </w:r>
    </w:p>
    <w:p>
      <w:pPr>
        <w:pStyle w:val="style206"/>
        <w:autoSpaceDE w:val="true"/>
        <w:spacing w:after="280" w:before="280"/>
        <w:ind w:hanging="0" w:left="777" w:right="0"/>
        <w:jc w:val="both"/>
      </w:pPr>
      <w:r>
        <w:rPr/>
      </w:r>
    </w:p>
    <w:p>
      <w:pPr>
        <w:pStyle w:val="style206"/>
        <w:numPr>
          <w:ilvl w:val="0"/>
          <w:numId w:val="54"/>
        </w:numPr>
        <w:autoSpaceDE w:val="true"/>
        <w:spacing w:after="280" w:before="0" w:line="360" w:lineRule="auto"/>
        <w:jc w:val="both"/>
      </w:pPr>
      <w:r>
        <w:rPr>
          <w:b/>
        </w:rPr>
        <w:t>El principio de la transparencia y simplicidad</w:t>
      </w:r>
      <w:r>
        <w:rPr/>
        <w:t>: Estos principios desarrollados de manera conjunta por la ley especial, están referidos a la finalidad de la organización de la Administración Pública, en la cual debe prevalecer la simplicidad institucional y la transparencia en su estructura organizativa, asignación de competencias, adscripciones administrativas y relaciones interorgánicas. Los trámites establecidos por la autoridad administrativa deberán ser sencillos, debiendo eliminarse toda complejidad innecesaria; es decir, los requisitos exigidos deberán ser racionales y proporcionales a los fines que se persigue cumplir. Por su parte, la transparencia implica la facultad que tienen los administrados para acceder sin restricciones a la información, así como también, conocer y evaluar en su integridad, el desempeño y la forma de conducción de la gestión gubernamental</w:t>
      </w:r>
    </w:p>
    <w:p>
      <w:pPr>
        <w:pStyle w:val="style206"/>
        <w:autoSpaceDE w:val="true"/>
        <w:spacing w:after="280" w:before="280"/>
        <w:ind w:hanging="0" w:left="777" w:right="0"/>
        <w:jc w:val="both"/>
      </w:pPr>
      <w:r>
        <w:rPr/>
      </w:r>
    </w:p>
    <w:p>
      <w:pPr>
        <w:pStyle w:val="style206"/>
        <w:numPr>
          <w:ilvl w:val="0"/>
          <w:numId w:val="54"/>
        </w:numPr>
        <w:autoSpaceDE w:val="true"/>
        <w:spacing w:after="280" w:before="0" w:line="360" w:lineRule="auto"/>
        <w:jc w:val="both"/>
      </w:pPr>
      <w:r>
        <w:rPr>
          <w:b/>
        </w:rPr>
        <w:t>El principio de responsabilidad patrimonial del Estado</w:t>
      </w:r>
      <w:r>
        <w:rPr/>
        <w:t>: Este principio innovador, consagrado a partir de la Constitución de Venezuela de 1999, está concebido como una responsabilidad objetiva, referida a las actuaciones de los funcionarios que actúan en el campo del derecho público y que permite subsanar los daños ocasionados a los bienes y derechos de los particulares, siempre que la lesión sea imputable al funcionamiento de la Administración Pública, independientemente de que dicho daño derive del funcionamiento normal o anormal de la misma.</w:t>
      </w:r>
    </w:p>
    <w:p>
      <w:pPr>
        <w:pStyle w:val="style206"/>
        <w:autoSpaceDE w:val="true"/>
        <w:spacing w:after="280" w:before="280"/>
        <w:ind w:hanging="0" w:left="777" w:right="0"/>
        <w:jc w:val="both"/>
      </w:pPr>
      <w:r>
        <w:rPr/>
      </w:r>
    </w:p>
    <w:p>
      <w:pPr>
        <w:pStyle w:val="style206"/>
        <w:numPr>
          <w:ilvl w:val="0"/>
          <w:numId w:val="54"/>
        </w:numPr>
        <w:autoSpaceDE w:val="true"/>
        <w:spacing w:after="280" w:before="0" w:line="360" w:lineRule="auto"/>
        <w:jc w:val="both"/>
      </w:pPr>
      <w:r>
        <w:rPr>
          <w:b/>
        </w:rPr>
        <w:t>El principio de la responsabilidad de los funcionarios públicos</w:t>
      </w:r>
      <w:r>
        <w:rPr/>
        <w:t>: Nuestra Constitución actual reitera la responsabilidad individual de los funcionarios públicos, en cuanto servidores de la Administración Pública y gestores de los intereses generales, en consecuencia cuando causen daños, bien sea por abuso de poder, por la desviación del mismo, o violando las disposiciones constitucionales o legales, serán responsables civil, penal o administrativamente, de los actos que dicten, ordenen, ejecuten, violen o menoscaben los derechos garantizados por la Constitución, sin que pueda servirles de excusa órdenes superiores</w:t>
      </w:r>
    </w:p>
    <w:p>
      <w:pPr>
        <w:pStyle w:val="style206"/>
        <w:autoSpaceDE w:val="true"/>
        <w:spacing w:after="280" w:before="280"/>
        <w:ind w:hanging="0" w:left="777" w:right="0"/>
        <w:jc w:val="both"/>
      </w:pPr>
      <w:r>
        <w:rPr/>
      </w:r>
    </w:p>
    <w:p>
      <w:pPr>
        <w:pStyle w:val="style206"/>
        <w:numPr>
          <w:ilvl w:val="0"/>
          <w:numId w:val="54"/>
        </w:numPr>
        <w:autoSpaceDE w:val="true"/>
        <w:spacing w:after="280" w:before="0" w:line="360" w:lineRule="auto"/>
        <w:jc w:val="both"/>
      </w:pPr>
      <w:r>
        <w:rPr>
          <w:b/>
        </w:rPr>
        <w:t>El principio de la finalidad de la Administración Pública</w:t>
      </w:r>
      <w:r>
        <w:rPr/>
        <w:t xml:space="preserve">: Constitucionalmente se establece que la Administración Pública estará al servicio de los ciudadanos, desarrollándose ampliamente este principio en la ley especial, precisando que se le dará preferencia a la atención de los requerimientos de la población en cuanto a la satisfacción de sus necesidades. </w:t>
      </w:r>
    </w:p>
    <w:p>
      <w:pPr>
        <w:pStyle w:val="style206"/>
        <w:autoSpaceDE w:val="true"/>
        <w:spacing w:after="280" w:before="280" w:line="360" w:lineRule="auto"/>
        <w:ind w:hanging="0" w:left="774" w:right="0"/>
        <w:jc w:val="both"/>
      </w:pPr>
      <w:r>
        <w:rPr/>
      </w:r>
    </w:p>
    <w:p>
      <w:pPr>
        <w:pStyle w:val="style206"/>
        <w:autoSpaceDE w:val="true"/>
        <w:spacing w:after="280" w:before="280" w:line="360" w:lineRule="auto"/>
        <w:ind w:firstLine="737" w:left="737" w:right="0"/>
        <w:jc w:val="both"/>
      </w:pPr>
      <w:r>
        <w:rPr>
          <w:rFonts w:eastAsia="Arial"/>
        </w:rPr>
        <w:t xml:space="preserve"> </w:t>
      </w:r>
      <w:r>
        <w:rPr/>
        <w:t>La Administración Pública debe asegurarle a éstos, la efectividad de sus derechos cuando se relacionen con ella, además tendrá entre sus objetivos, la continua mejora de los procedimientos, servicios y prestaciones públicos, de acuerdo con las políticas fijadas y de conformidad con los recursos disponibles.</w:t>
      </w:r>
    </w:p>
    <w:p>
      <w:pPr>
        <w:pStyle w:val="style206"/>
        <w:autoSpaceDE w:val="true"/>
        <w:spacing w:after="280" w:before="280" w:line="360" w:lineRule="auto"/>
        <w:ind w:firstLine="737" w:left="737" w:right="0"/>
        <w:jc w:val="both"/>
      </w:pPr>
      <w:r>
        <w:rPr/>
      </w:r>
    </w:p>
    <w:p>
      <w:pPr>
        <w:pStyle w:val="style0"/>
        <w:spacing w:after="0" w:before="0" w:line="360" w:lineRule="auto"/>
        <w:jc w:val="both"/>
      </w:pPr>
      <w:r>
        <w:rPr>
          <w:rFonts w:ascii="Arial" w:cs="Arial" w:eastAsia="Times New Roman" w:hAnsi="Arial"/>
          <w:b/>
          <w:color w:val="000000"/>
          <w:sz w:val="24"/>
          <w:szCs w:val="24"/>
          <w:lang w:eastAsia="es-VE" w:val="es-VE"/>
        </w:rPr>
        <w:t xml:space="preserve">La División de la Administración </w:t>
      </w:r>
    </w:p>
    <w:p>
      <w:pPr>
        <w:pStyle w:val="style0"/>
        <w:spacing w:after="0" w:before="0" w:line="360" w:lineRule="auto"/>
        <w:jc w:val="both"/>
      </w:pPr>
      <w:r>
        <w:rPr>
          <w:rFonts w:ascii="Arial" w:cs="Arial" w:eastAsia="Times New Roman" w:hAnsi="Arial"/>
          <w:b/>
          <w:color w:val="000000"/>
          <w:sz w:val="24"/>
          <w:szCs w:val="24"/>
          <w:lang w:eastAsia="es-VE" w:val="es-VE"/>
        </w:rPr>
      </w:r>
    </w:p>
    <w:p>
      <w:pPr>
        <w:pStyle w:val="style0"/>
        <w:spacing w:after="0" w:before="0" w:line="360" w:lineRule="auto"/>
        <w:ind w:firstLine="737" w:left="0" w:right="0"/>
        <w:jc w:val="both"/>
      </w:pPr>
      <w:r>
        <w:rPr>
          <w:rFonts w:ascii="Arial" w:cs="Arial" w:eastAsia="Times New Roman" w:hAnsi="Arial"/>
          <w:color w:val="000000"/>
          <w:sz w:val="24"/>
          <w:szCs w:val="24"/>
          <w:lang w:eastAsia="es-VE" w:val="es-VE"/>
        </w:rPr>
        <w:t>Maldonado (2014;7)</w:t>
      </w:r>
      <w:r>
        <w:rPr>
          <w:rFonts w:ascii="Times New Roman" w:cs="Times New Roman" w:eastAsia="Times New Roman" w:hAnsi="Times New Roman"/>
          <w:sz w:val="24"/>
          <w:szCs w:val="24"/>
          <w:lang w:eastAsia="es-VE" w:val="es-VE"/>
        </w:rPr>
        <w:t xml:space="preserve">  </w:t>
      </w:r>
      <w:r>
        <w:rPr>
          <w:rFonts w:ascii="Arial" w:cs="Arial" w:eastAsia="Times New Roman" w:hAnsi="Arial"/>
          <w:color w:val="000000"/>
          <w:sz w:val="24"/>
          <w:szCs w:val="24"/>
          <w:lang w:eastAsia="es-VE" w:val="es-VE"/>
        </w:rPr>
        <w:t xml:space="preserve">La administración es una ciencia dividida en una serie de campos de conocimiento de las organizaciones y de los sistemas, por ello encontramos una gran gama de especialidades en relación a este campo, primero tenemos que la administración nació por una de sus especialidades: “la administración pública” esta rama de la ciencia está conformada por políticas que conllevan al buen manejo del estado, además de crear una serie de aplicaciones a las demás ramas como lo es la organización por organigramas y las líneas de staff. </w:t>
      </w:r>
    </w:p>
    <w:p>
      <w:pPr>
        <w:pStyle w:val="style0"/>
        <w:spacing w:after="0" w:before="0" w:line="360" w:lineRule="auto"/>
        <w:ind w:firstLine="737" w:left="0" w:right="0"/>
        <w:jc w:val="both"/>
      </w:pPr>
      <w:r>
        <w:rPr>
          <w:rFonts w:ascii="Arial" w:cs="Arial" w:eastAsia="Times New Roman" w:hAnsi="Arial"/>
          <w:color w:val="000000"/>
          <w:sz w:val="24"/>
          <w:szCs w:val="24"/>
          <w:lang w:eastAsia="es-VE" w:val="es-VE"/>
        </w:rPr>
      </w:r>
    </w:p>
    <w:p>
      <w:pPr>
        <w:pStyle w:val="style0"/>
        <w:spacing w:after="0" w:before="0" w:line="360" w:lineRule="auto"/>
        <w:ind w:firstLine="737" w:left="0" w:right="0"/>
        <w:jc w:val="both"/>
      </w:pPr>
      <w:r>
        <w:rPr>
          <w:rFonts w:ascii="Arial" w:cs="Arial" w:eastAsia="Times New Roman" w:hAnsi="Arial"/>
          <w:color w:val="000000"/>
          <w:sz w:val="24"/>
          <w:szCs w:val="24"/>
          <w:lang w:eastAsia="es-VE" w:val="es-VE"/>
        </w:rPr>
        <w:t>Esta rama de la administración está encargada del estudio de los macrosistemas, es decir de la sociedad, para establecer y mantener los sistemas racionales que se encuentran en él, con el fin de lograr el bienestar de un pueblo y la valoración de sus derechos, además de la caracterización de sus obligaciones frente a su sociedad como persona activa del  sistema administrativo</w:t>
      </w:r>
      <w:r>
        <w:rPr>
          <w:rFonts w:ascii="Times New Roman" w:cs="Times New Roman" w:eastAsia="Times New Roman" w:hAnsi="Times New Roman"/>
          <w:sz w:val="24"/>
          <w:szCs w:val="24"/>
          <w:lang w:eastAsia="es-VE" w:val="es-VE"/>
        </w:rPr>
        <w:t xml:space="preserve">. </w:t>
      </w:r>
    </w:p>
    <w:p>
      <w:pPr>
        <w:pStyle w:val="style0"/>
        <w:spacing w:after="0" w:before="0" w:line="360" w:lineRule="auto"/>
        <w:jc w:val="both"/>
      </w:pPr>
      <w:r>
        <w:rPr>
          <w:rFonts w:ascii="Times New Roman" w:cs="Times New Roman" w:eastAsia="Times New Roman" w:hAnsi="Times New Roman"/>
          <w:sz w:val="24"/>
          <w:szCs w:val="24"/>
          <w:lang w:eastAsia="es-VE" w:val="es-VE"/>
        </w:rPr>
      </w:r>
    </w:p>
    <w:p>
      <w:pPr>
        <w:pStyle w:val="style0"/>
        <w:spacing w:after="0" w:before="0" w:line="360" w:lineRule="auto"/>
        <w:ind w:firstLine="737" w:left="0" w:right="0"/>
        <w:jc w:val="both"/>
      </w:pPr>
      <w:r>
        <w:rPr>
          <w:rFonts w:ascii="Arial" w:cs="Arial" w:eastAsia="Times New Roman" w:hAnsi="Arial"/>
          <w:color w:val="000000"/>
          <w:sz w:val="24"/>
          <w:szCs w:val="24"/>
          <w:lang w:eastAsia="es-VE" w:val="es-VE"/>
        </w:rPr>
        <w:t>El autor indica que la administración pública nos lleva a pensar que existe una administración de otro carácter, es decir, de la “administración de capital privado” esta es la que comúnmente se denomina simplemente “administración de empresas”: es la encargada del estudio de los sistemas, es decir de la estructura del capital en las organizaciones, para establecer y mantener los sub-sistemas racionales de esfuerzo cooperativo que se desarrollan en relación directa con la “autoridad-dependencia” de las organizaciones, con el fin único de satisfacer de forma directa las  necesidades de una población objetivo.</w:t>
      </w:r>
    </w:p>
    <w:p>
      <w:pPr>
        <w:pStyle w:val="style0"/>
        <w:pageBreakBefore/>
        <w:spacing w:after="0" w:before="0" w:line="240" w:lineRule="auto"/>
      </w:pPr>
      <w:r>
        <w:rPr>
          <w:rFonts w:ascii="Arial" w:cs="Arial" w:eastAsia="Times New Roman" w:hAnsi="Arial"/>
          <w:color w:val="000000"/>
          <w:sz w:val="24"/>
          <w:szCs w:val="24"/>
          <w:lang w:eastAsia="es-VE" w:val="es-VE"/>
        </w:rPr>
      </w:r>
    </w:p>
    <w:p>
      <w:pPr>
        <w:pStyle w:val="style0"/>
        <w:spacing w:after="0" w:before="0" w:line="360" w:lineRule="auto"/>
        <w:jc w:val="both"/>
      </w:pPr>
      <w:r>
        <w:rPr>
          <w:rFonts w:ascii="Times New Roman" w:cs="Times New Roman" w:eastAsia="Times New Roman" w:hAnsi="Times New Roman"/>
          <w:sz w:val="24"/>
          <w:szCs w:val="24"/>
          <w:lang w:eastAsia="es-VE" w:val="es-VE"/>
        </w:rPr>
      </w:r>
    </w:p>
    <w:p>
      <w:pPr>
        <w:pStyle w:val="style0"/>
        <w:spacing w:after="200" w:before="0"/>
        <w:jc w:val="center"/>
      </w:pPr>
      <w:r>
        <w:rPr>
          <w:rFonts w:ascii="Arial" w:cs="Arial" w:hAnsi="Arial"/>
          <w:b/>
          <w:sz w:val="24"/>
          <w:lang w:val="es-ES"/>
        </w:rPr>
        <w:t>DIVISION DE LA ADMINISTRACIÓN</w:t>
      </w:r>
    </w:p>
    <w:p>
      <w:pPr>
        <w:pStyle w:val="style206"/>
        <w:autoSpaceDE w:val="true"/>
        <w:spacing w:after="280" w:before="280" w:line="360" w:lineRule="auto"/>
        <w:jc w:val="both"/>
      </w:pPr>
      <w:r>
        <w:rPr>
          <w:lang w:eastAsia="es-VE" w:val="es-VE"/>
        </w:rPr>
      </w:r>
    </w:p>
    <w:p>
      <w:pPr>
        <w:pStyle w:val="style0"/>
        <w:spacing w:after="0" w:before="0" w:line="240" w:lineRule="auto"/>
        <w:jc w:val="center"/>
      </w:pPr>
      <w:r>
        <w:rPr>
          <w:rFonts w:ascii="Arial" w:cs="Arial" w:eastAsia="Times New Roman" w:hAnsi="Arial"/>
          <w:szCs w:val="24"/>
          <w:lang w:eastAsia="es-VE" w:val="es-VE"/>
        </w:rPr>
        <w:t>ADMINISTRACIÓN DE</w:t>
      </w:r>
    </w:p>
    <w:p>
      <w:pPr>
        <w:pStyle w:val="style0"/>
        <w:spacing w:after="0" w:before="0" w:line="240" w:lineRule="auto"/>
        <w:jc w:val="center"/>
      </w:pPr>
      <w:r>
        <w:rPr>
          <w:rFonts w:ascii="Arial" w:cs="Arial" w:eastAsia="Times New Roman" w:hAnsi="Arial"/>
          <w:szCs w:val="24"/>
          <w:lang w:eastAsia="es-VE" w:val="es-VE"/>
        </w:rPr>
        <w:t>EMPRESAS</w:t>
      </w:r>
    </w:p>
    <w:p>
      <w:pPr>
        <w:pStyle w:val="style0"/>
        <w:spacing w:after="200" w:before="0"/>
        <w:jc w:val="center"/>
      </w:pPr>
      <w:r>
        <w:rPr>
          <w:rFonts w:ascii="Arial" w:cs="Arial" w:hAnsi="Arial"/>
          <w:sz w:val="20"/>
        </w:rPr>
      </w:r>
    </w:p>
    <w:p>
      <w:pPr>
        <w:pStyle w:val="style206"/>
        <w:autoSpaceDE w:val="true"/>
        <w:spacing w:after="280" w:before="280" w:line="360" w:lineRule="auto"/>
        <w:jc w:val="both"/>
      </w:pPr>
      <w:r>
        <w:rPr>
          <w:lang w:eastAsia="es-VE" w:val="es-VE"/>
        </w:rPr>
        <w:pict>
          <v:shapetype id="shapetype_32" coordsize="21600,21600" o:spt="32" path="m,l21600,21600nfe">
            <v:stroke joinstyle="miter"/>
            <v:path gradientshapeok="t" o:connecttype="rect" textboxrect="0,0,21600,21600"/>
          </v:shapetype>
          <v:shape id="shape_0" style="position:absolute;margin-left:277.15pt;margin-top:10.3pt;width:0.05pt;height:322.75pt" type="shapetype_32">
            <v:stroke color="black" joinstyle="miter" weight="9360"/>
            <v:fill detectmouseclick="t"/>
          </v:shape>
        </w:pict>
        <w:pict>
          <v:shape id="shape_0" style="position:absolute;margin-left:277.15pt;margin-top:10.3pt;width:13.85pt;height:0.05pt" type="shapetype_32">
            <v:stroke color="black" endarrow="block" endarrowlength="medium" endarrowwidth="medium" joinstyle="miter" weight="9360"/>
            <v:fill detectmouseclick="t"/>
          </v:shape>
        </w:pict>
        <w:pict>
          <v:shape id="shape_0" style="position:absolute;margin-left:133.25pt;margin-top:10.3pt;width:0pt;height:245.85pt" type="shapetype_32">
            <v:stroke color="black" joinstyle="miter" weight="9360"/>
            <v:fill detectmouseclick="t"/>
          </v:shape>
        </w:pict>
        <w:pict>
          <v:shape id="shape_0" style="position:absolute;margin-left:131.2pt;margin-top:10.3pt;width:13.85pt;height:0.05pt" type="shapetype_32">
            <v:stroke color="black" endarrow="block" endarrowlength="medium" endarrowwidth="medium" joinstyle="miter" weight="9360"/>
            <v:fill detectmouseclick="t"/>
          </v:shape>
        </w:pict>
        <w:pict>
          <v:shape id="shape_0" style="position:absolute;margin-left:-2.4pt;margin-top:4.65pt;width:0.05pt;height:242.05pt" type="shapetype_32">
            <v:stroke color="black" joinstyle="miter" weight="9360"/>
            <v:fill detectmouseclick="t"/>
          </v:shape>
        </w:pict>
        <w:pict>
          <v:shape id="shape_0" style="position:absolute;margin-left:-2.65pt;margin-top:4.65pt;width:13.8pt;height:0.05pt" type="shapetype_32">
            <v:stroke color="black" endarrow="block" endarrowlength="medium" endarrowwidth="medium" joinstyle="miter" weight="9360"/>
            <v:fill detectmouseclick="t"/>
          </v:shape>
        </w:pict>
      </w:r>
    </w:p>
    <w:p>
      <w:pPr>
        <w:pStyle w:val="style206"/>
        <w:autoSpaceDE w:val="true"/>
        <w:spacing w:after="280" w:before="280" w:line="360" w:lineRule="auto"/>
        <w:jc w:val="both"/>
      </w:pPr>
      <w:r>
        <w:rPr/>
        <w:tab/>
      </w:r>
    </w:p>
    <w:p>
      <w:pPr>
        <w:pStyle w:val="style206"/>
        <w:autoSpaceDE w:val="true"/>
        <w:spacing w:after="280" w:before="280" w:line="360" w:lineRule="auto"/>
        <w:jc w:val="both"/>
      </w:pPr>
      <w:r>
        <w:rPr>
          <w:lang w:eastAsia="es-VE" w:val="es-VE"/>
        </w:rPr>
        <w:pict>
          <v:shape id="shape_0" style="position:absolute;margin-left:277.15pt;margin-top:25.3pt;width:13.85pt;height:0pt" type="shapetype_32">
            <v:stroke color="black" endarrow="block" endarrowlength="medium" endarrowwidth="medium" joinstyle="miter" weight="9360"/>
            <v:fill detectmouseclick="t"/>
          </v:shape>
        </w:pict>
        <w:pict>
          <v:shape id="shape_0" style="position:absolute;margin-left:133.1pt;margin-top:25.3pt;width:13.85pt;height:0pt" type="shapetype_32">
            <v:stroke color="black" endarrow="block" endarrowlength="medium" endarrowwidth="medium" joinstyle="miter" weight="9360"/>
            <v:fill detectmouseclick="t"/>
          </v:shape>
        </w:pict>
        <w:pict>
          <v:shape id="shape_0" style="position:absolute;margin-left:-2.4pt;margin-top:25.3pt;width:15.35pt;height:0pt" type="shapetype_32">
            <v:stroke color="black" endarrow="block" endarrowlength="medium" endarrowwidth="medium" joinstyle="miter" weight="9360"/>
            <v:fill detectmouseclick="t"/>
          </v:shape>
        </w:pict>
      </w:r>
    </w:p>
    <w:p>
      <w:pPr>
        <w:pStyle w:val="style0"/>
        <w:spacing w:after="0" w:before="0" w:line="240" w:lineRule="auto"/>
        <w:jc w:val="center"/>
      </w:pPr>
      <w:r>
        <w:rPr>
          <w:rFonts w:ascii="Times New Roman" w:cs="Times New Roman" w:eastAsia="Times New Roman" w:hAnsi="Times New Roman"/>
          <w:sz w:val="24"/>
          <w:szCs w:val="24"/>
          <w:lang w:eastAsia="es-VE" w:val="es-VE"/>
        </w:rPr>
        <w:t>Administración</w:t>
      </w:r>
    </w:p>
    <w:p>
      <w:pPr>
        <w:pStyle w:val="style0"/>
        <w:spacing w:after="0" w:before="0" w:line="240" w:lineRule="auto"/>
        <w:jc w:val="center"/>
      </w:pPr>
      <w:r>
        <w:rPr>
          <w:rFonts w:ascii="Times New Roman" w:cs="Times New Roman" w:eastAsia="Times New Roman" w:hAnsi="Times New Roman"/>
          <w:sz w:val="24"/>
          <w:szCs w:val="24"/>
          <w:lang w:eastAsia="es-VE" w:val="es-VE"/>
        </w:rPr>
        <w:t>Financiera</w:t>
      </w:r>
    </w:p>
    <w:p>
      <w:pPr>
        <w:pStyle w:val="style0"/>
        <w:spacing w:after="200" w:before="0"/>
        <w:jc w:val="center"/>
      </w:pPr>
      <w:r>
        <w:rPr>
          <w:rFonts w:ascii="Arial" w:cs="Arial" w:hAnsi="Arial"/>
          <w:sz w:val="20"/>
        </w:rPr>
      </w:r>
    </w:p>
    <w:p>
      <w:pPr>
        <w:pStyle w:val="style0"/>
        <w:spacing w:after="0" w:before="0" w:line="360" w:lineRule="auto"/>
      </w:pPr>
      <w:r>
        <w:rPr/>
        <w:pict>
          <v:shape id="shape_0" style="position:absolute;margin-left:276.15pt;margin-top:124.4pt;width:15.65pt;height:0pt" type="shapetype_32">
            <v:stroke color="black" endarrow="block" endarrowlength="medium" endarrowwidth="medium" joinstyle="miter" weight="9360"/>
            <v:fill detectmouseclick="t"/>
          </v:shape>
        </w:pict>
        <w:pict>
          <v:shape id="shape_0" style="position:absolute;margin-left:-2.65pt;margin-top:170.6pt;width:15.65pt;height:0.05pt" type="shapetype_32">
            <v:stroke color="black" endarrow="block" endarrowlength="medium" endarrowwidth="medium" joinstyle="miter" weight="9360"/>
            <v:fill detectmouseclick="t"/>
          </v:shape>
        </w:pict>
        <w:pict>
          <v:shape id="shape_0" style="position:absolute;margin-left:-0.8pt;margin-top:114.25pt;width:13.8pt;height:0.05pt" type="shapetype_32">
            <v:stroke color="black" endarrow="block" endarrowlength="medium" endarrowwidth="medium" joinstyle="miter" weight="9360"/>
            <v:fill detectmouseclick="t"/>
          </v:shape>
        </w:pict>
        <w:pict>
          <v:shape id="shape_0" style="position:absolute;margin-left:-2.65pt;margin-top:43.6pt;width:15.65pt;height:0.05pt" type="shapetype_32">
            <v:stroke color="black" endarrow="block" endarrowlength="medium" endarrowwidth="medium" joinstyle="miter" weight="9360"/>
            <v:fill detectmouseclick="t"/>
          </v:shape>
        </w:pict>
        <w:pict>
          <v:shape id="shape_0" style="position:absolute;margin-left:133.1pt;margin-top:180.05pt;width:15.05pt;height:0.05pt" type="shapetype_32">
            <v:stroke color="black" endarrow="block" endarrowlength="medium" endarrowwidth="medium" joinstyle="miter" weight="9360"/>
            <v:fill detectmouseclick="t"/>
          </v:shape>
        </w:pict>
        <w:pict>
          <v:shape id="shape_0" style="position:absolute;margin-left:133.1pt;margin-top:114.2pt;width:13.85pt;height:0pt" type="shapetype_32">
            <v:stroke color="black" endarrow="block" endarrowlength="medium" endarrowwidth="medium" joinstyle="miter" weight="9360"/>
            <v:fill detectmouseclick="t"/>
          </v:shape>
        </w:pict>
        <w:pict>
          <v:shape id="shape_0" style="position:absolute;margin-left:134.7pt;margin-top:53pt;width:13.85pt;height:0pt" type="shapetype_32">
            <v:stroke color="black" endarrow="block" endarrowlength="medium" endarrowwidth="medium" joinstyle="miter" weight="9360"/>
            <v:fill detectmouseclick="t"/>
          </v:shape>
        </w:pict>
        <w:pict>
          <v:shape id="shape_0" style="position:absolute;margin-left:276.15pt;margin-top:256.9pt;width:18.25pt;height:0.05pt" type="shapetype_32">
            <v:stroke color="black" endarrow="block" endarrowlength="medium" endarrowwidth="medium" joinstyle="miter" weight="9360"/>
            <v:fill detectmouseclick="t"/>
          </v:shape>
        </w:pict>
        <w:pict>
          <v:shape id="shape_0" style="position:absolute;margin-left:277.15pt;margin-top:188.95pt;width:15.65pt;height:0.05pt" type="shapetype_32">
            <v:stroke color="black" endarrow="block" endarrowlength="medium" endarrowwidth="medium" joinstyle="miter" weight="9360"/>
            <v:fill detectmouseclick="t"/>
          </v:shape>
        </w:pict>
        <w:pict>
          <v:shape id="shape_0" style="position:absolute;margin-left:275.35pt;margin-top:53pt;width:15.65pt;height:0pt" type="shapetype_32">
            <v:stroke color="black" endarrow="block" endarrowlength="medium" endarrowwidth="medium" joinstyle="miter" weight="9360"/>
            <v:fill detectmouseclick="t"/>
          </v:shape>
        </w:pict>
      </w:r>
    </w:p>
    <w:p>
      <w:pPr>
        <w:pStyle w:val="style0"/>
        <w:spacing w:after="0" w:before="0" w:line="240" w:lineRule="auto"/>
        <w:jc w:val="center"/>
      </w:pPr>
      <w:r>
        <w:rPr>
          <w:rFonts w:ascii="Arial" w:cs="Arial" w:eastAsia="Arial" w:hAnsi="Arial"/>
          <w:szCs w:val="24"/>
          <w:lang w:eastAsia="es-VE" w:val="es-VE"/>
        </w:rPr>
        <w:t xml:space="preserve"> </w:t>
      </w:r>
    </w:p>
    <w:p>
      <w:pPr>
        <w:pStyle w:val="style0"/>
        <w:spacing w:after="0" w:before="0" w:line="240" w:lineRule="auto"/>
        <w:jc w:val="center"/>
      </w:pPr>
      <w:r>
        <w:rPr>
          <w:rFonts w:ascii="Arial" w:cs="Arial" w:eastAsia="Times New Roman" w:hAnsi="Arial"/>
          <w:szCs w:val="24"/>
          <w:lang w:eastAsia="es-VE" w:val="es-VE"/>
        </w:rPr>
        <w:t>Administración del</w:t>
      </w:r>
    </w:p>
    <w:p>
      <w:pPr>
        <w:pStyle w:val="style0"/>
        <w:spacing w:after="0" w:before="0" w:line="240" w:lineRule="auto"/>
        <w:jc w:val="center"/>
      </w:pPr>
      <w:r>
        <w:rPr>
          <w:rFonts w:ascii="Arial" w:cs="Arial" w:eastAsia="Times New Roman" w:hAnsi="Arial"/>
          <w:szCs w:val="24"/>
          <w:lang w:eastAsia="es-VE" w:val="es-VE"/>
        </w:rPr>
        <w:t>Talento Humano</w:t>
      </w:r>
    </w:p>
    <w:p>
      <w:pPr>
        <w:pStyle w:val="style0"/>
        <w:spacing w:after="200" w:before="0"/>
        <w:jc w:val="center"/>
      </w:pPr>
      <w:r>
        <w:rPr>
          <w:rFonts w:ascii="Arial" w:cs="Arial" w:hAnsi="Arial"/>
          <w:sz w:val="20"/>
        </w:rPr>
      </w:r>
    </w:p>
    <w:p>
      <w:pPr>
        <w:pStyle w:val="style0"/>
        <w:pageBreakBefore/>
        <w:spacing w:after="0" w:before="0" w:line="360" w:lineRule="auto"/>
      </w:pPr>
      <w:r>
        <w:rPr/>
        <w:tab/>
      </w:r>
      <w:r>
        <w:rPr>
          <w:rFonts w:ascii="Arial" w:cs="Arial" w:hAnsi="Arial"/>
          <w:sz w:val="24"/>
        </w:rPr>
        <w:t>La noción de plan presupone un conjunto de connotaciones, tales como las de previsión, organización, coordinación de esfuerzos y control de acciones y de resultados.</w:t>
      </w:r>
    </w:p>
    <w:p>
      <w:pPr>
        <w:pStyle w:val="style206"/>
        <w:spacing w:line="360" w:lineRule="auto"/>
        <w:ind w:firstLine="709" w:left="0" w:right="0"/>
        <w:jc w:val="both"/>
      </w:pPr>
      <w:r>
        <w:rPr>
          <w:sz w:val="28"/>
        </w:rPr>
      </w:r>
    </w:p>
    <w:p>
      <w:pPr>
        <w:pStyle w:val="style206"/>
        <w:spacing w:line="360" w:lineRule="auto"/>
        <w:ind w:firstLine="709" w:left="0" w:right="0"/>
        <w:jc w:val="both"/>
      </w:pPr>
      <w:r>
        <w:rPr/>
        <w:t xml:space="preserve">Para Ossorio (2003; 13) expresa que el  plan evoca a una acción reflexiva e intencional de ordenamiento y encuadre de acciones y de preparación de instrumentos conceptuales y materiales para alcanzar o producir un resultado deseado  </w:t>
      </w:r>
    </w:p>
    <w:p>
      <w:pPr>
        <w:pStyle w:val="style206"/>
        <w:ind w:firstLine="709" w:left="0" w:right="0"/>
        <w:jc w:val="both"/>
      </w:pPr>
      <w:r>
        <w:rPr/>
      </w:r>
    </w:p>
    <w:p>
      <w:pPr>
        <w:pStyle w:val="style206"/>
        <w:spacing w:line="360" w:lineRule="auto"/>
        <w:ind w:firstLine="709" w:left="0" w:right="0"/>
        <w:jc w:val="both"/>
      </w:pPr>
      <w:r>
        <w:rPr/>
        <w:t xml:space="preserve">Referente a las acciones reflexivas e intencionales que se realizan para alcanzar o producir un resultado nace la planificación que está orientada  a facilitar la tomas de decisiones para transformar la realidad en un futuro  inmediato  </w:t>
      </w:r>
    </w:p>
    <w:p>
      <w:pPr>
        <w:pStyle w:val="style206"/>
        <w:ind w:firstLine="709" w:left="0" w:right="0"/>
        <w:jc w:val="both"/>
      </w:pPr>
      <w:r>
        <w:rPr/>
      </w:r>
    </w:p>
    <w:p>
      <w:pPr>
        <w:pStyle w:val="style206"/>
        <w:spacing w:line="360" w:lineRule="auto"/>
        <w:ind w:firstLine="709" w:left="0" w:right="0"/>
        <w:jc w:val="both"/>
      </w:pPr>
      <w:r>
        <w:rPr/>
        <w:t>Por consiguiente Caldera (2004:36)  conceptualiza la Planeación que es la función que tiene por objetivo fijar el curso concreto de acción que ha de seguirse, estableciendo los principios que habrá de orientarlo, la secuencia de operaciones para realizarlo y las determinaciones de tiempo y números necesarios para su realización.</w:t>
      </w:r>
    </w:p>
    <w:p>
      <w:pPr>
        <w:pStyle w:val="style206"/>
        <w:tabs>
          <w:tab w:leader="none" w:pos="7088" w:val="left"/>
        </w:tabs>
        <w:ind w:firstLine="709" w:left="0" w:right="0"/>
        <w:jc w:val="both"/>
      </w:pPr>
      <w:r>
        <w:rPr/>
      </w:r>
    </w:p>
    <w:p>
      <w:pPr>
        <w:pStyle w:val="style206"/>
        <w:tabs>
          <w:tab w:leader="none" w:pos="8222" w:val="left"/>
        </w:tabs>
        <w:spacing w:line="360" w:lineRule="auto"/>
        <w:ind w:firstLine="567" w:left="0" w:right="0"/>
        <w:jc w:val="both"/>
      </w:pPr>
      <w:r>
        <w:rPr/>
        <w:t xml:space="preserve">La autora  considerar a la planeación como una función administrativa que permite la fijación de objetivos, políticas, procedimientos y programas para ejercer la acción planeada.  </w:t>
      </w:r>
    </w:p>
    <w:p>
      <w:pPr>
        <w:pStyle w:val="style206"/>
        <w:tabs>
          <w:tab w:leader="none" w:pos="8222" w:val="left"/>
        </w:tabs>
        <w:ind w:firstLine="709" w:left="0" w:right="0"/>
        <w:jc w:val="both"/>
      </w:pPr>
      <w:r>
        <w:rPr/>
      </w:r>
    </w:p>
    <w:p>
      <w:pPr>
        <w:pStyle w:val="style206"/>
        <w:tabs>
          <w:tab w:leader="none" w:pos="8222" w:val="left"/>
        </w:tabs>
        <w:spacing w:line="360" w:lineRule="auto"/>
        <w:ind w:firstLine="567" w:left="0" w:right="0"/>
        <w:jc w:val="both"/>
      </w:pPr>
      <w:r>
        <w:rPr/>
        <w:t xml:space="preserve">Para ella los planes se clasifican  en múltiples tipos: </w:t>
      </w:r>
    </w:p>
    <w:p>
      <w:pPr>
        <w:pStyle w:val="style206"/>
        <w:tabs>
          <w:tab w:leader="none" w:pos="8222" w:val="left"/>
        </w:tabs>
        <w:spacing w:line="360" w:lineRule="auto"/>
        <w:ind w:firstLine="567" w:left="0" w:right="0"/>
        <w:jc w:val="both"/>
      </w:pPr>
      <w:r>
        <w:rPr/>
      </w:r>
    </w:p>
    <w:p>
      <w:pPr>
        <w:pStyle w:val="style206"/>
        <w:numPr>
          <w:ilvl w:val="0"/>
          <w:numId w:val="33"/>
        </w:numPr>
        <w:spacing w:line="360" w:lineRule="auto"/>
        <w:jc w:val="both"/>
      </w:pPr>
      <w:r>
        <w:rPr/>
        <w:t>Según la clase de plan: objetivos, políticas a seguir, procedimientos, métodos, programas y presupuestos.</w:t>
      </w:r>
    </w:p>
    <w:p>
      <w:pPr>
        <w:pStyle w:val="style206"/>
        <w:numPr>
          <w:ilvl w:val="0"/>
          <w:numId w:val="33"/>
        </w:numPr>
        <w:spacing w:line="360" w:lineRule="auto"/>
        <w:jc w:val="both"/>
      </w:pPr>
      <w:r>
        <w:rPr/>
        <w:t>Según los fines del plan: nuevos, vigentes y correctivos.</w:t>
      </w:r>
    </w:p>
    <w:p>
      <w:pPr>
        <w:pStyle w:val="style206"/>
        <w:numPr>
          <w:ilvl w:val="0"/>
          <w:numId w:val="33"/>
        </w:numPr>
        <w:tabs>
          <w:tab w:leader="none" w:pos="1418" w:val="left"/>
        </w:tabs>
        <w:spacing w:line="360" w:lineRule="auto"/>
        <w:jc w:val="both"/>
      </w:pPr>
      <w:r>
        <w:rPr/>
        <w:t xml:space="preserve">Según el uso del plan: para usarse una sola vez o varias veces. </w:t>
      </w:r>
    </w:p>
    <w:p>
      <w:pPr>
        <w:pStyle w:val="style206"/>
        <w:spacing w:line="360" w:lineRule="auto"/>
        <w:ind w:firstLine="709" w:left="0" w:right="0"/>
        <w:jc w:val="both"/>
      </w:pPr>
      <w:r>
        <w:rPr/>
      </w:r>
    </w:p>
    <w:p>
      <w:pPr>
        <w:pStyle w:val="style206"/>
        <w:spacing w:line="360" w:lineRule="auto"/>
        <w:ind w:firstLine="709" w:left="0" w:right="0"/>
        <w:jc w:val="both"/>
      </w:pPr>
      <w:r>
        <w:rPr/>
        <w:t xml:space="preserve">Una vez definido planificación es importante  puntualizar todo lo referente a la </w:t>
      </w:r>
      <w:r>
        <w:rPr>
          <w:b/>
        </w:rPr>
        <w:t>Planificación Estratégica</w:t>
      </w:r>
      <w:r>
        <w:rPr/>
        <w:t xml:space="preserve">  de acuerdo Mintzberg (2007, 7) la define como:  </w:t>
      </w:r>
    </w:p>
    <w:p>
      <w:pPr>
        <w:pStyle w:val="style206"/>
        <w:spacing w:line="360" w:lineRule="auto"/>
        <w:ind w:hanging="0" w:left="1134" w:right="1134"/>
        <w:jc w:val="both"/>
      </w:pPr>
      <w:r>
        <w:rPr/>
        <w:t xml:space="preserve">una herramienta que permite a las organizaciones prepararse para enfrentar las situaciones que se presentan en el futuro, ayudando con ello a orientar sus esfuerzos hacia metas realistas de desempeño, por lo cual es necesario conocer y aplicar los elementos que intervienen en el proceso de planeación (p. 7) </w:t>
      </w:r>
      <w:r>
        <w:rPr>
          <w:rFonts w:eastAsia="BatangChe"/>
        </w:rPr>
        <w:tab/>
      </w:r>
    </w:p>
    <w:p>
      <w:pPr>
        <w:pStyle w:val="style0"/>
        <w:spacing w:after="280" w:before="280" w:line="360" w:lineRule="auto"/>
        <w:ind w:firstLine="709" w:left="0" w:right="0"/>
        <w:jc w:val="both"/>
      </w:pPr>
      <w:r>
        <w:rPr>
          <w:rFonts w:ascii="Arial" w:cs="Arial" w:hAnsi="Arial"/>
          <w:color w:val="000000"/>
          <w:sz w:val="24"/>
          <w:szCs w:val="24"/>
        </w:rPr>
        <w:t xml:space="preserve">Sobre el término de </w:t>
      </w:r>
      <w:r>
        <w:rPr>
          <w:rFonts w:ascii="Arial" w:cs="Arial" w:hAnsi="Arial"/>
          <w:b/>
          <w:color w:val="000000"/>
          <w:sz w:val="24"/>
          <w:szCs w:val="24"/>
        </w:rPr>
        <w:t>estrategia</w:t>
      </w:r>
      <w:r>
        <w:rPr>
          <w:rFonts w:ascii="Arial" w:cs="Arial" w:hAnsi="Arial"/>
          <w:color w:val="000000"/>
          <w:sz w:val="24"/>
          <w:szCs w:val="24"/>
        </w:rPr>
        <w:t xml:space="preserve"> De lama (2009:15)   señala   en su raíz etimológica, designa originalmente el nombre del “puesto” del titular del ejército, el lugar de mayor jerarquía. Con el correr del tiempo, el alcance del concepto se extendió hasta incorporar a su significado atributos de tipo psicológico y conocimientos y habilidades que se supone deben formar parte de la personalidad del jefe de un ejército: visión general, carácter, temple, destreza y pericia en el manejo o conducción de los hombres.</w:t>
      </w:r>
    </w:p>
    <w:p>
      <w:pPr>
        <w:pStyle w:val="style206"/>
        <w:spacing w:line="360" w:lineRule="auto"/>
        <w:ind w:firstLine="709" w:left="0" w:right="0"/>
        <w:jc w:val="both"/>
      </w:pPr>
      <w:r>
        <w:rPr/>
        <w:t xml:space="preserve">Por otro lado  Matus (1987:15) define a la </w:t>
      </w:r>
      <w:r>
        <w:rPr>
          <w:b/>
        </w:rPr>
        <w:t>estrategia</w:t>
      </w:r>
      <w:r>
        <w:rPr/>
        <w:t xml:space="preserve"> como: “el Procedimiento mediante el cual se procura encausar la dirección del proceso de desarrollo, el cual a su vez es un sistema dinámico complejo que debe ser orientado a otro rumbo mediante una acción ejercida sobre sus variables” </w:t>
      </w:r>
    </w:p>
    <w:p>
      <w:pPr>
        <w:pStyle w:val="style206"/>
        <w:spacing w:line="360" w:lineRule="auto"/>
        <w:ind w:firstLine="709" w:left="0" w:right="0"/>
        <w:jc w:val="both"/>
      </w:pPr>
      <w:r>
        <w:rPr/>
      </w:r>
    </w:p>
    <w:p>
      <w:pPr>
        <w:pStyle w:val="style206"/>
        <w:spacing w:line="360" w:lineRule="auto"/>
        <w:ind w:firstLine="709" w:left="0" w:right="0"/>
        <w:jc w:val="both"/>
      </w:pPr>
      <w:r>
        <w:rPr/>
        <w:t>Por esta razón, la estrategia es un estilo y un método de pensamiento acerca de la acción. Tiene un carácter dialéctico que podemos describir de la siguiente manera:</w:t>
      </w:r>
    </w:p>
    <w:p>
      <w:pPr>
        <w:pStyle w:val="style199"/>
        <w:numPr>
          <w:ilvl w:val="0"/>
          <w:numId w:val="52"/>
        </w:numPr>
        <w:spacing w:after="0" w:before="0" w:line="360" w:lineRule="auto"/>
        <w:jc w:val="both"/>
      </w:pPr>
      <w:r>
        <w:rPr>
          <w:rFonts w:ascii="Arial" w:cs="Arial" w:hAnsi="Arial"/>
          <w:color w:val="000000"/>
          <w:sz w:val="24"/>
          <w:szCs w:val="24"/>
        </w:rPr>
        <w:t>Organiza la reflexión y análisis de situaciones desde la perspectiva de la correlación de fuerzas de los actores.</w:t>
      </w:r>
    </w:p>
    <w:p>
      <w:pPr>
        <w:pStyle w:val="style199"/>
        <w:numPr>
          <w:ilvl w:val="0"/>
          <w:numId w:val="52"/>
        </w:numPr>
        <w:spacing w:after="200" w:before="0" w:line="360" w:lineRule="auto"/>
        <w:jc w:val="both"/>
      </w:pPr>
      <w:r>
        <w:rPr>
          <w:rFonts w:ascii="Arial" w:cs="Arial" w:hAnsi="Arial"/>
          <w:color w:val="000000"/>
          <w:sz w:val="24"/>
          <w:szCs w:val="24"/>
        </w:rPr>
        <w:t>Considera a las relaciones entre actores sociales en sus vínculos de colaboración, neutralidad, enfrentamiento u oposición de fuerzas.</w:t>
      </w:r>
    </w:p>
    <w:p>
      <w:pPr>
        <w:pStyle w:val="style199"/>
        <w:numPr>
          <w:ilvl w:val="0"/>
          <w:numId w:val="52"/>
        </w:numPr>
        <w:spacing w:after="280" w:before="0" w:line="360" w:lineRule="auto"/>
        <w:jc w:val="both"/>
      </w:pPr>
      <w:r>
        <w:rPr>
          <w:rFonts w:ascii="Arial" w:cs="Arial" w:hAnsi="Arial"/>
          <w:color w:val="000000"/>
          <w:sz w:val="24"/>
          <w:szCs w:val="24"/>
        </w:rPr>
        <w:t>Reconoce a la realidad como un conjunto complejo de intenciones, voluntades y actos diversos que producen una pluralidad de interpretaciones y comprensiones (que explican su significado desde diversas posiciones y prácticas sociales.)</w:t>
      </w:r>
    </w:p>
    <w:p>
      <w:pPr>
        <w:pStyle w:val="style0"/>
        <w:spacing w:after="280" w:before="280" w:line="360" w:lineRule="auto"/>
        <w:ind w:firstLine="360" w:left="0" w:right="0"/>
        <w:jc w:val="both"/>
      </w:pPr>
      <w:r>
        <w:rPr>
          <w:rFonts w:ascii="Arial" w:cs="Arial" w:hAnsi="Arial"/>
          <w:color w:val="000000"/>
          <w:sz w:val="24"/>
          <w:szCs w:val="24"/>
        </w:rPr>
        <w:t>En la actualidad los conceptos de plan y de estrategia han sido incorporados al lenguaje habitual de las administraciones pública y privada, de la investigación y de la docencia, de la gerencia empresaria, de la política y, en general, de aquellas actividades humanas que requieran de una especial precisión y balanceo de factores a la hora de determinar fines y de organizar medios para alcanzarlos</w:t>
      </w:r>
    </w:p>
    <w:p>
      <w:pPr>
        <w:pStyle w:val="style0"/>
        <w:spacing w:after="280" w:before="280" w:line="360" w:lineRule="auto"/>
        <w:jc w:val="both"/>
      </w:pPr>
      <w:r>
        <w:rPr>
          <w:rFonts w:ascii="Arial" w:cs="Arial" w:hAnsi="Arial"/>
          <w:b/>
          <w:color w:val="000000"/>
          <w:sz w:val="24"/>
          <w:szCs w:val="24"/>
        </w:rPr>
        <w:t>Planificación Estratégica (PE): s</w:t>
      </w:r>
      <w:r>
        <w:rPr>
          <w:rFonts w:ascii="Arial" w:cs="Arial" w:hAnsi="Arial"/>
          <w:color w:val="000000"/>
          <w:sz w:val="24"/>
          <w:szCs w:val="24"/>
        </w:rPr>
        <w:t xml:space="preserve">egún Armijo (2011): </w:t>
      </w:r>
    </w:p>
    <w:p>
      <w:pPr>
        <w:pStyle w:val="style0"/>
        <w:spacing w:after="280" w:before="280" w:line="240" w:lineRule="auto"/>
        <w:ind w:hanging="0" w:left="992" w:right="1134"/>
        <w:jc w:val="both"/>
      </w:pPr>
      <w:r>
        <w:rPr>
          <w:rFonts w:ascii="Arial" w:cs="Arial" w:hAnsi="Arial"/>
          <w:color w:val="000000"/>
          <w:sz w:val="24"/>
          <w:szCs w:val="24"/>
          <w:lang w:eastAsia="es-ES"/>
        </w:rPr>
        <w:t>es una herramienta de gestión que permite apoyar la toma de decisiones de las organizaciones en torno al que hacer actual y al camino que deben recorrer en el futuro para adecuarse a los cambios y a las demandas que les impone el entorno y lograr la mayor eficiencia, eficacia, calidad en los bienes y servicios que se proveen (p.15)</w:t>
      </w:r>
    </w:p>
    <w:p>
      <w:pPr>
        <w:pStyle w:val="style0"/>
        <w:spacing w:after="280" w:before="280" w:line="360" w:lineRule="auto"/>
        <w:ind w:firstLine="360" w:left="0" w:right="0"/>
        <w:jc w:val="both"/>
      </w:pPr>
      <w:r>
        <w:rPr>
          <w:rFonts w:ascii="Arial" w:cs="Arial" w:hAnsi="Arial"/>
          <w:color w:val="000000"/>
          <w:sz w:val="24"/>
          <w:szCs w:val="24"/>
          <w:lang w:eastAsia="es-ES"/>
        </w:rPr>
        <w:t>Desde un punto metodológico para Op. Cit., sostiene que la planificación estratégica consiste en un ejercicio de formulación y establecimiento de objetivos de carácter prioritario, cuya característica principal es el establecimiento de los cursos de acción (estrategias)</w:t>
      </w:r>
      <w:r>
        <w:rPr>
          <w:rFonts w:ascii="Arial" w:cs="Arial" w:hAnsi="Arial"/>
          <w:color w:val="000000"/>
          <w:sz w:val="24"/>
          <w:szCs w:val="24"/>
          <w:vertAlign w:val="superscript"/>
          <w:lang w:eastAsia="es-ES"/>
        </w:rPr>
        <w:t xml:space="preserve"> </w:t>
      </w:r>
      <w:r>
        <w:rPr>
          <w:rFonts w:ascii="Arial" w:cs="Arial" w:hAnsi="Arial"/>
          <w:color w:val="000000"/>
          <w:sz w:val="24"/>
          <w:szCs w:val="24"/>
          <w:lang w:eastAsia="es-ES"/>
        </w:rPr>
        <w:t xml:space="preserve">  para alcanzar dichos objetivos. </w:t>
      </w:r>
    </w:p>
    <w:p>
      <w:pPr>
        <w:pStyle w:val="style0"/>
        <w:spacing w:after="280" w:before="280" w:line="360" w:lineRule="auto"/>
        <w:ind w:firstLine="360" w:left="0" w:right="0"/>
        <w:jc w:val="both"/>
      </w:pPr>
      <w:r>
        <w:rPr>
          <w:rFonts w:ascii="Arial" w:cs="Arial" w:hAnsi="Arial"/>
          <w:color w:val="000000"/>
          <w:sz w:val="24"/>
          <w:szCs w:val="24"/>
          <w:lang w:eastAsia="es-ES"/>
        </w:rPr>
        <w:t xml:space="preserve">Desde esta perspectiva la Planificación Estratégica es una herramienta clave para la toma de decisiones de las instituciones públicas  </w:t>
      </w:r>
    </w:p>
    <w:p>
      <w:pPr>
        <w:pStyle w:val="style0"/>
        <w:spacing w:after="280" w:before="280" w:line="360" w:lineRule="auto"/>
        <w:ind w:firstLine="709" w:left="0" w:right="0"/>
        <w:jc w:val="both"/>
      </w:pPr>
      <w:r>
        <w:rPr>
          <w:rFonts w:ascii="Arial" w:cs="Arial" w:eastAsia="Arial" w:hAnsi="Arial"/>
          <w:color w:val="000000"/>
          <w:sz w:val="24"/>
          <w:szCs w:val="24"/>
          <w:lang w:eastAsia="es-ES"/>
        </w:rPr>
        <w:t xml:space="preserve">   </w:t>
      </w:r>
      <w:r>
        <w:rPr>
          <w:rFonts w:ascii="Arial" w:cs="Arial" w:hAnsi="Arial"/>
          <w:color w:val="000000"/>
          <w:sz w:val="24"/>
          <w:szCs w:val="24"/>
          <w:lang w:eastAsia="es-ES"/>
        </w:rPr>
        <w:t>En la definición de Op. Cit sobre la planificación estratégica en el ámbito público la establece como un instrumento que ayuda al establecimiento de prioridades, objetivos y estrategias como apoyo a la definición de los recursos que se requieren para lograr los resultados esperados. Teniendo esto en consideración, el proceso de elaboración de un plan estratégico en el ámbito público debe ser simple y estar incorporado en la rutina de la toma de decisiones directivas, así como en el calendario del proceso presupuestario.</w:t>
      </w:r>
    </w:p>
    <w:p>
      <w:pPr>
        <w:pStyle w:val="style0"/>
        <w:spacing w:line="360" w:lineRule="auto"/>
        <w:ind w:firstLine="709" w:left="0" w:right="0"/>
        <w:jc w:val="both"/>
      </w:pPr>
      <w:r>
        <w:rPr>
          <w:rFonts w:ascii="Arial" w:cs="Arial" w:hAnsi="Arial"/>
          <w:color w:val="000000"/>
          <w:sz w:val="24"/>
          <w:szCs w:val="24"/>
          <w:lang w:eastAsia="es-ES"/>
        </w:rPr>
        <w:t>No obstante en la mayor parte de los casos existe escasa flexibilidad (que se deriva de débiles mecanismos de control) para tomar decisiones respecto de los recursos.</w:t>
      </w:r>
    </w:p>
    <w:p>
      <w:pPr>
        <w:pStyle w:val="style0"/>
        <w:spacing w:line="360" w:lineRule="auto"/>
        <w:ind w:firstLine="709" w:left="0" w:right="0"/>
        <w:jc w:val="both"/>
      </w:pPr>
      <w:r>
        <w:rPr>
          <w:rFonts w:ascii="Arial" w:cs="Arial" w:hAnsi="Arial"/>
          <w:color w:val="000000"/>
          <w:sz w:val="24"/>
          <w:szCs w:val="24"/>
          <w:lang w:eastAsia="es-ES"/>
        </w:rPr>
        <w:t>E</w:t>
      </w:r>
      <w:r>
        <w:rPr>
          <w:rFonts w:ascii="Arial" w:cs="Arial" w:eastAsia="Times New Roman" w:hAnsi="Arial"/>
          <w:sz w:val="24"/>
          <w:szCs w:val="24"/>
          <w:lang w:eastAsia="es-VE" w:val="es-VE"/>
        </w:rPr>
        <w:t>n una empresa los distintos responsables pueden tener una idea diferente de cómo ayudar a la empresa a conseguir sus objetivos y maximizar su utilidad o beneficios.</w:t>
      </w:r>
    </w:p>
    <w:p>
      <w:pPr>
        <w:pStyle w:val="style0"/>
        <w:spacing w:after="0" w:before="0" w:line="360" w:lineRule="auto"/>
        <w:ind w:firstLine="709" w:left="0" w:right="0"/>
        <w:jc w:val="both"/>
      </w:pPr>
      <w:r>
        <w:rPr>
          <w:rFonts w:ascii="Arial" w:cs="Arial" w:eastAsia="Times New Roman" w:hAnsi="Arial"/>
          <w:sz w:val="24"/>
          <w:szCs w:val="24"/>
          <w:lang w:eastAsia="es-VE" w:val="es-VE"/>
        </w:rPr>
        <w:t xml:space="preserve">La </w:t>
      </w:r>
      <w:r>
        <w:rPr>
          <w:rFonts w:ascii="Arial" w:cs="Arial" w:eastAsia="Times New Roman" w:hAnsi="Arial"/>
          <w:b/>
          <w:sz w:val="24"/>
          <w:szCs w:val="24"/>
          <w:lang w:eastAsia="es-VE" w:val="es-VE"/>
        </w:rPr>
        <w:t>planificación estratégica</w:t>
      </w:r>
      <w:r>
        <w:rPr>
          <w:rFonts w:ascii="Arial" w:cs="Arial" w:eastAsia="Times New Roman" w:hAnsi="Arial"/>
          <w:sz w:val="24"/>
          <w:szCs w:val="24"/>
          <w:lang w:eastAsia="es-VE" w:val="es-VE"/>
        </w:rPr>
        <w:t xml:space="preserve"> según Maldonado (2014;17) está elaborada por la alta dirección, y requiere planificar, adoptar un proceso continuo de toma de decisiones, decidiendo por  adelantado qué hacer, cómo hacerlo, cuándo hacerlo y quién lo va a hacer.</w:t>
      </w:r>
    </w:p>
    <w:p>
      <w:pPr>
        <w:pStyle w:val="style0"/>
        <w:spacing w:after="280" w:before="280" w:line="360" w:lineRule="auto"/>
        <w:ind w:firstLine="709" w:left="0" w:right="0"/>
        <w:jc w:val="both"/>
      </w:pPr>
      <w:r>
        <w:rPr>
          <w:rFonts w:ascii="Arial" w:cs="Arial" w:hAnsi="Arial"/>
          <w:color w:val="000000"/>
          <w:sz w:val="24"/>
          <w:szCs w:val="24"/>
          <w:lang w:eastAsia="es-ES"/>
        </w:rPr>
        <w:t xml:space="preserve">Ahora bien relacionando la definición anterior es importante resaltar que toda alta dirección también se le denomina gestión por resultados, requiere que los directivos actúen como “gerentes” en términos de comprometer resultados a través del establecimiento de objetivos y metas, sin embargo muchas veces, no existen las atribuciones suficientes. Esto explica  en la mayor parte de los casos observados en los objetivos estratégicos que redactan las entidades son un listado de funciones permanentes, con muy poca capacidad de innovación y desafíos.  </w:t>
      </w:r>
    </w:p>
    <w:p>
      <w:pPr>
        <w:pStyle w:val="style0"/>
        <w:spacing w:after="280" w:before="280" w:line="360" w:lineRule="auto"/>
        <w:ind w:firstLine="709" w:left="0" w:right="0"/>
        <w:jc w:val="both"/>
      </w:pPr>
      <w:r>
        <w:rPr>
          <w:rFonts w:ascii="Arial" w:cs="Arial" w:hAnsi="Arial"/>
          <w:color w:val="000000"/>
          <w:sz w:val="24"/>
          <w:szCs w:val="24"/>
          <w:lang w:eastAsia="es-ES"/>
        </w:rPr>
        <w:t>No obstante, estas limitaciones la definición de los objetivos estratégicos permite a los directivos y sus equipos contar con elementos para priorizar su gestión y disponer de una herramienta útil para justificar los requerimientos de recursos presupuestarios en la perspectiva de lograr determinados resultados.</w:t>
      </w:r>
    </w:p>
    <w:p>
      <w:pPr>
        <w:pStyle w:val="style0"/>
        <w:spacing w:after="280" w:before="280" w:line="360" w:lineRule="auto"/>
        <w:ind w:firstLine="709" w:left="0" w:right="0"/>
        <w:jc w:val="both"/>
      </w:pPr>
      <w:r>
        <w:rPr>
          <w:rFonts w:ascii="Arial" w:cs="Arial" w:hAnsi="Arial"/>
          <w:sz w:val="24"/>
          <w:szCs w:val="24"/>
        </w:rPr>
        <w:t>Cabe resaltar que  el objetivo central de la planeación estratégica es lograr el máximo provecho de los recursos internos seleccionando el entorno donde se han de desplegar tales recursos y la estrategia de despliegue de recursos. Por ejemplo, se trata de encontrar un nicho de mercado que la empresa pueda atender mejor que los posibles competidores, donde, por lo tanto, la aplicación de los recursos resulte más provechoso que en otras circunstancias.</w:t>
      </w:r>
    </w:p>
    <w:p>
      <w:pPr>
        <w:pStyle w:val="style0"/>
        <w:spacing w:after="280" w:before="280" w:line="360" w:lineRule="auto"/>
        <w:jc w:val="both"/>
      </w:pPr>
      <w:r>
        <w:rPr>
          <w:rFonts w:ascii="Arial" w:cs="Arial" w:hAnsi="Arial"/>
          <w:color w:val="1F1A17"/>
          <w:sz w:val="24"/>
          <w:szCs w:val="24"/>
        </w:rPr>
        <w:tab/>
        <w:t>En esta investigación es importante mencionar los valores estratégicos que se tienen que considera en la planeación.</w:t>
      </w:r>
    </w:p>
    <w:p>
      <w:pPr>
        <w:pStyle w:val="style0"/>
        <w:spacing w:after="280" w:before="280" w:line="360" w:lineRule="auto"/>
        <w:ind w:hanging="0" w:left="357" w:right="0"/>
        <w:jc w:val="both"/>
      </w:pPr>
      <w:r>
        <w:rPr>
          <w:rFonts w:ascii="Arial" w:cs="Arial" w:hAnsi="Arial"/>
          <w:sz w:val="24"/>
          <w:szCs w:val="24"/>
        </w:rPr>
        <w:t xml:space="preserve">1. </w:t>
      </w:r>
      <w:r>
        <w:rPr>
          <w:rFonts w:ascii="Arial" w:cs="Arial" w:hAnsi="Arial"/>
          <w:b/>
          <w:sz w:val="24"/>
          <w:szCs w:val="24"/>
        </w:rPr>
        <w:t>Conocimiento y satisfacción del cliente</w:t>
      </w:r>
      <w:r>
        <w:rPr>
          <w:rFonts w:ascii="Arial" w:cs="Arial" w:hAnsi="Arial"/>
          <w:sz w:val="24"/>
          <w:szCs w:val="24"/>
        </w:rPr>
        <w:t xml:space="preserve">: Este se trata de conocer y de saber quiénes son los clientes y de cómo mantenerlos a gusto con los productos de la organización. </w:t>
      </w:r>
    </w:p>
    <w:p>
      <w:pPr>
        <w:pStyle w:val="style0"/>
        <w:spacing w:after="280" w:before="280" w:line="360" w:lineRule="auto"/>
        <w:ind w:hanging="0" w:left="357" w:right="0"/>
        <w:jc w:val="both"/>
      </w:pPr>
      <w:r>
        <w:rPr>
          <w:rFonts w:ascii="Arial" w:cs="Arial" w:hAnsi="Arial"/>
          <w:sz w:val="24"/>
          <w:szCs w:val="24"/>
        </w:rPr>
        <w:t xml:space="preserve">2. </w:t>
      </w:r>
      <w:r>
        <w:rPr>
          <w:rFonts w:ascii="Arial" w:cs="Arial" w:hAnsi="Arial"/>
          <w:b/>
          <w:sz w:val="24"/>
          <w:szCs w:val="24"/>
        </w:rPr>
        <w:t>Conocimiento del Mercado</w:t>
      </w:r>
      <w:r>
        <w:rPr>
          <w:rFonts w:ascii="Arial" w:cs="Arial" w:hAnsi="Arial"/>
          <w:sz w:val="24"/>
          <w:szCs w:val="24"/>
        </w:rPr>
        <w:t>: El conocimiento del mercado es vital para poder tomar decisiones de gestión. La expansión y crecimiento de las empresas y organizaciones, junto con los cambios y nuevas tendencias del mercado.</w:t>
      </w:r>
    </w:p>
    <w:p>
      <w:pPr>
        <w:pStyle w:val="style0"/>
        <w:spacing w:after="280" w:before="280" w:line="360" w:lineRule="auto"/>
        <w:ind w:hanging="0" w:left="357" w:right="0"/>
        <w:jc w:val="both"/>
      </w:pPr>
      <w:r>
        <w:rPr>
          <w:rFonts w:ascii="Arial" w:cs="Arial" w:eastAsia="Arial" w:hAnsi="Arial"/>
          <w:sz w:val="24"/>
          <w:szCs w:val="24"/>
        </w:rPr>
        <w:t xml:space="preserve"> </w:t>
      </w:r>
      <w:r>
        <w:rPr>
          <w:rFonts w:ascii="Arial" w:cs="Arial" w:hAnsi="Arial"/>
          <w:sz w:val="24"/>
          <w:szCs w:val="24"/>
        </w:rPr>
        <w:t xml:space="preserve">3. </w:t>
      </w:r>
      <w:r>
        <w:rPr>
          <w:rFonts w:ascii="Arial" w:cs="Arial" w:hAnsi="Arial"/>
          <w:b/>
          <w:sz w:val="24"/>
          <w:szCs w:val="24"/>
        </w:rPr>
        <w:t>Eficiencia</w:t>
      </w:r>
      <w:r>
        <w:rPr>
          <w:rFonts w:ascii="Arial" w:cs="Arial" w:hAnsi="Arial"/>
          <w:sz w:val="24"/>
          <w:szCs w:val="24"/>
        </w:rPr>
        <w:t xml:space="preserve">: es el propósito es lograr el efecto que desea empleando los mejores medios posibles. </w:t>
      </w:r>
    </w:p>
    <w:p>
      <w:pPr>
        <w:pStyle w:val="style0"/>
        <w:spacing w:after="280" w:before="280" w:line="360" w:lineRule="auto"/>
        <w:ind w:hanging="0" w:left="357" w:right="0"/>
        <w:jc w:val="both"/>
      </w:pPr>
      <w:r>
        <w:rPr>
          <w:rFonts w:ascii="Arial" w:cs="Arial" w:hAnsi="Arial"/>
          <w:sz w:val="24"/>
          <w:szCs w:val="24"/>
        </w:rPr>
        <w:t xml:space="preserve">4. </w:t>
      </w:r>
      <w:r>
        <w:rPr>
          <w:rFonts w:ascii="Arial" w:cs="Arial" w:hAnsi="Arial"/>
          <w:b/>
          <w:sz w:val="24"/>
          <w:szCs w:val="24"/>
        </w:rPr>
        <w:t>Innovación:</w:t>
      </w:r>
      <w:r>
        <w:rPr>
          <w:rFonts w:ascii="Arial" w:cs="Arial" w:hAnsi="Arial"/>
          <w:sz w:val="24"/>
          <w:szCs w:val="24"/>
        </w:rPr>
        <w:t xml:space="preserve"> Este concepto se refiere a la implementación tecnológica de nuevos productos y procesos y/o a mejoras significativas en estos, ya sea como resultado de la difusión de conocimientos tecnológicos para lograr productos o procesos productivos con especificaciones o propiedades técnicas diferenciadas con respecto a los existentes en el mercado. </w:t>
      </w:r>
    </w:p>
    <w:p>
      <w:pPr>
        <w:pStyle w:val="style0"/>
        <w:spacing w:after="280" w:before="280" w:line="360" w:lineRule="auto"/>
        <w:ind w:hanging="0" w:left="357" w:right="0"/>
        <w:jc w:val="both"/>
      </w:pPr>
      <w:r>
        <w:rPr>
          <w:rFonts w:ascii="Arial" w:cs="Arial" w:hAnsi="Arial"/>
          <w:sz w:val="24"/>
          <w:szCs w:val="24"/>
        </w:rPr>
        <w:t>5</w:t>
      </w:r>
      <w:r>
        <w:rPr>
          <w:rFonts w:ascii="Arial" w:cs="Arial" w:hAnsi="Arial"/>
          <w:sz w:val="24"/>
          <w:szCs w:val="24"/>
          <w:shd w:fill="F2F2F2" w:val="clear"/>
        </w:rPr>
        <w:t xml:space="preserve">. </w:t>
      </w:r>
      <w:r>
        <w:rPr>
          <w:rFonts w:ascii="Arial" w:cs="Arial" w:hAnsi="Arial"/>
          <w:b/>
          <w:sz w:val="24"/>
          <w:szCs w:val="24"/>
          <w:shd w:fill="F2F2F2" w:val="clear"/>
        </w:rPr>
        <w:t>Sinergia</w:t>
      </w:r>
      <w:r>
        <w:rPr>
          <w:rFonts w:ascii="Arial" w:cs="Arial" w:hAnsi="Arial"/>
          <w:sz w:val="24"/>
          <w:szCs w:val="24"/>
          <w:shd w:fill="F2F2F2" w:val="clear"/>
        </w:rPr>
        <w:t>: es acción y creación colectivas; es unión, cooperación y concurso de causas para lograr resultados y beneficios conjuntos; es concertación en pos de objetivos comunes</w:t>
      </w:r>
    </w:p>
    <w:p>
      <w:pPr>
        <w:pStyle w:val="style0"/>
        <w:spacing w:after="280" w:before="280" w:line="360" w:lineRule="auto"/>
        <w:ind w:hanging="0" w:left="357" w:right="0"/>
        <w:jc w:val="both"/>
      </w:pPr>
      <w:r>
        <w:rPr>
          <w:rFonts w:ascii="Arial" w:cs="Arial" w:eastAsia="Arial" w:hAnsi="Arial"/>
          <w:sz w:val="24"/>
          <w:szCs w:val="24"/>
        </w:rPr>
        <w:t xml:space="preserve"> </w:t>
      </w:r>
      <w:r>
        <w:rPr>
          <w:rFonts w:ascii="Arial" w:cs="Arial" w:hAnsi="Arial"/>
          <w:sz w:val="24"/>
          <w:szCs w:val="24"/>
        </w:rPr>
        <w:t xml:space="preserve">6. </w:t>
      </w:r>
      <w:r>
        <w:rPr>
          <w:rFonts w:ascii="Arial" w:cs="Arial" w:hAnsi="Arial"/>
          <w:b/>
          <w:sz w:val="24"/>
          <w:szCs w:val="24"/>
        </w:rPr>
        <w:t>Liderazgo</w:t>
      </w:r>
      <w:r>
        <w:rPr>
          <w:rFonts w:ascii="Arial" w:cs="Arial" w:hAnsi="Arial"/>
          <w:sz w:val="24"/>
          <w:szCs w:val="24"/>
        </w:rPr>
        <w:t>: es muy importante la ética en el Liderazgo Empresarial ante los retos del siglo XXI.</w:t>
      </w:r>
      <w:r>
        <w:rPr>
          <w:rFonts w:ascii="Arial" w:cs="Arial" w:hAnsi="Arial"/>
          <w:color w:val="1F1A17"/>
          <w:sz w:val="24"/>
          <w:szCs w:val="24"/>
        </w:rPr>
        <w:t>.</w:t>
      </w:r>
    </w:p>
    <w:p>
      <w:pPr>
        <w:pStyle w:val="style0"/>
        <w:spacing w:after="280" w:before="280" w:line="360" w:lineRule="auto"/>
        <w:ind w:hanging="0" w:left="357" w:right="0"/>
        <w:jc w:val="both"/>
      </w:pPr>
      <w:r>
        <w:rPr>
          <w:rFonts w:ascii="Arial" w:cs="Arial" w:hAnsi="Arial"/>
          <w:b/>
          <w:sz w:val="24"/>
          <w:szCs w:val="24"/>
        </w:rPr>
        <w:t xml:space="preserve">Estrategias Financieras: </w:t>
      </w:r>
      <w:r>
        <w:rPr>
          <w:rFonts w:ascii="Arial" w:cs="Arial" w:hAnsi="Arial"/>
          <w:iCs/>
          <w:color w:val="000000"/>
          <w:sz w:val="24"/>
          <w:szCs w:val="24"/>
          <w:shd w:fill="FFFFFF" w:val="clear"/>
        </w:rPr>
        <w:t>según  Diccionario Libre (Free Dictionary) por Farlex  la define como las prácticas que una</w:t>
      </w:r>
      <w:r>
        <w:rPr>
          <w:rFonts w:ascii="Arial" w:cs="Arial" w:hAnsi="Arial"/>
          <w:iCs/>
          <w:color w:val="000000"/>
          <w:sz w:val="24"/>
          <w:szCs w:val="24"/>
        </w:rPr>
        <w:t xml:space="preserve"> </w:t>
      </w:r>
      <w:r>
        <w:rPr>
          <w:rFonts w:ascii="Arial" w:cs="Arial" w:hAnsi="Arial"/>
          <w:iCs/>
          <w:color w:val="000000"/>
          <w:sz w:val="24"/>
          <w:szCs w:val="24"/>
          <w:shd w:fill="FFFFFF" w:val="clear"/>
        </w:rPr>
        <w:t>empresa</w:t>
      </w:r>
      <w:r>
        <w:rPr>
          <w:rFonts w:ascii="Arial" w:cs="Arial" w:hAnsi="Arial"/>
          <w:iCs/>
          <w:color w:val="000000"/>
          <w:sz w:val="24"/>
          <w:szCs w:val="24"/>
        </w:rPr>
        <w:t xml:space="preserve"> </w:t>
      </w:r>
      <w:r>
        <w:rPr>
          <w:rFonts w:ascii="Arial" w:cs="Arial" w:hAnsi="Arial"/>
          <w:iCs/>
          <w:color w:val="000000"/>
          <w:sz w:val="24"/>
          <w:szCs w:val="24"/>
          <w:shd w:fill="FFFFFF" w:val="clear"/>
        </w:rPr>
        <w:t xml:space="preserve">adopta para alcanzar sus objetivos económicos. </w:t>
      </w:r>
    </w:p>
    <w:p>
      <w:pPr>
        <w:pStyle w:val="style0"/>
        <w:spacing w:after="280" w:before="280" w:line="360" w:lineRule="auto"/>
        <w:ind w:hanging="0" w:left="357" w:right="0"/>
        <w:jc w:val="both"/>
      </w:pPr>
      <w:r>
        <w:rPr>
          <w:rFonts w:ascii="Arial" w:cs="Arial" w:hAnsi="Arial"/>
          <w:iCs/>
          <w:color w:val="000000"/>
          <w:sz w:val="24"/>
          <w:szCs w:val="24"/>
          <w:shd w:fill="FFFFFF" w:val="clear"/>
        </w:rPr>
        <w:tab/>
        <w:t>En la actualidad  institucional, la formulación de una estrategia financiera es el terreno de la alta</w:t>
      </w:r>
      <w:r>
        <w:rPr>
          <w:rFonts w:ascii="Arial" w:cs="Arial" w:hAnsi="Arial"/>
          <w:iCs/>
          <w:color w:val="000000"/>
          <w:sz w:val="24"/>
          <w:szCs w:val="24"/>
        </w:rPr>
        <w:t xml:space="preserve"> </w:t>
      </w:r>
      <w:r>
        <w:rPr>
          <w:rFonts w:ascii="Arial" w:cs="Arial" w:hAnsi="Arial"/>
          <w:iCs/>
          <w:color w:val="000000"/>
          <w:sz w:val="24"/>
          <w:szCs w:val="24"/>
          <w:shd w:fill="FFFFFF" w:val="clear"/>
        </w:rPr>
        <w:t>dirección, no obstante a los jefes de departamentos y  al jefe de contabilidad también les proporciona  ayuda, reconociendo que los planes financieros adecuados ayudan a la empresa primero a caminar antes de correr, especialmente cuando se trata de establecer el marco operativo de corto plazo necesario para lograr resultados a largo plazo.</w:t>
      </w:r>
    </w:p>
    <w:p>
      <w:pPr>
        <w:pStyle w:val="style0"/>
        <w:spacing w:after="280" w:before="280" w:line="360" w:lineRule="auto"/>
        <w:ind w:hanging="0" w:left="357" w:right="0"/>
        <w:jc w:val="both"/>
      </w:pPr>
      <w:r>
        <w:rPr/>
        <w:tab/>
      </w:r>
      <w:r>
        <w:rPr>
          <w:rFonts w:ascii="Arial" w:cs="Arial" w:hAnsi="Arial"/>
          <w:sz w:val="24"/>
        </w:rPr>
        <w:t>En apoyo a este punto, cabe mencionar el concepto de estrategias financiera según Gitman (2007)  son herramientas o medios a través de los cuales se cumplen las decisiones en vía de maximizar los dividendos, en pro del desarrollo y beneficio organizacional.  En la actualidad, las empresa tienen que llevar a cabo un sin número de actividades que apoyen el crecimiento en cuanto a utilidades se refiere.</w:t>
      </w:r>
    </w:p>
    <w:p>
      <w:pPr>
        <w:pStyle w:val="style0"/>
        <w:spacing w:after="280" w:before="280" w:line="360" w:lineRule="auto"/>
        <w:ind w:hanging="0" w:left="357" w:right="0"/>
        <w:jc w:val="both"/>
      </w:pPr>
      <w:r>
        <w:rPr>
          <w:rFonts w:ascii="Arial" w:cs="Arial" w:hAnsi="Arial"/>
          <w:sz w:val="24"/>
        </w:rPr>
        <w:tab/>
        <w:t>Así mismo Van Home y Wachowicz (2004) expresan que una estrategia financiera comprende un conjunto de acciones relacionadas entre sí, enfocadas en lograr un propósito financiero especifico el cual usualmente se centra en consolidar financieramente a la empresa de forma tal que se logre su competitividad en el entornó económico o comercial en el cual se desarrolla</w:t>
      </w:r>
    </w:p>
    <w:p>
      <w:pPr>
        <w:pStyle w:val="style0"/>
        <w:spacing w:after="280" w:before="280" w:line="360" w:lineRule="auto"/>
        <w:ind w:hanging="0" w:left="357" w:right="0"/>
        <w:jc w:val="both"/>
      </w:pPr>
      <w:r>
        <w:rPr>
          <w:rFonts w:ascii="Arial" w:cs="Arial" w:hAnsi="Arial"/>
          <w:sz w:val="24"/>
        </w:rPr>
        <w:tab/>
        <w:t>En este sentido, Brealey y Meyers (2007) sostienen que las estrategias financieras representan los cursos de acción a seguir, así como el medio a través de los cuales es posible obtener los resultados proyectados en la gestión.  La gestión financiera se encarga de la eficiente administración del capital de trabajo dentro de un equilibrio de los criterios de riesgo y rentabilidad, además de orientar la estrategia financiera para garantizar la disponibilidad de fuentes de financiación y proporcionar e debido registro de las operaciones como herramientas de control de la gestión de la empresa.</w:t>
      </w:r>
    </w:p>
    <w:p>
      <w:pPr>
        <w:pStyle w:val="style0"/>
        <w:spacing w:after="280" w:before="280" w:line="360" w:lineRule="auto"/>
        <w:ind w:hanging="0" w:left="357" w:right="0"/>
        <w:jc w:val="both"/>
      </w:pPr>
      <w:r>
        <w:rPr>
          <w:rFonts w:ascii="Arial" w:cs="Arial" w:hAnsi="Arial"/>
          <w:sz w:val="24"/>
        </w:rPr>
        <w:tab/>
        <w:t xml:space="preserve">Contrastando las opiniones de Brealey y Myers (2007) ellos ven las estrategias financieras como curso de acción a seguir  (el rumbo de la gestión a alcanzar) mientras que Van Home y Wachowicz (2004) la señalan como el conjunto de acciones relacionadas entre sí, Gitman (2007) este la interpreta como el medio a través de los cuales se ejecutan las decisiones.  Se puede deducir  que las estrategias financieras  comprende un conjunto de acciones focalizada en la gestión de las finanzas de la empresa </w:t>
      </w:r>
    </w:p>
    <w:p>
      <w:pPr>
        <w:pStyle w:val="style0"/>
        <w:spacing w:after="280" w:before="280" w:line="360" w:lineRule="auto"/>
        <w:ind w:hanging="0" w:left="357" w:right="0"/>
        <w:jc w:val="both"/>
      </w:pPr>
      <w:r>
        <w:rPr>
          <w:rFonts w:ascii="Arial" w:cs="Arial" w:hAnsi="Arial"/>
          <w:sz w:val="24"/>
        </w:rPr>
        <w:tab/>
        <w:t xml:space="preserve">Como resultados de esta investigación concierne relacionar la opinión o definición dada por Gitman (2007)  son herramientas o medios a través de los cuales se cumplen las decisiones en vía de maximizar los dividendos, en pro del desarrollo y beneficio organizacional,  en este caso aplicada a la búsqueda de maximizar los recursos financiero del Instituto Universitario de Tecnología de Yaracuy  y en el beneficio de la comunidad que hace vida en ella en cuanto al saneamiento ambiental de los espacio del mismo.  </w:t>
      </w:r>
    </w:p>
    <w:p>
      <w:pPr>
        <w:pStyle w:val="style0"/>
        <w:spacing w:after="280" w:before="280" w:line="360" w:lineRule="auto"/>
        <w:ind w:hanging="0" w:left="357" w:right="0"/>
        <w:jc w:val="both"/>
      </w:pPr>
      <w:r>
        <w:rPr>
          <w:rFonts w:ascii="Arial" w:cs="Arial" w:hAnsi="Arial"/>
          <w:b/>
          <w:color w:val="1F1A17"/>
          <w:sz w:val="24"/>
          <w:szCs w:val="24"/>
        </w:rPr>
        <w:t>Estrategias Operacionales:</w:t>
      </w:r>
    </w:p>
    <w:p>
      <w:pPr>
        <w:pStyle w:val="style0"/>
        <w:spacing w:after="280" w:before="280" w:line="360" w:lineRule="auto"/>
        <w:jc w:val="both"/>
      </w:pPr>
      <w:r>
        <w:rPr>
          <w:rFonts w:ascii="Arial" w:cs="Arial" w:eastAsia="Times New Roman" w:hAnsi="Arial"/>
          <w:sz w:val="24"/>
          <w:szCs w:val="24"/>
          <w:lang w:eastAsia="es-VE"/>
        </w:rPr>
        <w:tab/>
      </w:r>
      <w:r>
        <w:rPr>
          <w:rFonts w:ascii="Arial" w:cs="Arial" w:eastAsia="Times New Roman" w:hAnsi="Arial"/>
          <w:color w:val="000000"/>
          <w:sz w:val="24"/>
          <w:szCs w:val="24"/>
          <w:lang w:eastAsia="es-VE"/>
        </w:rPr>
        <w:t xml:space="preserve">Para  Chase, Aquilano y Jacobs (2000) señalan que las estrategias operacionales se refieren a la elaboración de políticas y planes para la utilización de los recursos de la empresa en apoyo de la competitividad de la firma a largo plazo. </w:t>
      </w:r>
    </w:p>
    <w:p>
      <w:pPr>
        <w:pStyle w:val="style0"/>
        <w:spacing w:after="280" w:before="280" w:line="360" w:lineRule="auto"/>
        <w:jc w:val="both"/>
      </w:pPr>
      <w:r>
        <w:rPr>
          <w:rFonts w:ascii="Arial" w:cs="Arial" w:eastAsia="Times New Roman" w:hAnsi="Arial"/>
          <w:color w:val="000000"/>
          <w:sz w:val="24"/>
          <w:szCs w:val="24"/>
          <w:lang w:eastAsia="es-VE"/>
        </w:rPr>
        <w:tab/>
        <w:t>Los autores sostienen que la palabra “estrategia” implica siempre un proceso a largo plazo tendiente a fomentar la realización de cambios necesarios para la mejor adecuación y respuesta de la empresa ante los cambiantes requerimientos del contexto, o sea la realización de objetivos de carácter permanente en medio de circunstancias variables.</w:t>
      </w:r>
    </w:p>
    <w:p>
      <w:pPr>
        <w:pStyle w:val="style0"/>
        <w:spacing w:after="280" w:before="280" w:line="360" w:lineRule="auto"/>
        <w:jc w:val="both"/>
      </w:pPr>
      <w:r>
        <w:rPr>
          <w:rFonts w:ascii="Arial" w:cs="Arial" w:eastAsia="Times New Roman" w:hAnsi="Arial"/>
          <w:color w:val="000000"/>
          <w:sz w:val="24"/>
          <w:szCs w:val="24"/>
          <w:lang w:eastAsia="es-VE"/>
        </w:rPr>
        <w:tab/>
      </w:r>
      <w:r>
        <w:rPr>
          <w:rFonts w:ascii="Arial" w:cs="Arial" w:hAnsi="Arial"/>
          <w:sz w:val="24"/>
          <w:szCs w:val="24"/>
        </w:rPr>
        <w:t xml:space="preserve">Al mismo tiempo expresan que la </w:t>
      </w:r>
      <w:r>
        <w:rPr>
          <w:rFonts w:ascii="Arial" w:cs="Arial" w:eastAsia="Times New Roman" w:hAnsi="Arial"/>
          <w:color w:val="000000"/>
          <w:sz w:val="24"/>
          <w:szCs w:val="24"/>
          <w:lang w:eastAsia="es-VE"/>
        </w:rPr>
        <w:t>estrategia de operaciones coordina las metas operativas con las metas de la organización en su conjunto, a una escala más amplia. Esas metas generales de la empresa  cambian con el tiempo, de modo que la estrategia de operaciones debe ser diseñada de manera que anticipe necesidades futuras.</w:t>
      </w:r>
    </w:p>
    <w:p>
      <w:pPr>
        <w:pStyle w:val="style0"/>
        <w:autoSpaceDE w:val="false"/>
        <w:spacing w:after="0" w:before="0" w:line="360" w:lineRule="auto"/>
        <w:jc w:val="both"/>
      </w:pPr>
      <w:r>
        <w:rPr>
          <w:rFonts w:ascii="Arial" w:cs="Arial" w:hAnsi="Arial"/>
          <w:sz w:val="24"/>
          <w:szCs w:val="24"/>
        </w:rPr>
        <w:tab/>
        <w:t xml:space="preserve">Con respecto a las definiciones dadas con anterioridad  sobre la estrategia de operaciones la misma es la encargada de establecer las políticas  y planes a desarrollar en una empresa así como  utilizar los recursos  con el fin de apoyar mejor su estrategia competitiva a largo plazo en busca de fomentar  los cambios necesarios en pro de la misma. </w:t>
      </w:r>
    </w:p>
    <w:p>
      <w:pPr>
        <w:pStyle w:val="style0"/>
        <w:autoSpaceDE w:val="false"/>
        <w:spacing w:after="0" w:before="0" w:line="360" w:lineRule="auto"/>
        <w:jc w:val="both"/>
      </w:pPr>
      <w:r>
        <w:rPr>
          <w:rFonts w:ascii="Arial" w:cs="Arial" w:hAnsi="Arial"/>
          <w:sz w:val="24"/>
          <w:szCs w:val="24"/>
        </w:rPr>
      </w:r>
    </w:p>
    <w:p>
      <w:pPr>
        <w:pStyle w:val="style0"/>
        <w:shd w:fill="FFFFFF" w:val="clear"/>
        <w:spacing w:after="0" w:before="0" w:line="240" w:lineRule="auto"/>
      </w:pPr>
      <w:r>
        <w:rPr>
          <w:rFonts w:ascii="Arial" w:cs="Arial" w:eastAsia="Times New Roman" w:hAnsi="Arial"/>
          <w:b/>
          <w:color w:val="000000"/>
          <w:sz w:val="24"/>
          <w:szCs w:val="24"/>
          <w:lang w:eastAsia="es-ES"/>
        </w:rPr>
        <w:t>Análisis Estratégicos:</w:t>
      </w:r>
    </w:p>
    <w:p>
      <w:pPr>
        <w:pStyle w:val="style0"/>
        <w:shd w:fill="FFFFFF" w:val="clear"/>
        <w:spacing w:after="0" w:before="0" w:line="360" w:lineRule="auto"/>
      </w:pPr>
      <w:r>
        <w:rPr>
          <w:rFonts w:ascii="Arial" w:cs="Arial" w:eastAsia="Times New Roman" w:hAnsi="Arial"/>
          <w:b/>
          <w:color w:val="000000"/>
          <w:sz w:val="24"/>
          <w:szCs w:val="24"/>
          <w:lang w:eastAsia="es-ES"/>
        </w:rPr>
        <w:tab/>
      </w:r>
    </w:p>
    <w:p>
      <w:pPr>
        <w:pStyle w:val="style0"/>
        <w:shd w:fill="FFFFFF" w:val="clear"/>
        <w:spacing w:after="0" w:before="0" w:line="360" w:lineRule="auto"/>
        <w:jc w:val="both"/>
      </w:pPr>
      <w:r>
        <w:rPr>
          <w:rFonts w:ascii="Arial" w:cs="Arial" w:eastAsia="Times New Roman" w:hAnsi="Arial"/>
          <w:b/>
          <w:color w:val="000000"/>
          <w:sz w:val="24"/>
          <w:szCs w:val="24"/>
          <w:lang w:eastAsia="es-ES"/>
        </w:rPr>
        <w:tab/>
      </w:r>
      <w:r>
        <w:rPr>
          <w:rFonts w:ascii="Arial" w:cs="Arial" w:eastAsia="Times New Roman" w:hAnsi="Arial"/>
          <w:color w:val="000000"/>
          <w:sz w:val="24"/>
          <w:szCs w:val="24"/>
          <w:lang w:eastAsia="es-ES"/>
        </w:rPr>
        <w:t xml:space="preserve">Para realizar un análisis estratégico se hace necesario  los siguientes requisitos de los objetivos:  </w:t>
      </w:r>
    </w:p>
    <w:p>
      <w:pPr>
        <w:pStyle w:val="style0"/>
        <w:shd w:fill="FFFFFF" w:val="clear"/>
        <w:spacing w:after="0" w:before="0" w:line="0" w:lineRule="auto"/>
      </w:pPr>
      <w:r>
        <w:rPr>
          <w:rFonts w:ascii="Symbol" w:hAnsi="Symbol"/>
          <w:color w:val="000000"/>
          <w:spacing w:val="1"/>
          <w:sz w:val="24"/>
          <w:szCs w:val="24"/>
          <w:lang w:eastAsia="es-ES"/>
        </w:rPr>
        <w:t></w:t>
      </w:r>
      <w:r>
        <w:rPr>
          <w:rFonts w:ascii="Arial" w:cs="Arial" w:eastAsia="Arial" w:hAnsi="Arial"/>
          <w:color w:val="000000"/>
          <w:sz w:val="24"/>
          <w:szCs w:val="24"/>
          <w:lang w:eastAsia="es-ES"/>
        </w:rPr>
        <w:t xml:space="preserve">  </w:t>
      </w:r>
      <w:r>
        <w:rPr>
          <w:rFonts w:ascii="Arial" w:cs="Arial" w:eastAsia="Times New Roman" w:hAnsi="Arial"/>
          <w:color w:val="000000"/>
          <w:sz w:val="24"/>
          <w:szCs w:val="24"/>
          <w:lang w:eastAsia="es-ES"/>
        </w:rPr>
        <w:t xml:space="preserve">Deseables </w:t>
      </w:r>
    </w:p>
    <w:p>
      <w:pPr>
        <w:pStyle w:val="style0"/>
        <w:shd w:fill="FFFFFF" w:val="clear"/>
        <w:spacing w:after="0" w:before="0" w:line="0" w:lineRule="auto"/>
      </w:pPr>
      <w:r>
        <w:rPr>
          <w:rFonts w:ascii="Symbol" w:hAnsi="Symbol"/>
          <w:color w:val="000000"/>
          <w:spacing w:val="1"/>
          <w:sz w:val="24"/>
          <w:szCs w:val="24"/>
          <w:lang w:eastAsia="es-ES"/>
        </w:rPr>
        <w:t></w:t>
      </w:r>
      <w:r>
        <w:rPr>
          <w:rFonts w:ascii="Arial" w:cs="Arial" w:eastAsia="Arial" w:hAnsi="Arial"/>
          <w:color w:val="000000"/>
          <w:sz w:val="24"/>
          <w:szCs w:val="24"/>
          <w:lang w:eastAsia="es-ES"/>
        </w:rPr>
        <w:t xml:space="preserve">  </w:t>
      </w:r>
      <w:r>
        <w:rPr>
          <w:rFonts w:ascii="Arial" w:cs="Arial" w:eastAsia="Times New Roman" w:hAnsi="Arial"/>
          <w:color w:val="000000"/>
          <w:sz w:val="24"/>
          <w:szCs w:val="24"/>
          <w:lang w:eastAsia="es-ES"/>
        </w:rPr>
        <w:t xml:space="preserve">Factibles </w:t>
      </w:r>
    </w:p>
    <w:p>
      <w:pPr>
        <w:pStyle w:val="style0"/>
        <w:shd w:fill="FFFFFF" w:val="clear"/>
        <w:spacing w:after="0" w:before="0" w:line="0" w:lineRule="auto"/>
      </w:pPr>
      <w:r>
        <w:rPr>
          <w:rFonts w:ascii="Symbol" w:hAnsi="Symbol"/>
          <w:color w:val="000000"/>
          <w:spacing w:val="1"/>
          <w:sz w:val="24"/>
          <w:szCs w:val="24"/>
          <w:lang w:eastAsia="es-ES"/>
        </w:rPr>
        <w:t></w:t>
      </w:r>
      <w:r>
        <w:rPr>
          <w:rFonts w:ascii="Arial" w:cs="Arial" w:eastAsia="Arial" w:hAnsi="Arial"/>
          <w:color w:val="000000"/>
          <w:sz w:val="24"/>
          <w:szCs w:val="24"/>
          <w:lang w:eastAsia="es-ES"/>
        </w:rPr>
        <w:t xml:space="preserve">  </w:t>
      </w:r>
      <w:r>
        <w:rPr>
          <w:rFonts w:ascii="Arial" w:cs="Arial" w:eastAsia="Times New Roman" w:hAnsi="Arial"/>
          <w:color w:val="000000"/>
          <w:sz w:val="24"/>
          <w:szCs w:val="24"/>
          <w:lang w:eastAsia="es-ES"/>
        </w:rPr>
        <w:t xml:space="preserve">Cuantificables </w:t>
      </w:r>
    </w:p>
    <w:p>
      <w:pPr>
        <w:pStyle w:val="style0"/>
        <w:shd w:fill="FFFFFF" w:val="clear"/>
        <w:spacing w:after="0" w:before="0" w:line="0" w:lineRule="auto"/>
      </w:pPr>
      <w:r>
        <w:rPr>
          <w:rFonts w:ascii="Symbol" w:hAnsi="Symbol"/>
          <w:color w:val="000000"/>
          <w:spacing w:val="1"/>
          <w:sz w:val="24"/>
          <w:szCs w:val="24"/>
          <w:lang w:eastAsia="es-ES"/>
        </w:rPr>
        <w:t></w:t>
      </w:r>
      <w:r>
        <w:rPr>
          <w:rFonts w:ascii="Arial" w:cs="Arial" w:eastAsia="Arial" w:hAnsi="Arial"/>
          <w:color w:val="000000"/>
          <w:sz w:val="24"/>
          <w:szCs w:val="24"/>
          <w:lang w:eastAsia="es-ES"/>
        </w:rPr>
        <w:t xml:space="preserve">  </w:t>
      </w:r>
      <w:r>
        <w:rPr>
          <w:rFonts w:ascii="Arial" w:cs="Arial" w:eastAsia="Times New Roman" w:hAnsi="Arial"/>
          <w:color w:val="000000"/>
          <w:sz w:val="24"/>
          <w:szCs w:val="24"/>
          <w:lang w:eastAsia="es-ES"/>
        </w:rPr>
        <w:t xml:space="preserve">Comprensibles </w:t>
      </w:r>
    </w:p>
    <w:p>
      <w:pPr>
        <w:pStyle w:val="style0"/>
        <w:shd w:fill="FFFFFF" w:val="clear"/>
        <w:spacing w:after="0" w:before="0" w:line="0" w:lineRule="auto"/>
      </w:pPr>
      <w:r>
        <w:rPr>
          <w:rFonts w:ascii="Symbol" w:hAnsi="Symbol"/>
          <w:color w:val="000000"/>
          <w:spacing w:val="1"/>
          <w:sz w:val="24"/>
          <w:szCs w:val="24"/>
          <w:lang w:eastAsia="es-ES"/>
        </w:rPr>
        <w:t></w:t>
      </w:r>
      <w:r>
        <w:rPr>
          <w:rFonts w:ascii="Arial" w:cs="Arial" w:eastAsia="Arial" w:hAnsi="Arial"/>
          <w:color w:val="000000"/>
          <w:sz w:val="24"/>
          <w:szCs w:val="24"/>
          <w:lang w:eastAsia="es-ES"/>
        </w:rPr>
        <w:t xml:space="preserve">  </w:t>
      </w:r>
      <w:r>
        <w:rPr>
          <w:rFonts w:ascii="Arial" w:cs="Arial" w:eastAsia="Times New Roman" w:hAnsi="Arial"/>
          <w:color w:val="000000"/>
          <w:sz w:val="24"/>
          <w:szCs w:val="24"/>
          <w:lang w:eastAsia="es-ES"/>
        </w:rPr>
        <w:t xml:space="preserve">Motivantes </w:t>
      </w:r>
    </w:p>
    <w:p>
      <w:pPr>
        <w:pStyle w:val="style0"/>
        <w:shd w:fill="FFFFFF" w:val="clear"/>
        <w:spacing w:after="0" w:before="0" w:line="0" w:lineRule="auto"/>
      </w:pPr>
      <w:r>
        <w:rPr>
          <w:rFonts w:ascii="Symbol" w:hAnsi="Symbol"/>
          <w:color w:val="000000"/>
          <w:spacing w:val="1"/>
          <w:sz w:val="24"/>
          <w:szCs w:val="24"/>
          <w:lang w:eastAsia="es-ES"/>
        </w:rPr>
        <w:t></w:t>
      </w:r>
      <w:r>
        <w:rPr>
          <w:rFonts w:ascii="Arial" w:cs="Arial" w:eastAsia="Arial" w:hAnsi="Arial"/>
          <w:color w:val="000000"/>
          <w:sz w:val="24"/>
          <w:szCs w:val="24"/>
          <w:lang w:eastAsia="es-ES"/>
        </w:rPr>
        <w:t xml:space="preserve">  </w:t>
      </w:r>
      <w:r>
        <w:rPr>
          <w:rFonts w:ascii="Arial" w:cs="Arial" w:eastAsia="Times New Roman" w:hAnsi="Arial"/>
          <w:color w:val="000000"/>
          <w:sz w:val="24"/>
          <w:szCs w:val="24"/>
          <w:lang w:eastAsia="es-ES"/>
        </w:rPr>
        <w:t xml:space="preserve">Consensuados </w:t>
      </w:r>
    </w:p>
    <w:p>
      <w:pPr>
        <w:pStyle w:val="style0"/>
        <w:shd w:fill="FFFFFF" w:val="clear"/>
        <w:spacing w:after="0" w:before="0" w:line="240" w:lineRule="auto"/>
      </w:pPr>
      <w:r>
        <w:rPr>
          <w:rFonts w:ascii="Arial" w:cs="Arial" w:eastAsia="Arial" w:hAnsi="Arial"/>
          <w:color w:val="000000"/>
          <w:sz w:val="24"/>
          <w:szCs w:val="24"/>
          <w:lang w:eastAsia="es-ES"/>
        </w:rPr>
        <w:t xml:space="preserve"> </w:t>
      </w:r>
    </w:p>
    <w:p>
      <w:pPr>
        <w:pStyle w:val="style0"/>
        <w:shd w:fill="FFFFFF" w:val="clear"/>
        <w:spacing w:after="0" w:before="0" w:line="240" w:lineRule="auto"/>
      </w:pPr>
      <w:r>
        <w:rPr>
          <w:rFonts w:ascii="Arial" w:cs="Arial" w:eastAsia="Times New Roman" w:hAnsi="Arial"/>
          <w:b/>
          <w:color w:val="000000"/>
          <w:sz w:val="24"/>
          <w:szCs w:val="24"/>
          <w:lang w:eastAsia="es-ES"/>
        </w:rPr>
        <w:t xml:space="preserve">Análisis externo </w:t>
      </w:r>
    </w:p>
    <w:p>
      <w:pPr>
        <w:pStyle w:val="style0"/>
        <w:shd w:fill="FFFFFF" w:val="clear"/>
        <w:spacing w:after="0" w:before="0" w:line="240" w:lineRule="auto"/>
      </w:pPr>
      <w:r>
        <w:rPr>
          <w:rFonts w:ascii="Arial" w:cs="Arial" w:eastAsia="Arial" w:hAnsi="Arial"/>
          <w:color w:val="000000"/>
          <w:sz w:val="24"/>
          <w:szCs w:val="24"/>
          <w:lang w:eastAsia="es-ES"/>
        </w:rPr>
        <w:t xml:space="preserve"> </w:t>
      </w:r>
    </w:p>
    <w:p>
      <w:pPr>
        <w:pStyle w:val="style0"/>
        <w:shd w:fill="FFFFFF" w:val="clear"/>
        <w:spacing w:after="0" w:before="0" w:line="360" w:lineRule="auto"/>
        <w:jc w:val="both"/>
      </w:pPr>
      <w:r>
        <w:rPr>
          <w:rFonts w:ascii="Arial" w:cs="Arial" w:eastAsia="Times New Roman" w:hAnsi="Arial"/>
          <w:color w:val="000000"/>
          <w:sz w:val="24"/>
          <w:szCs w:val="24"/>
          <w:lang w:eastAsia="es-ES"/>
        </w:rPr>
        <w:t xml:space="preserve">El entorno son los factores externos a la empresa (no controlables) que influyen en su estrategia. Se distingue entre el general y el específico (sector). </w:t>
      </w:r>
    </w:p>
    <w:p>
      <w:pPr>
        <w:pStyle w:val="style0"/>
        <w:shd w:fill="FFFFFF" w:val="clear"/>
        <w:spacing w:after="0" w:before="0" w:line="240" w:lineRule="auto"/>
      </w:pPr>
      <w:r>
        <w:rPr>
          <w:rFonts w:ascii="Arial" w:cs="Arial" w:eastAsia="Arial" w:hAnsi="Arial"/>
          <w:color w:val="000000"/>
          <w:sz w:val="24"/>
          <w:szCs w:val="24"/>
          <w:lang w:eastAsia="es-ES"/>
        </w:rPr>
        <w:t xml:space="preserve"> </w:t>
      </w:r>
    </w:p>
    <w:p>
      <w:pPr>
        <w:pStyle w:val="style0"/>
        <w:shd w:fill="FFFFFF" w:val="clear"/>
      </w:pPr>
      <w:r>
        <w:rPr>
          <w:rFonts w:ascii="Arial" w:cs="Arial" w:eastAsia="Arial" w:hAnsi="Arial"/>
          <w:color w:val="000000"/>
          <w:sz w:val="24"/>
          <w:szCs w:val="24"/>
          <w:lang w:eastAsia="es-ES"/>
        </w:rPr>
        <w:t xml:space="preserve">  </w:t>
      </w:r>
      <w:r>
        <w:rPr>
          <w:rFonts w:ascii="Arial" w:cs="Arial" w:eastAsia="Times New Roman" w:hAnsi="Arial"/>
          <w:color w:val="000000"/>
          <w:sz w:val="24"/>
          <w:szCs w:val="24"/>
          <w:lang w:eastAsia="es-ES"/>
        </w:rPr>
        <w:t xml:space="preserve">El entorno general se puede dividir en cuatro dimensiones (análisis PEST): </w:t>
      </w:r>
    </w:p>
    <w:p>
      <w:pPr>
        <w:pStyle w:val="style0"/>
        <w:shd w:fill="FFFFFF" w:val="clear"/>
        <w:spacing w:after="0" w:before="0" w:line="0" w:lineRule="auto"/>
      </w:pPr>
      <w:r>
        <w:rPr>
          <w:rFonts w:ascii="Symbol" w:hAnsi="Symbol"/>
          <w:color w:val="000000"/>
          <w:spacing w:val="1"/>
          <w:sz w:val="24"/>
          <w:szCs w:val="24"/>
          <w:lang w:eastAsia="es-ES"/>
        </w:rPr>
        <w:t></w:t>
      </w:r>
      <w:r>
        <w:rPr>
          <w:rFonts w:ascii="Arial" w:cs="Arial" w:eastAsia="Arial" w:hAnsi="Arial"/>
          <w:color w:val="000000"/>
          <w:spacing w:val="438"/>
          <w:sz w:val="24"/>
          <w:szCs w:val="24"/>
          <w:lang w:eastAsia="es-ES"/>
        </w:rPr>
        <w:t xml:space="preserve"> </w:t>
      </w:r>
      <w:r>
        <w:rPr>
          <w:rFonts w:ascii="Arial" w:cs="Arial" w:eastAsia="Times New Roman" w:hAnsi="Arial"/>
          <w:color w:val="000000"/>
          <w:sz w:val="24"/>
          <w:szCs w:val="24"/>
          <w:lang w:eastAsia="es-ES"/>
        </w:rPr>
        <w:t xml:space="preserve">Económica (renta, desempleo, inflación, tipo de interés…). </w:t>
      </w:r>
    </w:p>
    <w:p>
      <w:pPr>
        <w:pStyle w:val="style0"/>
        <w:shd w:fill="FFFFFF" w:val="clear"/>
        <w:spacing w:after="0" w:before="0" w:line="0" w:lineRule="auto"/>
      </w:pPr>
      <w:r>
        <w:rPr>
          <w:rFonts w:ascii="Symbol" w:hAnsi="Symbol"/>
          <w:color w:val="000000"/>
          <w:spacing w:val="1"/>
          <w:sz w:val="24"/>
          <w:szCs w:val="24"/>
          <w:lang w:eastAsia="es-ES"/>
        </w:rPr>
        <w:t></w:t>
      </w:r>
      <w:r>
        <w:rPr>
          <w:rFonts w:ascii="Arial" w:cs="Arial" w:eastAsia="Arial" w:hAnsi="Arial"/>
          <w:color w:val="000000"/>
          <w:sz w:val="24"/>
          <w:szCs w:val="24"/>
          <w:lang w:eastAsia="es-ES"/>
        </w:rPr>
        <w:t xml:space="preserve">  </w:t>
      </w:r>
      <w:r>
        <w:rPr>
          <w:rFonts w:ascii="Arial" w:cs="Arial" w:eastAsia="Times New Roman" w:hAnsi="Arial"/>
          <w:color w:val="000000"/>
          <w:sz w:val="24"/>
          <w:szCs w:val="24"/>
          <w:lang w:eastAsia="es-ES"/>
        </w:rPr>
        <w:t xml:space="preserve">Sociocultural (creencias, valores, actitudes...). </w:t>
      </w:r>
    </w:p>
    <w:p>
      <w:pPr>
        <w:pStyle w:val="style0"/>
        <w:shd w:fill="FFFFFF" w:val="clear"/>
        <w:spacing w:after="0" w:before="0" w:line="0" w:lineRule="auto"/>
      </w:pPr>
      <w:r>
        <w:rPr>
          <w:rFonts w:ascii="Symbol" w:hAnsi="Symbol"/>
          <w:color w:val="000000"/>
          <w:spacing w:val="1"/>
          <w:sz w:val="24"/>
          <w:szCs w:val="24"/>
          <w:lang w:eastAsia="es-ES"/>
        </w:rPr>
        <w:t></w:t>
      </w:r>
      <w:r>
        <w:rPr>
          <w:rFonts w:ascii="Arial" w:cs="Arial" w:eastAsia="Arial" w:hAnsi="Arial"/>
          <w:color w:val="000000"/>
          <w:spacing w:val="438"/>
          <w:sz w:val="24"/>
          <w:szCs w:val="24"/>
          <w:lang w:eastAsia="es-ES"/>
        </w:rPr>
        <w:t xml:space="preserve"> </w:t>
      </w:r>
      <w:r>
        <w:rPr>
          <w:rFonts w:ascii="Arial" w:cs="Arial" w:eastAsia="Times New Roman" w:hAnsi="Arial"/>
          <w:color w:val="000000"/>
          <w:sz w:val="24"/>
          <w:szCs w:val="24"/>
          <w:lang w:eastAsia="es-ES"/>
        </w:rPr>
        <w:t>Tecnológica (innovación, técnicas</w:t>
      </w:r>
    </w:p>
    <w:p>
      <w:pPr>
        <w:pStyle w:val="style199"/>
        <w:numPr>
          <w:ilvl w:val="0"/>
          <w:numId w:val="20"/>
        </w:numPr>
        <w:shd w:fill="FFFFFF" w:val="clear"/>
        <w:spacing w:after="0" w:before="0" w:line="360" w:lineRule="auto"/>
        <w:ind w:hanging="357" w:left="714" w:right="0"/>
      </w:pPr>
      <w:r>
        <w:rPr>
          <w:rFonts w:ascii="Arial" w:cs="Arial" w:hAnsi="Arial"/>
          <w:sz w:val="24"/>
          <w:szCs w:val="24"/>
        </w:rPr>
        <w:t>Político –legal (Regulación, norma, leyes)</w:t>
      </w:r>
    </w:p>
    <w:p>
      <w:pPr>
        <w:pStyle w:val="style199"/>
        <w:numPr>
          <w:ilvl w:val="0"/>
          <w:numId w:val="20"/>
        </w:numPr>
        <w:shd w:fill="FFFFFF" w:val="clear"/>
        <w:spacing w:after="0" w:before="0" w:line="360" w:lineRule="auto"/>
        <w:ind w:hanging="357" w:left="714" w:right="0"/>
      </w:pPr>
      <w:r>
        <w:rPr>
          <w:rFonts w:ascii="Arial" w:cs="Arial" w:hAnsi="Arial"/>
          <w:sz w:val="24"/>
          <w:szCs w:val="24"/>
        </w:rPr>
        <w:t>Económico (renta, desempleo, inflación, tipo de interés)</w:t>
      </w:r>
    </w:p>
    <w:p>
      <w:pPr>
        <w:pStyle w:val="style199"/>
        <w:numPr>
          <w:ilvl w:val="0"/>
          <w:numId w:val="20"/>
        </w:numPr>
        <w:shd w:fill="FFFFFF" w:val="clear"/>
        <w:spacing w:after="0" w:before="0" w:line="360" w:lineRule="auto"/>
        <w:ind w:hanging="357" w:left="714" w:right="0"/>
      </w:pPr>
      <w:r>
        <w:rPr>
          <w:rFonts w:ascii="Arial" w:cs="Arial" w:hAnsi="Arial"/>
          <w:sz w:val="24"/>
          <w:szCs w:val="24"/>
        </w:rPr>
        <w:t>Sociocultural (creencia, valores, actitudes)</w:t>
      </w:r>
    </w:p>
    <w:p>
      <w:pPr>
        <w:pStyle w:val="style199"/>
        <w:numPr>
          <w:ilvl w:val="0"/>
          <w:numId w:val="20"/>
        </w:numPr>
        <w:shd w:fill="FFFFFF" w:val="clear"/>
        <w:spacing w:after="0" w:before="0" w:line="360" w:lineRule="auto"/>
        <w:ind w:hanging="357" w:left="714" w:right="0"/>
      </w:pPr>
      <w:r>
        <w:rPr>
          <w:rFonts w:ascii="Arial" w:cs="Arial" w:hAnsi="Arial"/>
          <w:sz w:val="24"/>
          <w:szCs w:val="24"/>
        </w:rPr>
        <w:t>Tecnología (Innovación, técnicas)</w:t>
      </w:r>
    </w:p>
    <w:p>
      <w:pPr>
        <w:pStyle w:val="style199"/>
        <w:shd w:fill="FFFFFF" w:val="clear"/>
        <w:spacing w:after="0" w:before="0" w:line="360" w:lineRule="auto"/>
        <w:ind w:hanging="0" w:left="714" w:right="0"/>
      </w:pPr>
      <w:r>
        <w:rPr>
          <w:rFonts w:ascii="Arial" w:cs="Arial" w:hAnsi="Arial"/>
          <w:sz w:val="24"/>
          <w:szCs w:val="24"/>
        </w:rPr>
      </w:r>
    </w:p>
    <w:p>
      <w:pPr>
        <w:pStyle w:val="style0"/>
        <w:shd w:fill="FFFFFF" w:val="clear"/>
        <w:spacing w:after="0" w:before="0" w:line="0" w:lineRule="auto"/>
      </w:pPr>
      <w:r>
        <w:rPr>
          <w:rFonts w:ascii="Arial" w:cs="Arial" w:eastAsia="Times New Roman" w:hAnsi="Arial"/>
          <w:color w:val="000000"/>
          <w:sz w:val="24"/>
          <w:szCs w:val="24"/>
          <w:lang w:eastAsia="es-ES"/>
        </w:rPr>
        <w:t xml:space="preserve">Político-legal (regulación, normas, leyes...). </w:t>
      </w:r>
    </w:p>
    <w:p>
      <w:pPr>
        <w:pStyle w:val="style0"/>
        <w:shd w:fill="FFFFFF" w:val="clear"/>
        <w:spacing w:after="0" w:before="0" w:line="0" w:lineRule="auto"/>
      </w:pPr>
      <w:r>
        <w:rPr>
          <w:rFonts w:ascii="Symbol" w:hAnsi="Symbol"/>
          <w:color w:val="000000"/>
          <w:spacing w:val="1"/>
          <w:sz w:val="24"/>
          <w:szCs w:val="24"/>
          <w:lang w:eastAsia="es-ES"/>
        </w:rPr>
        <w:t></w:t>
      </w:r>
      <w:r>
        <w:rPr>
          <w:rFonts w:ascii="Arial" w:cs="Arial" w:eastAsia="Arial" w:hAnsi="Arial"/>
          <w:color w:val="000000"/>
          <w:spacing w:val="438"/>
          <w:sz w:val="24"/>
          <w:szCs w:val="24"/>
          <w:lang w:eastAsia="es-ES"/>
        </w:rPr>
        <w:t xml:space="preserve"> </w:t>
      </w:r>
      <w:r>
        <w:rPr>
          <w:rFonts w:ascii="Arial" w:cs="Arial" w:eastAsia="Times New Roman" w:hAnsi="Arial"/>
          <w:color w:val="000000"/>
          <w:sz w:val="24"/>
          <w:szCs w:val="24"/>
          <w:lang w:eastAsia="es-ES"/>
        </w:rPr>
        <w:t xml:space="preserve">Económica (renta, desempleo, inflación, tipo de interés…). </w:t>
      </w:r>
    </w:p>
    <w:p>
      <w:pPr>
        <w:pStyle w:val="style0"/>
        <w:shd w:fill="FFFFFF" w:val="clear"/>
        <w:spacing w:after="0" w:before="0" w:line="0" w:lineRule="auto"/>
      </w:pPr>
      <w:r>
        <w:rPr>
          <w:rFonts w:ascii="Symbol" w:hAnsi="Symbol"/>
          <w:color w:val="000000"/>
          <w:spacing w:val="1"/>
          <w:sz w:val="24"/>
          <w:szCs w:val="24"/>
          <w:lang w:eastAsia="es-ES"/>
        </w:rPr>
        <w:t></w:t>
      </w:r>
      <w:r>
        <w:rPr>
          <w:rFonts w:ascii="Arial" w:cs="Arial" w:eastAsia="Arial" w:hAnsi="Arial"/>
          <w:color w:val="000000"/>
          <w:sz w:val="24"/>
          <w:szCs w:val="24"/>
          <w:lang w:eastAsia="es-ES"/>
        </w:rPr>
        <w:t xml:space="preserve">  </w:t>
      </w:r>
      <w:r>
        <w:rPr>
          <w:rFonts w:ascii="Arial" w:cs="Arial" w:eastAsia="Times New Roman" w:hAnsi="Arial"/>
          <w:color w:val="000000"/>
          <w:sz w:val="24"/>
          <w:szCs w:val="24"/>
          <w:lang w:eastAsia="es-ES"/>
        </w:rPr>
        <w:t xml:space="preserve">Sociocultural (creencias, valores, actitudes...). </w:t>
      </w:r>
    </w:p>
    <w:p>
      <w:pPr>
        <w:pStyle w:val="style0"/>
        <w:shd w:fill="FFFFFF" w:val="clear"/>
        <w:spacing w:after="0" w:before="0" w:line="0" w:lineRule="auto"/>
      </w:pPr>
      <w:r>
        <w:rPr>
          <w:rFonts w:ascii="Symbol" w:hAnsi="Symbol"/>
          <w:color w:val="000000"/>
          <w:spacing w:val="1"/>
          <w:sz w:val="24"/>
          <w:szCs w:val="24"/>
          <w:lang w:eastAsia="es-ES"/>
        </w:rPr>
        <w:t></w:t>
      </w:r>
      <w:r>
        <w:rPr>
          <w:rFonts w:ascii="Arial" w:cs="Arial" w:eastAsia="Arial" w:hAnsi="Arial"/>
          <w:color w:val="000000"/>
          <w:spacing w:val="438"/>
          <w:sz w:val="24"/>
          <w:szCs w:val="24"/>
          <w:lang w:eastAsia="es-ES"/>
        </w:rPr>
        <w:t xml:space="preserve"> </w:t>
      </w:r>
      <w:r>
        <w:rPr>
          <w:rFonts w:ascii="Arial" w:cs="Arial" w:eastAsia="Times New Roman" w:hAnsi="Arial"/>
          <w:color w:val="000000"/>
          <w:sz w:val="24"/>
          <w:szCs w:val="24"/>
          <w:lang w:eastAsia="es-ES"/>
        </w:rPr>
        <w:t xml:space="preserve">Tecnológica (innovación, técnicas…). </w:t>
      </w:r>
    </w:p>
    <w:p>
      <w:pPr>
        <w:pStyle w:val="style0"/>
        <w:shd w:fill="FFFFFF" w:val="clear"/>
        <w:spacing w:after="0" w:before="0" w:line="360" w:lineRule="auto"/>
        <w:ind w:firstLine="737" w:left="0" w:right="0"/>
        <w:jc w:val="both"/>
      </w:pPr>
      <w:r>
        <w:rPr>
          <w:rFonts w:ascii="Arial" w:cs="Arial" w:eastAsia="Times New Roman" w:hAnsi="Arial"/>
          <w:color w:val="000000"/>
          <w:sz w:val="24"/>
          <w:szCs w:val="24"/>
          <w:lang w:eastAsia="es-ES"/>
        </w:rPr>
        <w:t xml:space="preserve">El entorno específico es el sector económico en el que la empresa desarrolla su  actividad. Su análisis es determinar las oportunidades y amenazas. </w:t>
      </w:r>
    </w:p>
    <w:p>
      <w:pPr>
        <w:pStyle w:val="style0"/>
        <w:shd w:fill="FFFFFF" w:val="clear"/>
        <w:spacing w:after="0" w:before="0" w:line="240" w:lineRule="auto"/>
      </w:pPr>
      <w:r>
        <w:rPr>
          <w:rFonts w:ascii="Arial" w:cs="Arial" w:eastAsia="Arial" w:hAnsi="Arial"/>
          <w:color w:val="000000"/>
          <w:sz w:val="24"/>
          <w:szCs w:val="24"/>
          <w:lang w:eastAsia="es-ES"/>
        </w:rPr>
        <w:t xml:space="preserve"> </w:t>
      </w:r>
    </w:p>
    <w:p>
      <w:pPr>
        <w:pStyle w:val="style0"/>
        <w:shd w:fill="FFFFFF" w:val="clear"/>
        <w:spacing w:after="0" w:before="0" w:line="360" w:lineRule="auto"/>
        <w:ind w:firstLine="737" w:left="0" w:right="0"/>
        <w:jc w:val="both"/>
      </w:pPr>
      <w:r>
        <w:rPr>
          <w:rFonts w:ascii="Arial" w:cs="Arial" w:eastAsia="Times New Roman" w:hAnsi="Arial"/>
          <w:color w:val="000000"/>
          <w:sz w:val="24"/>
          <w:szCs w:val="24"/>
          <w:lang w:eastAsia="es-ES"/>
        </w:rPr>
        <w:t xml:space="preserve">Su objetivo es desarrollar la matriz FODA o DOFA (fortalezas, oportunidades, debilidades y  amenazas,). </w:t>
      </w:r>
    </w:p>
    <w:p>
      <w:pPr>
        <w:pStyle w:val="style0"/>
        <w:shd w:fill="FFFFFF" w:val="clear"/>
        <w:spacing w:after="0" w:before="0" w:line="360" w:lineRule="auto"/>
        <w:jc w:val="both"/>
      </w:pPr>
      <w:r>
        <w:rPr>
          <w:rFonts w:ascii="Arial" w:cs="Arial" w:eastAsia="Times New Roman" w:hAnsi="Arial"/>
          <w:color w:val="000000"/>
          <w:sz w:val="24"/>
          <w:szCs w:val="24"/>
          <w:lang w:eastAsia="es-ES"/>
        </w:rPr>
      </w:r>
    </w:p>
    <w:p>
      <w:pPr>
        <w:pStyle w:val="style0"/>
        <w:shd w:fill="FFFFFF" w:val="clear"/>
        <w:spacing w:after="0" w:before="0" w:line="240" w:lineRule="auto"/>
      </w:pPr>
      <w:r>
        <w:rPr>
          <w:rFonts w:ascii="Arial" w:cs="Arial" w:eastAsia="Times New Roman" w:hAnsi="Arial"/>
          <w:b/>
          <w:color w:val="000000"/>
          <w:sz w:val="24"/>
          <w:szCs w:val="24"/>
          <w:lang w:eastAsia="es-ES"/>
        </w:rPr>
        <w:t xml:space="preserve">Misión, visión y objetivos </w:t>
      </w:r>
    </w:p>
    <w:p>
      <w:pPr>
        <w:pStyle w:val="style0"/>
        <w:shd w:fill="FFFFFF" w:val="clear"/>
        <w:spacing w:after="0" w:before="0" w:line="240" w:lineRule="auto"/>
      </w:pPr>
      <w:r>
        <w:rPr>
          <w:rFonts w:ascii="Arial" w:cs="Arial" w:eastAsia="Arial" w:hAnsi="Arial"/>
          <w:color w:val="000000"/>
          <w:sz w:val="24"/>
          <w:szCs w:val="24"/>
          <w:lang w:eastAsia="es-ES"/>
        </w:rPr>
        <w:t xml:space="preserve"> </w:t>
      </w:r>
    </w:p>
    <w:p>
      <w:pPr>
        <w:pStyle w:val="style0"/>
        <w:shd w:fill="FFFFFF" w:val="clear"/>
        <w:spacing w:after="0" w:before="0" w:line="360" w:lineRule="auto"/>
        <w:jc w:val="both"/>
      </w:pPr>
      <w:r>
        <w:rPr>
          <w:rFonts w:ascii="Arial" w:cs="Arial" w:eastAsia="Times New Roman" w:hAnsi="Arial"/>
          <w:color w:val="000000"/>
          <w:spacing w:val="3"/>
          <w:sz w:val="24"/>
          <w:szCs w:val="24"/>
          <w:lang w:eastAsia="es-ES"/>
        </w:rPr>
        <w:tab/>
        <w:t xml:space="preserve">La </w:t>
      </w:r>
      <w:r>
        <w:rPr>
          <w:rFonts w:ascii="Arial" w:cs="Arial" w:eastAsia="Times New Roman" w:hAnsi="Arial"/>
          <w:color w:val="000000"/>
          <w:sz w:val="24"/>
          <w:szCs w:val="24"/>
          <w:lang w:eastAsia="es-ES"/>
        </w:rPr>
        <w:t xml:space="preserve">misión es una declaración de principios, la razón que justifica la existencia de la empresa. Forma parte de su cultura, su sistema de valores y creencias. </w:t>
      </w:r>
    </w:p>
    <w:p>
      <w:pPr>
        <w:pStyle w:val="style0"/>
        <w:shd w:fill="FFFFFF" w:val="clear"/>
        <w:spacing w:after="0" w:before="0" w:line="360" w:lineRule="auto"/>
        <w:jc w:val="both"/>
      </w:pPr>
      <w:r>
        <w:rPr>
          <w:rFonts w:ascii="Arial" w:cs="Arial" w:eastAsia="Times New Roman" w:hAnsi="Arial"/>
          <w:color w:val="000000"/>
          <w:sz w:val="24"/>
          <w:szCs w:val="24"/>
          <w:lang w:eastAsia="es-ES"/>
        </w:rPr>
        <w:tab/>
        <w:t>La visión  define y describe la situación futura que desea tener. Los objetivos son las guías  para poder cumplir la misión</w:t>
      </w:r>
    </w:p>
    <w:p>
      <w:pPr>
        <w:pStyle w:val="style0"/>
        <w:autoSpaceDE w:val="false"/>
        <w:spacing w:after="0" w:before="0" w:line="240" w:lineRule="auto"/>
        <w:jc w:val="both"/>
      </w:pPr>
      <w:r>
        <w:rPr>
          <w:rFonts w:ascii="Arial" w:cs="Arial" w:hAnsi="Arial"/>
          <w:sz w:val="24"/>
          <w:szCs w:val="24"/>
        </w:rPr>
      </w:r>
    </w:p>
    <w:p>
      <w:pPr>
        <w:pStyle w:val="style0"/>
        <w:spacing w:after="0" w:before="0" w:line="240" w:lineRule="auto"/>
        <w:jc w:val="both"/>
      </w:pPr>
      <w:r>
        <w:rPr>
          <w:rFonts w:ascii="Arial" w:cs="Arial" w:eastAsia="Times New Roman" w:hAnsi="Arial"/>
          <w:b/>
          <w:sz w:val="24"/>
          <w:szCs w:val="24"/>
          <w:lang w:eastAsia="es-VE" w:val="es-VE"/>
        </w:rPr>
        <w:t xml:space="preserve">Lineamientos para establecer estrategias </w:t>
      </w:r>
    </w:p>
    <w:p>
      <w:pPr>
        <w:pStyle w:val="style0"/>
        <w:spacing w:after="0" w:before="0" w:line="240" w:lineRule="auto"/>
        <w:jc w:val="both"/>
      </w:pPr>
      <w:r>
        <w:rPr>
          <w:rFonts w:ascii="Arial" w:cs="Arial" w:eastAsia="Times New Roman" w:hAnsi="Arial"/>
          <w:b/>
          <w:sz w:val="24"/>
          <w:szCs w:val="24"/>
          <w:lang w:eastAsia="es-VE" w:val="es-VE"/>
        </w:rPr>
      </w:r>
    </w:p>
    <w:p>
      <w:pPr>
        <w:pStyle w:val="style0"/>
        <w:spacing w:after="0" w:before="0" w:line="240" w:lineRule="auto"/>
        <w:jc w:val="both"/>
      </w:pPr>
      <w:r>
        <w:rPr>
          <w:rFonts w:ascii="Arial" w:cs="Arial" w:eastAsia="Times New Roman" w:hAnsi="Arial"/>
          <w:b/>
          <w:sz w:val="24"/>
          <w:szCs w:val="24"/>
          <w:lang w:eastAsia="es-VE" w:val="es-VE"/>
        </w:rPr>
      </w:r>
    </w:p>
    <w:p>
      <w:pPr>
        <w:pStyle w:val="style0"/>
        <w:spacing w:after="0" w:before="0" w:line="360" w:lineRule="auto"/>
        <w:ind w:firstLine="357" w:left="0" w:right="0"/>
        <w:jc w:val="both"/>
      </w:pPr>
      <w:r>
        <w:rPr>
          <w:rFonts w:ascii="Arial" w:cs="Arial" w:eastAsia="Times New Roman" w:hAnsi="Arial"/>
          <w:sz w:val="24"/>
          <w:szCs w:val="24"/>
          <w:lang w:eastAsia="es-VE" w:val="es-VE"/>
        </w:rPr>
        <w:t xml:space="preserve">Para que las estrategias sean operables y cumplan con su función, es necesario: </w:t>
      </w:r>
    </w:p>
    <w:p>
      <w:pPr>
        <w:pStyle w:val="style0"/>
        <w:spacing w:after="0" w:before="0" w:line="240" w:lineRule="auto"/>
        <w:jc w:val="both"/>
      </w:pPr>
      <w:r>
        <w:rPr>
          <w:rFonts w:ascii="Arial" w:cs="Arial" w:eastAsia="Times New Roman" w:hAnsi="Arial"/>
          <w:sz w:val="24"/>
          <w:szCs w:val="24"/>
          <w:lang w:eastAsia="es-VE" w:val="es-VE"/>
        </w:rPr>
      </w:r>
    </w:p>
    <w:p>
      <w:pPr>
        <w:pStyle w:val="style199"/>
        <w:numPr>
          <w:ilvl w:val="0"/>
          <w:numId w:val="64"/>
        </w:numPr>
        <w:spacing w:after="0" w:before="0" w:line="360" w:lineRule="auto"/>
        <w:ind w:hanging="357" w:left="714" w:right="0"/>
        <w:jc w:val="both"/>
      </w:pPr>
      <w:r>
        <w:rPr>
          <w:rFonts w:ascii="Arial" w:cs="Arial" w:eastAsia="Times New Roman" w:hAnsi="Arial"/>
          <w:sz w:val="24"/>
          <w:szCs w:val="24"/>
          <w:lang w:eastAsia="es-VE" w:val="es-VE"/>
        </w:rPr>
        <w:t xml:space="preserve">Asegurarse de que sean consistentes y contribuyan al logro del objetivo. </w:t>
      </w:r>
    </w:p>
    <w:p>
      <w:pPr>
        <w:pStyle w:val="style199"/>
        <w:numPr>
          <w:ilvl w:val="0"/>
          <w:numId w:val="64"/>
        </w:numPr>
        <w:spacing w:after="0" w:before="0" w:line="360" w:lineRule="auto"/>
        <w:ind w:hanging="357" w:left="714" w:right="0"/>
        <w:jc w:val="both"/>
      </w:pPr>
      <w:r>
        <w:rPr>
          <w:rFonts w:ascii="Arial" w:cs="Arial" w:eastAsia="Times New Roman" w:hAnsi="Arial"/>
          <w:sz w:val="24"/>
          <w:szCs w:val="24"/>
          <w:lang w:eastAsia="es-VE" w:val="es-VE"/>
        </w:rPr>
        <w:t xml:space="preserve">Determinarlas con claridad. </w:t>
      </w:r>
    </w:p>
    <w:p>
      <w:pPr>
        <w:pStyle w:val="style199"/>
        <w:numPr>
          <w:ilvl w:val="0"/>
          <w:numId w:val="30"/>
        </w:numPr>
        <w:spacing w:after="0" w:before="0" w:line="360" w:lineRule="auto"/>
        <w:ind w:hanging="357" w:left="714" w:right="0"/>
        <w:jc w:val="both"/>
      </w:pPr>
      <w:r>
        <w:rPr>
          <w:rFonts w:ascii="Arial" w:cs="Arial" w:eastAsia="Times New Roman" w:hAnsi="Arial"/>
          <w:sz w:val="24"/>
          <w:szCs w:val="24"/>
          <w:lang w:eastAsia="es-VE" w:val="es-VE"/>
        </w:rPr>
        <w:t xml:space="preserve">No confundir las estrategias con las tácticas, ya que estas últimas combinan la acción con los medios para alcanzar el objetivo. </w:t>
      </w:r>
    </w:p>
    <w:p>
      <w:pPr>
        <w:pStyle w:val="style199"/>
        <w:numPr>
          <w:ilvl w:val="0"/>
          <w:numId w:val="30"/>
        </w:numPr>
        <w:spacing w:after="0" w:before="0" w:line="360" w:lineRule="auto"/>
        <w:ind w:hanging="357" w:left="714" w:right="0"/>
        <w:jc w:val="both"/>
      </w:pPr>
      <w:r>
        <w:rPr>
          <w:rFonts w:ascii="Arial" w:cs="Arial" w:eastAsia="Times New Roman" w:hAnsi="Arial"/>
          <w:sz w:val="24"/>
          <w:szCs w:val="24"/>
          <w:lang w:eastAsia="es-VE" w:val="es-VE"/>
        </w:rPr>
        <w:t xml:space="preserve">Considerar las experiencias pasadas en su establecimiento, esto permitirá sugerir un mayor número de cursos de acción. </w:t>
      </w:r>
    </w:p>
    <w:p>
      <w:pPr>
        <w:pStyle w:val="style199"/>
        <w:numPr>
          <w:ilvl w:val="0"/>
          <w:numId w:val="30"/>
        </w:numPr>
        <w:spacing w:after="0" w:before="0" w:line="360" w:lineRule="auto"/>
        <w:ind w:hanging="357" w:left="714" w:right="0"/>
        <w:jc w:val="both"/>
      </w:pPr>
      <w:r>
        <w:rPr>
          <w:rFonts w:ascii="Arial" w:cs="Arial" w:eastAsia="Times New Roman" w:hAnsi="Arial"/>
          <w:sz w:val="24"/>
          <w:szCs w:val="24"/>
          <w:lang w:eastAsia="es-VE" w:val="es-VE"/>
        </w:rPr>
        <w:t xml:space="preserve">Analizar las consecuencias que pudieran presentarse al momento de aplicarlas. </w:t>
      </w:r>
    </w:p>
    <w:p>
      <w:pPr>
        <w:pStyle w:val="style199"/>
        <w:numPr>
          <w:ilvl w:val="0"/>
          <w:numId w:val="30"/>
        </w:numPr>
        <w:spacing w:after="0" w:before="0" w:line="360" w:lineRule="auto"/>
        <w:ind w:hanging="357" w:left="714" w:right="0"/>
        <w:jc w:val="both"/>
      </w:pPr>
      <w:r>
        <w:rPr>
          <w:rFonts w:ascii="Arial" w:cs="Arial" w:eastAsia="Times New Roman" w:hAnsi="Arial"/>
          <w:sz w:val="24"/>
          <w:szCs w:val="24"/>
          <w:lang w:eastAsia="es-VE" w:val="es-VE"/>
        </w:rPr>
        <w:t xml:space="preserve">Al establecerlas, auxiliarse de técnicas de investigación y de planeación. </w:t>
      </w:r>
    </w:p>
    <w:p>
      <w:pPr>
        <w:pStyle w:val="style199"/>
        <w:spacing w:after="0" w:before="0" w:line="360" w:lineRule="auto"/>
        <w:ind w:hanging="0" w:left="714" w:right="0"/>
        <w:jc w:val="both"/>
      </w:pPr>
      <w:r>
        <w:rPr>
          <w:rFonts w:ascii="Arial" w:cs="Arial" w:eastAsia="Times New Roman" w:hAnsi="Arial"/>
          <w:sz w:val="24"/>
          <w:szCs w:val="24"/>
          <w:lang w:eastAsia="es-VE" w:val="es-VE"/>
        </w:rPr>
      </w:r>
    </w:p>
    <w:p>
      <w:pPr>
        <w:pStyle w:val="style0"/>
        <w:spacing w:after="0" w:before="0" w:line="360" w:lineRule="auto"/>
        <w:jc w:val="both"/>
      </w:pPr>
      <w:r>
        <w:rPr>
          <w:rFonts w:ascii="Arial" w:cs="Arial" w:eastAsia="Times New Roman" w:hAnsi="Arial"/>
          <w:b/>
          <w:sz w:val="24"/>
          <w:szCs w:val="24"/>
          <w:lang w:eastAsia="es-VE" w:val="es-VE"/>
        </w:rPr>
        <w:t xml:space="preserve">La formulación de la estrategia implica: </w:t>
      </w:r>
    </w:p>
    <w:p>
      <w:pPr>
        <w:pStyle w:val="style0"/>
        <w:spacing w:after="0" w:before="0" w:line="360" w:lineRule="auto"/>
        <w:jc w:val="both"/>
      </w:pPr>
      <w:r>
        <w:rPr>
          <w:rFonts w:ascii="Arial" w:cs="Arial" w:eastAsia="Times New Roman" w:hAnsi="Arial"/>
          <w:b/>
          <w:sz w:val="24"/>
          <w:szCs w:val="24"/>
          <w:lang w:eastAsia="es-VE" w:val="es-VE"/>
        </w:rPr>
      </w:r>
    </w:p>
    <w:p>
      <w:pPr>
        <w:pStyle w:val="style199"/>
        <w:numPr>
          <w:ilvl w:val="0"/>
          <w:numId w:val="30"/>
        </w:numPr>
        <w:spacing w:after="0" w:before="0" w:line="360" w:lineRule="auto"/>
        <w:ind w:hanging="357" w:left="714" w:right="0"/>
        <w:jc w:val="both"/>
      </w:pPr>
      <w:r>
        <w:rPr>
          <w:rFonts w:ascii="Arial" w:cs="Arial" w:eastAsia="Times New Roman" w:hAnsi="Arial"/>
          <w:sz w:val="24"/>
          <w:szCs w:val="24"/>
          <w:lang w:eastAsia="es-VE" w:val="es-VE"/>
        </w:rPr>
        <w:t xml:space="preserve">Hacer un análisis de situación: interno y externo, Análisis FODA. </w:t>
      </w:r>
    </w:p>
    <w:p>
      <w:pPr>
        <w:pStyle w:val="style199"/>
        <w:numPr>
          <w:ilvl w:val="0"/>
          <w:numId w:val="30"/>
        </w:numPr>
        <w:spacing w:after="0" w:before="0" w:line="360" w:lineRule="auto"/>
        <w:ind w:hanging="357" w:left="714" w:right="0"/>
        <w:jc w:val="both"/>
      </w:pPr>
      <w:r>
        <w:rPr>
          <w:rFonts w:ascii="Arial" w:cs="Arial" w:eastAsia="Times New Roman" w:hAnsi="Arial"/>
          <w:sz w:val="24"/>
          <w:szCs w:val="24"/>
          <w:lang w:eastAsia="es-VE" w:val="es-VE"/>
        </w:rPr>
        <w:t xml:space="preserve">Desarrollar sus declaraciones de Visión (vista a largo plazo de un futuro posible), de Misión (el papel que la organización se da sí mismo en la sociedad), de los objetivos corporativos totales (financieros y estratégicos) y de los objetivos de las diferentes unidades estratégicas de negocio. </w:t>
      </w:r>
    </w:p>
    <w:p>
      <w:pPr>
        <w:pStyle w:val="style199"/>
        <w:numPr>
          <w:ilvl w:val="0"/>
          <w:numId w:val="30"/>
        </w:numPr>
        <w:spacing w:after="0" w:before="0" w:line="360" w:lineRule="auto"/>
        <w:ind w:hanging="357" w:left="714" w:right="0"/>
        <w:jc w:val="both"/>
      </w:pPr>
      <w:r>
        <w:rPr>
          <w:rFonts w:ascii="Arial" w:cs="Arial" w:eastAsia="Times New Roman" w:hAnsi="Arial"/>
          <w:sz w:val="24"/>
          <w:szCs w:val="24"/>
          <w:lang w:eastAsia="es-VE" w:val="es-VE"/>
        </w:rPr>
        <w:t xml:space="preserve">Estos objetivos deben, tener en cuenta el análisis de situación, sugerir un plan estratégico. El plan proporciona los detalles de cómo alcanzar estos objetivos. La puesta en práctica de la estrategia implica: </w:t>
      </w:r>
    </w:p>
    <w:p>
      <w:pPr>
        <w:pStyle w:val="style199"/>
        <w:numPr>
          <w:ilvl w:val="0"/>
          <w:numId w:val="30"/>
        </w:numPr>
        <w:spacing w:after="0" w:before="0" w:line="360" w:lineRule="auto"/>
        <w:ind w:hanging="357" w:left="714" w:right="0"/>
        <w:jc w:val="both"/>
      </w:pPr>
      <w:r>
        <w:rPr>
          <w:rFonts w:ascii="Arial" w:cs="Arial" w:eastAsia="Times New Roman" w:hAnsi="Arial"/>
          <w:sz w:val="24"/>
          <w:szCs w:val="24"/>
          <w:lang w:eastAsia="es-VE" w:val="es-VE"/>
        </w:rPr>
        <w:t xml:space="preserve">Asignación de suficientes recursos (financieros, personal, tiempo, tecnología) </w:t>
      </w:r>
    </w:p>
    <w:p>
      <w:pPr>
        <w:pStyle w:val="style199"/>
        <w:numPr>
          <w:ilvl w:val="0"/>
          <w:numId w:val="30"/>
        </w:numPr>
        <w:spacing w:after="0" w:before="0" w:line="360" w:lineRule="auto"/>
        <w:jc w:val="both"/>
      </w:pPr>
      <w:r>
        <w:rPr>
          <w:rFonts w:ascii="Arial" w:cs="Arial" w:eastAsia="Times New Roman" w:hAnsi="Arial"/>
          <w:sz w:val="24"/>
          <w:szCs w:val="24"/>
          <w:lang w:eastAsia="es-VE" w:val="es-VE"/>
        </w:rPr>
        <w:t xml:space="preserve">Establecimiento de una estructura funcional. </w:t>
      </w:r>
    </w:p>
    <w:p>
      <w:pPr>
        <w:pStyle w:val="style199"/>
        <w:numPr>
          <w:ilvl w:val="0"/>
          <w:numId w:val="30"/>
        </w:numPr>
        <w:spacing w:after="0" w:before="0" w:line="360" w:lineRule="auto"/>
        <w:jc w:val="both"/>
      </w:pPr>
      <w:r>
        <w:rPr>
          <w:rFonts w:ascii="Arial" w:cs="Arial" w:eastAsia="Times New Roman" w:hAnsi="Arial"/>
          <w:sz w:val="24"/>
          <w:szCs w:val="24"/>
          <w:lang w:eastAsia="es-VE" w:val="es-VE"/>
        </w:rPr>
        <w:t xml:space="preserve">Asignar la responsabilidad de tareas o de procesos específicos a los individuos o a grupos específicos. </w:t>
      </w:r>
    </w:p>
    <w:p>
      <w:pPr>
        <w:pStyle w:val="style199"/>
        <w:numPr>
          <w:ilvl w:val="0"/>
          <w:numId w:val="30"/>
        </w:numPr>
        <w:spacing w:after="0" w:before="0" w:line="360" w:lineRule="auto"/>
        <w:ind w:hanging="357" w:left="714" w:right="0"/>
        <w:jc w:val="both"/>
      </w:pPr>
      <w:r>
        <w:rPr>
          <w:rFonts w:ascii="Arial" w:cs="Arial" w:eastAsia="Times New Roman" w:hAnsi="Arial"/>
          <w:sz w:val="24"/>
          <w:szCs w:val="24"/>
          <w:lang w:eastAsia="es-VE" w:val="es-VE"/>
        </w:rPr>
        <w:t xml:space="preserve">También implica manejar el proceso. Esto incluye la supervisión de resultados, comparar con estándares y con las mejores prácticas, la evaluación de la eficacia del proceso, controlar los desvíos y realizar los ajustes necesarios al proceso. La formulación y la puesta en práctica de la estrategia es un proceso en curso, interminable e integrado que requiere de nueva valoración y reforma continúas. La gerencia estratégica es dinámica, implica un patrón complejo de acciones y de reacciones. </w:t>
      </w:r>
    </w:p>
    <w:p>
      <w:pPr>
        <w:pStyle w:val="style0"/>
        <w:spacing w:after="0" w:before="0" w:line="360" w:lineRule="auto"/>
        <w:ind w:hanging="0" w:left="357" w:right="0"/>
        <w:jc w:val="both"/>
      </w:pPr>
      <w:r>
        <w:rPr>
          <w:rFonts w:ascii="Arial" w:cs="Arial" w:eastAsia="Times New Roman" w:hAnsi="Arial"/>
          <w:sz w:val="24"/>
          <w:szCs w:val="24"/>
          <w:lang w:eastAsia="es-VE" w:val="es-VE"/>
        </w:rPr>
      </w:r>
    </w:p>
    <w:p>
      <w:pPr>
        <w:pStyle w:val="style0"/>
        <w:spacing w:after="0" w:before="0" w:line="240" w:lineRule="auto"/>
      </w:pPr>
      <w:r>
        <w:rPr>
          <w:rFonts w:ascii="Arial" w:cs="Arial" w:eastAsia="Times New Roman" w:hAnsi="Arial"/>
          <w:b/>
          <w:sz w:val="24"/>
          <w:szCs w:val="24"/>
          <w:lang w:eastAsia="es-VE" w:val="es-VE"/>
        </w:rPr>
        <w:t xml:space="preserve">El Proceso de Formulación Estratégica </w:t>
      </w:r>
    </w:p>
    <w:p>
      <w:pPr>
        <w:pStyle w:val="style0"/>
        <w:spacing w:after="0" w:before="0" w:line="360" w:lineRule="auto"/>
        <w:jc w:val="both"/>
      </w:pPr>
      <w:r>
        <w:rPr>
          <w:rFonts w:ascii="Arial" w:cs="Arial" w:eastAsia="Times New Roman" w:hAnsi="Arial"/>
          <w:sz w:val="24"/>
          <w:szCs w:val="24"/>
          <w:lang w:eastAsia="es-VE" w:val="es-VE"/>
        </w:rPr>
        <w:tab/>
      </w:r>
    </w:p>
    <w:p>
      <w:pPr>
        <w:pStyle w:val="style0"/>
        <w:spacing w:after="0" w:before="0" w:line="360" w:lineRule="auto"/>
        <w:jc w:val="both"/>
      </w:pPr>
      <w:r>
        <w:rPr>
          <w:rFonts w:ascii="Arial" w:cs="Arial" w:eastAsia="Times New Roman" w:hAnsi="Arial"/>
          <w:sz w:val="24"/>
          <w:szCs w:val="24"/>
          <w:lang w:eastAsia="es-VE" w:val="es-VE"/>
        </w:rPr>
        <w:tab/>
        <w:t xml:space="preserve">La formulación de las estrategias incluye: </w:t>
      </w:r>
    </w:p>
    <w:p>
      <w:pPr>
        <w:pStyle w:val="style199"/>
        <w:numPr>
          <w:ilvl w:val="0"/>
          <w:numId w:val="30"/>
        </w:numPr>
        <w:spacing w:after="0" w:before="0" w:line="360" w:lineRule="auto"/>
        <w:jc w:val="both"/>
      </w:pPr>
      <w:r>
        <w:rPr>
          <w:rFonts w:ascii="Arial" w:cs="Arial" w:eastAsia="Times New Roman" w:hAnsi="Arial"/>
          <w:sz w:val="24"/>
          <w:szCs w:val="24"/>
          <w:lang w:eastAsia="es-VE" w:val="es-VE"/>
        </w:rPr>
        <w:t xml:space="preserve">La identificación de las debilidades y fortalezas internas de una organización, </w:t>
      </w:r>
    </w:p>
    <w:p>
      <w:pPr>
        <w:pStyle w:val="style199"/>
        <w:numPr>
          <w:ilvl w:val="0"/>
          <w:numId w:val="62"/>
        </w:numPr>
        <w:spacing w:after="0" w:before="0" w:line="360" w:lineRule="auto"/>
        <w:jc w:val="both"/>
      </w:pPr>
      <w:r>
        <w:rPr>
          <w:rFonts w:ascii="Arial" w:cs="Arial" w:eastAsia="Times New Roman" w:hAnsi="Arial"/>
          <w:sz w:val="24"/>
          <w:szCs w:val="24"/>
          <w:lang w:eastAsia="es-VE" w:val="es-VE"/>
        </w:rPr>
        <w:t xml:space="preserve">La determinación de las oportunidades y amenazas externas de una empresa, </w:t>
      </w:r>
    </w:p>
    <w:p>
      <w:pPr>
        <w:pStyle w:val="style199"/>
        <w:numPr>
          <w:ilvl w:val="0"/>
          <w:numId w:val="62"/>
        </w:numPr>
        <w:spacing w:after="0" w:before="0" w:line="360" w:lineRule="auto"/>
        <w:jc w:val="both"/>
      </w:pPr>
      <w:r>
        <w:rPr>
          <w:rFonts w:ascii="Arial" w:cs="Arial" w:eastAsia="Times New Roman" w:hAnsi="Arial"/>
          <w:sz w:val="24"/>
          <w:szCs w:val="24"/>
          <w:lang w:eastAsia="es-VE" w:val="es-VE"/>
        </w:rPr>
        <w:t xml:space="preserve">El establecimiento de misiones de la compañía, </w:t>
      </w:r>
    </w:p>
    <w:p>
      <w:pPr>
        <w:pStyle w:val="style199"/>
        <w:numPr>
          <w:ilvl w:val="0"/>
          <w:numId w:val="62"/>
        </w:numPr>
        <w:spacing w:after="0" w:before="0" w:line="360" w:lineRule="auto"/>
        <w:jc w:val="both"/>
      </w:pPr>
      <w:r>
        <w:rPr>
          <w:rFonts w:ascii="Arial" w:cs="Arial" w:eastAsia="Times New Roman" w:hAnsi="Arial"/>
          <w:sz w:val="24"/>
          <w:szCs w:val="24"/>
          <w:lang w:eastAsia="es-VE" w:val="es-VE"/>
        </w:rPr>
        <w:t xml:space="preserve">La fijación de objetivos, el desarrollo de estrategias alternativas, </w:t>
      </w:r>
    </w:p>
    <w:p>
      <w:pPr>
        <w:pStyle w:val="style199"/>
        <w:numPr>
          <w:ilvl w:val="0"/>
          <w:numId w:val="62"/>
        </w:numPr>
        <w:spacing w:after="0" w:before="0" w:line="360" w:lineRule="auto"/>
        <w:jc w:val="both"/>
      </w:pPr>
      <w:r>
        <w:rPr>
          <w:rFonts w:ascii="Arial" w:cs="Arial" w:eastAsia="Times New Roman" w:hAnsi="Arial"/>
          <w:sz w:val="24"/>
          <w:szCs w:val="24"/>
          <w:lang w:eastAsia="es-VE" w:val="es-VE"/>
        </w:rPr>
        <w:t xml:space="preserve">El análisis de dichas alternativas y la decisión de cuáles escoger. </w:t>
      </w:r>
    </w:p>
    <w:p>
      <w:pPr>
        <w:pStyle w:val="style0"/>
        <w:spacing w:after="0" w:before="0" w:line="360" w:lineRule="auto"/>
        <w:jc w:val="both"/>
      </w:pPr>
      <w:r>
        <w:rPr>
          <w:rFonts w:ascii="Arial" w:cs="Arial" w:eastAsia="Times New Roman" w:hAnsi="Arial"/>
          <w:sz w:val="24"/>
          <w:szCs w:val="24"/>
          <w:lang w:eastAsia="es-VE" w:val="es-VE"/>
        </w:rPr>
        <w:tab/>
        <w:t xml:space="preserve">Es un proceso apasionante que permite a una organización ser proactiva en vez de reactiva en la formulación de su futuro. </w:t>
      </w:r>
    </w:p>
    <w:p>
      <w:pPr>
        <w:pStyle w:val="style0"/>
        <w:spacing w:after="0" w:before="0" w:line="240" w:lineRule="auto"/>
        <w:ind w:hanging="0" w:left="357" w:right="0"/>
        <w:jc w:val="both"/>
      </w:pPr>
      <w:r>
        <w:rPr>
          <w:rFonts w:ascii="Arial" w:cs="Arial" w:eastAsia="Times New Roman" w:hAnsi="Arial"/>
          <w:sz w:val="24"/>
          <w:szCs w:val="24"/>
          <w:lang w:eastAsia="es-VE" w:val="es-VE"/>
        </w:rPr>
      </w:r>
    </w:p>
    <w:p>
      <w:pPr>
        <w:pStyle w:val="style0"/>
        <w:spacing w:after="0" w:before="0" w:line="360" w:lineRule="auto"/>
      </w:pPr>
      <w:r>
        <w:rPr>
          <w:rFonts w:ascii="Arial" w:cs="Arial" w:eastAsia="Times New Roman" w:hAnsi="Arial"/>
          <w:sz w:val="24"/>
          <w:szCs w:val="24"/>
          <w:lang w:eastAsia="es-VE" w:val="es-VE"/>
        </w:rPr>
        <w:t xml:space="preserve">La formulación de la estrategia se desarrolla a través de una serie de fases: </w:t>
      </w:r>
    </w:p>
    <w:p>
      <w:pPr>
        <w:pStyle w:val="style0"/>
        <w:spacing w:after="0" w:before="0" w:line="360" w:lineRule="auto"/>
      </w:pPr>
      <w:r>
        <w:rPr>
          <w:rFonts w:ascii="Arial" w:cs="Arial" w:eastAsia="Times New Roman" w:hAnsi="Arial"/>
          <w:sz w:val="24"/>
          <w:szCs w:val="24"/>
          <w:lang w:eastAsia="es-VE" w:val="es-VE"/>
        </w:rPr>
      </w:r>
    </w:p>
    <w:p>
      <w:pPr>
        <w:pStyle w:val="style199"/>
        <w:numPr>
          <w:ilvl w:val="0"/>
          <w:numId w:val="30"/>
        </w:numPr>
        <w:spacing w:after="0" w:before="0" w:line="360" w:lineRule="auto"/>
      </w:pPr>
      <w:r>
        <w:rPr>
          <w:rFonts w:ascii="Arial" w:cs="Arial" w:eastAsia="Times New Roman" w:hAnsi="Arial"/>
          <w:sz w:val="24"/>
          <w:szCs w:val="24"/>
          <w:lang w:eastAsia="es-VE" w:val="es-VE"/>
        </w:rPr>
        <w:t xml:space="preserve">Análisis de la situación. </w:t>
      </w:r>
    </w:p>
    <w:p>
      <w:pPr>
        <w:pStyle w:val="style199"/>
        <w:numPr>
          <w:ilvl w:val="0"/>
          <w:numId w:val="30"/>
        </w:numPr>
        <w:spacing w:after="0" w:before="0" w:line="360" w:lineRule="auto"/>
      </w:pPr>
      <w:r>
        <w:rPr>
          <w:rFonts w:ascii="Arial" w:cs="Arial" w:eastAsia="Times New Roman" w:hAnsi="Arial"/>
          <w:sz w:val="24"/>
          <w:szCs w:val="24"/>
          <w:lang w:eastAsia="es-VE" w:val="es-VE"/>
        </w:rPr>
        <w:t xml:space="preserve">Establecimiento de los objetivos. </w:t>
      </w:r>
    </w:p>
    <w:p>
      <w:pPr>
        <w:pStyle w:val="style199"/>
        <w:numPr>
          <w:ilvl w:val="0"/>
          <w:numId w:val="30"/>
        </w:numPr>
        <w:spacing w:after="0" w:before="0" w:line="360" w:lineRule="auto"/>
      </w:pPr>
      <w:r>
        <w:rPr>
          <w:rFonts w:ascii="Arial" w:cs="Arial" w:eastAsia="Times New Roman" w:hAnsi="Arial"/>
          <w:sz w:val="24"/>
          <w:szCs w:val="24"/>
          <w:lang w:eastAsia="es-VE" w:val="es-VE"/>
        </w:rPr>
        <w:t xml:space="preserve">Definición de los planes de acción. </w:t>
      </w:r>
    </w:p>
    <w:p>
      <w:pPr>
        <w:pStyle w:val="style199"/>
        <w:numPr>
          <w:ilvl w:val="0"/>
          <w:numId w:val="30"/>
        </w:numPr>
        <w:spacing w:after="0" w:before="0" w:line="360" w:lineRule="auto"/>
      </w:pPr>
      <w:r>
        <w:rPr>
          <w:rFonts w:ascii="Arial" w:cs="Arial" w:eastAsia="Times New Roman" w:hAnsi="Arial"/>
          <w:sz w:val="24"/>
          <w:szCs w:val="24"/>
          <w:lang w:eastAsia="es-VE" w:val="es-VE"/>
        </w:rPr>
        <w:t>Programación de recursos y presupuestario</w:t>
      </w:r>
    </w:p>
    <w:p>
      <w:pPr>
        <w:pStyle w:val="style0"/>
        <w:spacing w:after="0" w:before="0" w:line="240" w:lineRule="auto"/>
        <w:jc w:val="both"/>
      </w:pPr>
      <w:r>
        <w:rPr>
          <w:rFonts w:ascii="Arial" w:cs="Arial" w:hAnsi="Arial"/>
          <w:color w:val="1F1A17"/>
          <w:sz w:val="24"/>
          <w:szCs w:val="24"/>
        </w:rPr>
      </w:r>
    </w:p>
    <w:p>
      <w:pPr>
        <w:pStyle w:val="style0"/>
        <w:spacing w:after="0" w:before="0" w:line="360" w:lineRule="auto"/>
        <w:jc w:val="both"/>
      </w:pPr>
      <w:r>
        <w:rPr>
          <w:rFonts w:ascii="Arial" w:cs="Arial" w:hAnsi="Arial"/>
          <w:color w:val="1F1A17"/>
          <w:sz w:val="24"/>
          <w:szCs w:val="24"/>
        </w:rPr>
        <w:tab/>
        <w:t>Seguidamente se abordara los aspectos  teóricos con respecto al área  financiera</w:t>
      </w:r>
    </w:p>
    <w:p>
      <w:pPr>
        <w:pStyle w:val="style0"/>
        <w:spacing w:after="280" w:before="280" w:line="360" w:lineRule="auto"/>
        <w:jc w:val="both"/>
      </w:pPr>
      <w:r>
        <w:rPr>
          <w:rFonts w:ascii="Arial" w:cs="Arial" w:hAnsi="Arial"/>
          <w:b/>
          <w:sz w:val="24"/>
        </w:rPr>
        <w:t>Gerencia Financiera:</w:t>
      </w:r>
    </w:p>
    <w:p>
      <w:pPr>
        <w:pStyle w:val="style0"/>
        <w:spacing w:after="280" w:before="280" w:line="360" w:lineRule="auto"/>
        <w:jc w:val="both"/>
      </w:pPr>
      <w:r>
        <w:rPr>
          <w:rFonts w:ascii="Arial" w:cs="Arial" w:hAnsi="Arial"/>
          <w:sz w:val="24"/>
        </w:rPr>
        <w:tab/>
        <w:t>La gerencia financiera es la encargada de generar  las estrategias para la distribución eficientemente del capital de trabajo  observando armonía  entre el riesgo  de la inversión y la rentabilidad a percibir. Del mismo modo esta gerencia debe generar las estrategias que garanticen la disponibilidad de efectivo</w:t>
      </w:r>
      <w:r>
        <w:rPr>
          <w:color w:val="000000"/>
        </w:rPr>
        <w:t xml:space="preserve"> </w:t>
      </w:r>
      <w:r>
        <w:rPr>
          <w:rFonts w:ascii="Arial" w:cs="Arial" w:hAnsi="Arial"/>
          <w:color w:val="000000"/>
          <w:sz w:val="24"/>
          <w:szCs w:val="24"/>
        </w:rPr>
        <w:t>ya sea a través de fuentes internas o externas.</w:t>
      </w:r>
    </w:p>
    <w:p>
      <w:pPr>
        <w:pStyle w:val="style0"/>
        <w:spacing w:after="280" w:before="280" w:line="360" w:lineRule="auto"/>
        <w:jc w:val="both"/>
      </w:pPr>
      <w:r>
        <w:rPr>
          <w:rFonts w:ascii="Arial" w:cs="Arial" w:hAnsi="Arial"/>
          <w:color w:val="000000"/>
          <w:sz w:val="24"/>
        </w:rPr>
        <w:tab/>
        <w:t>Con respecto a lo antes expuesto la  gerencia financiera busca maximizar el valor del capital, dar el uso eficiente a los recursos económicos,  mejorar el bienestar social de su Stake Holder en procura e impacto ambiental que se produzca en el ejercicio de su objeto social.</w:t>
      </w:r>
    </w:p>
    <w:p>
      <w:pPr>
        <w:pStyle w:val="style0"/>
        <w:spacing w:after="280" w:before="280" w:line="360" w:lineRule="auto"/>
        <w:jc w:val="both"/>
      </w:pPr>
      <w:r>
        <w:rPr>
          <w:rFonts w:ascii="Arial" w:cs="Arial" w:hAnsi="Arial"/>
          <w:color w:val="000000"/>
          <w:sz w:val="24"/>
        </w:rPr>
        <w:tab/>
      </w:r>
      <w:r>
        <w:rPr>
          <w:rFonts w:ascii="Arial" w:cs="Arial" w:hAnsi="Arial"/>
          <w:sz w:val="24"/>
          <w:szCs w:val="24"/>
        </w:rPr>
        <w:t>La gerencia financiera para Van (1993; 48) señala que se encarga de “ciertos aspectos específicos de una organización que varían de acuerdo con la naturaleza de cada una de sus funciones”. Las funciones más básicas que desarrolla la gerencia financiera son: la inversión, el financiamiento y las decisiones sobre los dividendos de una organización.</w:t>
      </w:r>
    </w:p>
    <w:p>
      <w:pPr>
        <w:pStyle w:val="style0"/>
        <w:spacing w:after="280" w:before="280" w:line="360" w:lineRule="auto"/>
        <w:ind w:firstLine="284" w:left="0" w:right="0"/>
        <w:jc w:val="both"/>
      </w:pPr>
      <w:r>
        <w:rPr>
          <w:rFonts w:ascii="Arial" w:cs="Arial" w:hAnsi="Arial"/>
          <w:sz w:val="24"/>
          <w:szCs w:val="24"/>
        </w:rPr>
        <w:tab/>
        <w:t>La gerencia financiera, se puede deducir que es una combinación de contabilidad y economía. Por tanto los gerentes financieros utilizan la información contable: balances generales, estados de resultados, flujos de caja, estado de fuentes y usos de efectivo con el fin de analizar, planear y distribuir recursos financieros para las organizaciones. De modo que, ellos emplean los principios económicos como guía para la toma de decisiones financieras que favorezcan los intereses de la organización. En otras palabras, las finanzas constituyen un área aplicada de la economía que se apoya en la información contable. Puesto que, las finanzas reflejan con bastante proximidad lo que agrega valor a una empresa, los gerentes financieros constituyen individuos importantes para la mayoría de los negocios.</w:t>
      </w:r>
    </w:p>
    <w:p>
      <w:pPr>
        <w:pStyle w:val="style0"/>
        <w:spacing w:after="280" w:before="280" w:line="360" w:lineRule="auto"/>
        <w:jc w:val="both"/>
      </w:pPr>
      <w:r>
        <w:rPr>
          <w:rFonts w:ascii="Arial" w:cs="Arial" w:hAnsi="Arial"/>
          <w:b/>
          <w:sz w:val="24"/>
        </w:rPr>
        <w:tab/>
      </w:r>
      <w:r>
        <w:rPr>
          <w:rFonts w:ascii="Arial" w:cs="Arial" w:hAnsi="Arial"/>
          <w:sz w:val="24"/>
          <w:szCs w:val="24"/>
        </w:rPr>
        <w:t>El objeto de la gerencia financiera es el manejo óptimo de los recursos humanos, financieros y físicos que hacen parte de las organizaciones a través de las áreas de contabilidad, presupuesto y tesorería, servicios administrativos y recursos humanos</w:t>
      </w:r>
    </w:p>
    <w:p>
      <w:pPr>
        <w:pStyle w:val="style0"/>
        <w:spacing w:after="280" w:before="280" w:line="360" w:lineRule="auto"/>
        <w:jc w:val="both"/>
      </w:pPr>
      <w:r>
        <w:rPr>
          <w:rFonts w:ascii="Arial" w:cs="Arial" w:hAnsi="Arial"/>
          <w:sz w:val="24"/>
          <w:szCs w:val="24"/>
        </w:rPr>
        <w:tab/>
        <w:t>Por ende, esta gerencia se encuentra estrechamente relacionada con cada una de estas áreas. .</w:t>
      </w:r>
    </w:p>
    <w:p>
      <w:pPr>
        <w:pStyle w:val="style199"/>
        <w:numPr>
          <w:ilvl w:val="0"/>
          <w:numId w:val="25"/>
        </w:numPr>
        <w:spacing w:after="0" w:before="0" w:line="360" w:lineRule="auto"/>
        <w:jc w:val="both"/>
      </w:pPr>
      <w:r>
        <w:rPr>
          <w:rFonts w:ascii="Arial" w:cs="Arial" w:hAnsi="Arial"/>
          <w:b/>
          <w:sz w:val="24"/>
          <w:szCs w:val="24"/>
        </w:rPr>
        <w:t>Contabilidad</w:t>
      </w:r>
      <w:r>
        <w:rPr>
          <w:rFonts w:ascii="Arial" w:cs="Arial" w:hAnsi="Arial"/>
          <w:sz w:val="24"/>
          <w:szCs w:val="24"/>
        </w:rPr>
        <w:t>: es la encargada del manejo de los estados financieros.</w:t>
      </w:r>
    </w:p>
    <w:p>
      <w:pPr>
        <w:pStyle w:val="style199"/>
        <w:numPr>
          <w:ilvl w:val="0"/>
          <w:numId w:val="25"/>
        </w:numPr>
        <w:spacing w:after="200" w:before="0" w:line="360" w:lineRule="auto"/>
        <w:jc w:val="both"/>
      </w:pPr>
      <w:r>
        <w:rPr>
          <w:rFonts w:ascii="Arial" w:cs="Arial" w:hAnsi="Arial"/>
          <w:b/>
          <w:sz w:val="24"/>
          <w:szCs w:val="24"/>
        </w:rPr>
        <w:t>Presupuesto</w:t>
      </w:r>
      <w:r>
        <w:rPr>
          <w:rFonts w:ascii="Arial" w:cs="Arial" w:hAnsi="Arial"/>
          <w:sz w:val="24"/>
          <w:szCs w:val="24"/>
        </w:rPr>
        <w:t>: se encarga de administrar el movimiento de los recursos financieros que ingresan y egresan.</w:t>
      </w:r>
    </w:p>
    <w:p>
      <w:pPr>
        <w:pStyle w:val="style199"/>
        <w:numPr>
          <w:ilvl w:val="0"/>
          <w:numId w:val="25"/>
        </w:numPr>
        <w:spacing w:after="200" w:before="0" w:line="360" w:lineRule="auto"/>
        <w:jc w:val="both"/>
      </w:pPr>
      <w:r>
        <w:rPr>
          <w:rFonts w:ascii="Arial" w:cs="Arial" w:eastAsia="Arial" w:hAnsi="Arial"/>
          <w:sz w:val="24"/>
          <w:szCs w:val="24"/>
        </w:rPr>
        <w:t xml:space="preserve"> </w:t>
      </w:r>
      <w:r>
        <w:rPr>
          <w:rFonts w:ascii="Arial" w:cs="Arial" w:hAnsi="Arial"/>
          <w:b/>
          <w:sz w:val="24"/>
          <w:szCs w:val="24"/>
        </w:rPr>
        <w:t>Servicios Administrativos</w:t>
      </w:r>
      <w:r>
        <w:rPr>
          <w:rFonts w:ascii="Arial" w:cs="Arial" w:hAnsi="Arial"/>
          <w:sz w:val="24"/>
          <w:szCs w:val="24"/>
        </w:rPr>
        <w:t>: se dedica a la coordinación y planeación de bienes y servicios necesarios para que las entidades funcionen, de manera tal que estos recursos estén disponibles en el momento requerido por la organización.</w:t>
      </w:r>
    </w:p>
    <w:p>
      <w:pPr>
        <w:pStyle w:val="style199"/>
        <w:numPr>
          <w:ilvl w:val="0"/>
          <w:numId w:val="25"/>
        </w:numPr>
        <w:spacing w:after="280" w:before="0" w:line="360" w:lineRule="auto"/>
        <w:jc w:val="both"/>
      </w:pPr>
      <w:r>
        <w:rPr>
          <w:rFonts w:ascii="Arial" w:cs="Arial" w:hAnsi="Arial"/>
          <w:b/>
          <w:sz w:val="24"/>
          <w:szCs w:val="24"/>
        </w:rPr>
        <w:t>Recursos Humanos</w:t>
      </w:r>
      <w:r>
        <w:rPr>
          <w:rFonts w:ascii="Arial" w:cs="Arial" w:hAnsi="Arial"/>
          <w:sz w:val="24"/>
          <w:szCs w:val="24"/>
        </w:rPr>
        <w:t xml:space="preserve">: se encarga de diseñar, desarrollar e implementar estrategias que permitan a los empleados alcanzar objetivos mediante el trabajo profesional y ético, desarrollado en un entorno de aprendizaje, cumplimiento de metas y bienestar. </w:t>
      </w:r>
    </w:p>
    <w:p>
      <w:pPr>
        <w:pStyle w:val="style0"/>
        <w:spacing w:after="280" w:before="280" w:line="360" w:lineRule="auto"/>
        <w:jc w:val="both"/>
      </w:pPr>
      <w:r>
        <w:rPr>
          <w:rFonts w:ascii="Arial" w:cs="Arial" w:eastAsia="Arial" w:hAnsi="Arial"/>
          <w:b/>
          <w:color w:val="000000"/>
          <w:sz w:val="24"/>
          <w:szCs w:val="24"/>
        </w:rPr>
        <w:t xml:space="preserve"> </w:t>
      </w:r>
      <w:r>
        <w:rPr>
          <w:rFonts w:ascii="Arial" w:cs="Arial" w:hAnsi="Arial"/>
          <w:b/>
          <w:color w:val="000000"/>
          <w:sz w:val="24"/>
          <w:szCs w:val="24"/>
        </w:rPr>
        <w:t xml:space="preserve">Funciones de la Gerencia Financiera </w:t>
      </w:r>
    </w:p>
    <w:p>
      <w:pPr>
        <w:pStyle w:val="style0"/>
        <w:spacing w:after="280" w:before="280" w:line="360" w:lineRule="auto"/>
        <w:jc w:val="both"/>
      </w:pPr>
      <w:r>
        <w:rPr>
          <w:rFonts w:ascii="Arial" w:cs="Arial" w:hAnsi="Arial"/>
          <w:sz w:val="24"/>
          <w:szCs w:val="24"/>
        </w:rPr>
        <w:tab/>
        <w:t xml:space="preserve">La gerencia financiera, se puntualiza a través de las funciones y responsabilidades de los gerentes financieros. Aunque, los detalles específicos varían entre las organizaciones, algunas tareas financieras son básicas. </w:t>
      </w:r>
    </w:p>
    <w:p>
      <w:pPr>
        <w:pStyle w:val="style0"/>
        <w:spacing w:after="280" w:before="280" w:line="360" w:lineRule="auto"/>
        <w:jc w:val="both"/>
      </w:pPr>
      <w:r>
        <w:rPr>
          <w:rFonts w:ascii="Arial" w:cs="Arial" w:hAnsi="Arial"/>
          <w:sz w:val="24"/>
          <w:szCs w:val="24"/>
        </w:rPr>
        <w:tab/>
        <w:t>Los fondos se obtienen de fuentes financieras externas y se distribuyen entre diferentes aplicaciones; en las operaciones de una organización debe medirse y controlarse el flujo de fondos. Los beneficios que obtienen las fuentes de financiamientos asumen la forma de rendimiento, reembolsos, productos y servicios. Estas funciones financieras básica deben efectuarse en todo tipo de organización desde empresas privadas, agencias de gobiernos, grupos de asistencia, hasta otras organizaciones sin fines de lucros</w:t>
      </w:r>
    </w:p>
    <w:p>
      <w:pPr>
        <w:pStyle w:val="style0"/>
        <w:spacing w:after="280" w:before="280" w:line="360" w:lineRule="auto"/>
        <w:jc w:val="both"/>
      </w:pPr>
      <w:r>
        <w:rPr>
          <w:rFonts w:ascii="Arial" w:cs="Arial" w:hAnsi="Arial"/>
          <w:sz w:val="24"/>
          <w:szCs w:val="24"/>
        </w:rPr>
        <w:tab/>
        <w:t>Las principales funciones de la gerencia financiera son: planear, adquirir y utilizar los fondos de tal forma que se incremente al máximo la eficacia de las operaciones de la organización; esto requiere del conocimiento de los mercados financieros a partir de los cuales se obtienen los fondos, y de la forma cómo se toman las decisiones sólidas de inversión y se estimulan las operaciones eficaces.</w:t>
      </w:r>
    </w:p>
    <w:p>
      <w:pPr>
        <w:pStyle w:val="style0"/>
        <w:pageBreakBefore/>
        <w:spacing w:after="0" w:before="0" w:line="360" w:lineRule="auto"/>
        <w:jc w:val="both"/>
      </w:pPr>
      <w:r>
        <w:rPr>
          <w:rFonts w:ascii="Arial" w:cs="Arial" w:hAnsi="Arial"/>
          <w:sz w:val="24"/>
          <w:szCs w:val="24"/>
        </w:rPr>
        <w:t>A</w:t>
        <w:pict>
          <v:roundrect id="shape_0" style="position:absolute;margin-left:147.9pt;margin-top:43.2pt;width:122.85pt;height:31.05pt">
            <v:wrap v:type="square"/>
            <v:fill color="white" color2="black" detectmouseclick="t" type="solid"/>
            <v:stroke color="black" joinstyle="miter" weight="9360"/>
          </v:roundrect>
        </w:pict>
      </w:r>
      <w:r>
        <w:rPr>
          <w:rFonts w:ascii="Arial" w:cs="Arial" w:hAnsi="Arial"/>
          <w:sz w:val="24"/>
          <w:szCs w:val="24"/>
        </w:rPr>
        <w:t xml:space="preserve"> continuación se exponen, mediante la figura Nº 4 las Funciones de la Gerencia Financiera</w:t>
      </w:r>
    </w:p>
    <w:p>
      <w:pPr>
        <w:pStyle w:val="style0"/>
        <w:spacing w:after="280" w:before="280" w:line="360" w:lineRule="auto"/>
        <w:jc w:val="both"/>
      </w:pPr>
      <w:r>
        <w:rPr>
          <w:rFonts w:ascii="Arial" w:cs="Arial" w:hAnsi="Arial"/>
          <w:sz w:val="24"/>
          <w:szCs w:val="24"/>
          <w:lang w:eastAsia="es-VE" w:val="es-VE"/>
        </w:rPr>
        <w:pict>
          <v:roundrect id="shape_0" style="position:absolute;margin-left:278.35pt;margin-top:41.3pt;width:139.85pt;height:29.7pt">
            <v:wrap v:type="square"/>
            <v:fill color="white" color2="black" detectmouseclick="t" type="solid"/>
            <v:stroke color="black" joinstyle="miter" weight="9360"/>
          </v:roundrect>
        </w:pict>
        <w:pict>
          <v:roundrect id="shape_0" style="position:absolute;margin-left:-4.1pt;margin-top:43.15pt;width:150.55pt;height:28.7pt">
            <v:wrap v:type="square"/>
            <v:fill color="white" color2="black" detectmouseclick="t" type="solid"/>
            <v:stroke color="black" joinstyle="miter" weight="9360"/>
          </v:roundrect>
        </w:pict>
        <w:pict>
          <v:shapetype id="shapetype_91" coordsize="21600,21600" o:spt="91" adj="9450,5400,5400,5400" path="m,21600l0@15qy@17@18l@6@5l@6,l21600@0l@6@14l@6@13l@12@13qx@19@20l@2,21600xe">
            <v:stroke joinstyle="miter"/>
            <v:formulas>
              <v:f eqn="val #2"/>
              <v:f eqn="prod @0 2 1"/>
              <v:f eqn="val #3"/>
              <v:f eqn="val #1"/>
              <v:f eqn="prod @2 1 2"/>
              <v:f eqn="sum @0 0 @4"/>
              <v:f eqn="sum width 0 @3"/>
              <v:f eqn="sum height 0 @5"/>
              <v:f eqn="min @6 @7"/>
              <v:f eqn="val #0"/>
              <v:f eqn="sum @9 0 @2"/>
              <v:f eqn="max @10 0"/>
              <v:f eqn="sum @2 @11 0"/>
              <v:f eqn="sum @5 @2 0"/>
              <v:f eqn="sum @13 @5 0"/>
              <v:f eqn="sum @5 @9 0"/>
              <v:f eqn="sum @13 @11 0"/>
              <v:f eqn="sum @9 0 0"/>
              <v:f eqn="sum 0 @15 @9"/>
              <v:f eqn="sum 0 @12 @11"/>
              <v:f eqn="sum @11 @13 0"/>
            </v:formulas>
            <v:path gradientshapeok="t" o:connecttype="rect" textboxrect="0,0,21600,21600"/>
            <v:handles>
              <v:h position="@2,21600"/>
              <v:h position="21600,@14"/>
              <v:h position="@6,0"/>
              <v:h position="@9,0"/>
            </v:handles>
          </v:shapetype>
          <v:shape id="shape_0" style="position:absolute;margin-left:67.95pt;margin-top:27.3pt;width:78.5pt;height:13.05pt" type="shapetype_91">
            <v:wrap v:type="none"/>
            <v:fill color="white" color2="black" detectmouseclick="t" type="solid"/>
            <v:stroke color="black" joinstyle="miter" weight="9360"/>
          </v:shape>
        </w:pict>
        <w:pict>
          <v:shape id="shape_0" style="position:absolute;margin-left:223.8pt;margin-top:-18pt;width:18.3pt;height:85.6pt" type="shapetype_91">
            <v:wrap v:type="none"/>
            <v:fill color="white" color2="black" detectmouseclick="t" type="solid"/>
            <v:stroke color="black" joinstyle="miter" weight="9360"/>
          </v:shape>
        </w:pict>
      </w:r>
    </w:p>
    <w:p>
      <w:pPr>
        <w:pStyle w:val="style0"/>
        <w:spacing w:after="280" w:before="280" w:line="360" w:lineRule="auto"/>
        <w:ind w:hanging="0" w:left="357" w:right="0"/>
        <w:jc w:val="both"/>
      </w:pPr>
      <w:r>
        <w:rPr>
          <w:rFonts w:ascii="Arial" w:cs="Arial" w:eastAsia="Arial" w:hAnsi="Arial"/>
          <w:sz w:val="24"/>
          <w:szCs w:val="24"/>
        </w:rPr>
        <w:t xml:space="preserve"> </w:t>
        <w:pict>
          <v:shapetype id="shapetype_76" coordsize="21600,21600" o:spt="76" adj="4860,4860,4860" path="m,10800l@5@6l@5@9l@9@9l@9@5l@6@5l10800,l@7@5l@10@5l@10@9l@11@9l@11@6l21600,10800l@11@7l@11@10l@10@10l@10@12l@7@12l10800,21600l@6@12l@9@12l@9@10l@5@10l@5@7xe">
            <v:stroke joinstyle="miter"/>
            <v:formulas>
              <v:f eqn="val #1"/>
              <v:f eqn="prod @0 2 1"/>
              <v:f eqn="val #2"/>
              <v:f eqn="sum 21600 0 @1"/>
              <v:f eqn="prod @3 1 2"/>
              <v:f eqn="val #0"/>
              <v:f eqn="sum 10800 0 @0"/>
              <v:f eqn="sum 10800 @0 0"/>
              <v:f eqn="prod 1 @2 2"/>
              <v:f eqn="sum 10800 0 @8"/>
              <v:f eqn="sum 10800 @8 0"/>
              <v:f eqn="sum width 0 @5"/>
              <v:f eqn="sum height 0 @5"/>
              <v:f eqn="prod @8 @5 @0"/>
              <v:f eqn="sum width 0 @13"/>
            </v:formulas>
            <v:path gradientshapeok="t" o:connecttype="rect" textboxrect="@13,@9,@14,@10"/>
            <v:handles>
              <v:h position="@9,@5"/>
              <v:h position="@6,0"/>
              <v:h position="21600,@5"/>
            </v:handles>
          </v:shapetype>
          <v:shape id="shape_0" style="position:absolute;margin-left:152.1pt;margin-top:3.8pt;width:104.75pt;height:31.55pt" type="shapetype_76">
            <v:wrap v:type="none"/>
            <v:fill color="white" color2="black" detectmouseclick="t" type="solid"/>
            <v:stroke color="black" joinstyle="miter" weight="9360"/>
          </v:shape>
        </w:pict>
        <w:pict>
          <v:shape id="shape_0" style="position:absolute;margin-left:243.75pt;margin-top:4.3pt;width:63.4pt;height:28.8pt" type="shapetype_91">
            <v:wrap v:type="none"/>
            <v:fill color="white" color2="black" detectmouseclick="t" type="solid"/>
            <v:stroke color="black" joinstyle="miter" weight="9360"/>
          </v:shape>
        </w:pict>
        <w:pict>
          <v:shape id="shape_0" style="position:absolute;margin-left:84.95pt;margin-top:-14.15pt;width:38.55pt;height:41.35pt" type="shapetype_91">
            <v:wrap v:type="none"/>
            <v:fill color="white" color2="black" detectmouseclick="t" type="solid"/>
            <v:stroke color="black" joinstyle="miter" weight="9360"/>
          </v:shape>
        </w:pict>
      </w:r>
    </w:p>
    <w:p>
      <w:pPr>
        <w:pStyle w:val="style0"/>
        <w:spacing w:after="280" w:before="280" w:line="360" w:lineRule="auto"/>
        <w:ind w:hanging="0" w:left="357" w:right="0"/>
        <w:jc w:val="both"/>
      </w:pPr>
      <w:r>
        <w:rPr>
          <w:rFonts w:ascii="Arial" w:cs="Arial" w:hAnsi="Arial"/>
          <w:sz w:val="24"/>
          <w:szCs w:val="24"/>
          <w:lang w:eastAsia="es-VE" w:val="es-VE"/>
        </w:rPr>
        <w:pict>
          <v:roundrect id="shape_0" style="position:absolute;margin-left:135.9pt;margin-top:9.25pt;width:160.9pt;height:32.1pt">
            <v:wrap v:type="square"/>
            <v:fill color="white" color2="black" detectmouseclick="t" type="solid"/>
            <v:stroke color="black" joinstyle="miter" weight="9360"/>
          </v:roundrect>
        </w:pict>
      </w:r>
    </w:p>
    <w:p>
      <w:pPr>
        <w:pStyle w:val="style0"/>
        <w:spacing w:after="280" w:before="280" w:line="360" w:lineRule="auto"/>
        <w:ind w:hanging="0" w:left="357" w:right="0"/>
        <w:jc w:val="center"/>
      </w:pPr>
      <w:r>
        <w:rPr>
          <w:rFonts w:ascii="Arial" w:cs="Arial" w:hAnsi="Arial"/>
          <w:sz w:val="24"/>
          <w:szCs w:val="24"/>
        </w:rPr>
      </w:r>
    </w:p>
    <w:p>
      <w:pPr>
        <w:pStyle w:val="style0"/>
        <w:spacing w:after="280" w:before="280" w:line="360" w:lineRule="auto"/>
        <w:ind w:hanging="0" w:left="357" w:right="0"/>
        <w:jc w:val="center"/>
      </w:pPr>
      <w:r>
        <w:rPr>
          <w:rFonts w:ascii="Arial" w:cs="Arial" w:hAnsi="Arial"/>
          <w:sz w:val="20"/>
          <w:szCs w:val="24"/>
        </w:rPr>
        <w:t>Figura 4. Fuente:http://www.mailxmail.com/curso/empresa/gestionempresas/capitulo11.ht 3.1.4.</w:t>
      </w:r>
    </w:p>
    <w:p>
      <w:pPr>
        <w:pStyle w:val="style0"/>
        <w:spacing w:after="280" w:before="280" w:line="360" w:lineRule="auto"/>
        <w:ind w:hanging="0" w:left="357" w:right="0"/>
        <w:jc w:val="center"/>
      </w:pPr>
      <w:r>
        <w:rPr>
          <w:rFonts w:ascii="Arial" w:cs="Arial" w:hAnsi="Arial"/>
          <w:sz w:val="20"/>
          <w:szCs w:val="24"/>
        </w:rPr>
      </w:r>
    </w:p>
    <w:p>
      <w:pPr>
        <w:pStyle w:val="style0"/>
        <w:spacing w:after="280" w:before="280" w:line="360" w:lineRule="auto"/>
        <w:jc w:val="both"/>
      </w:pPr>
      <w:r>
        <w:rPr>
          <w:rFonts w:ascii="Arial" w:cs="Arial" w:hAnsi="Arial"/>
          <w:b/>
          <w:sz w:val="24"/>
          <w:szCs w:val="24"/>
        </w:rPr>
        <w:t>Los Objetivos de la Gerencia Financiera</w:t>
      </w:r>
      <w:r>
        <w:rPr>
          <w:rFonts w:ascii="Arial" w:cs="Arial" w:hAnsi="Arial"/>
          <w:sz w:val="24"/>
          <w:szCs w:val="24"/>
        </w:rPr>
        <w:t xml:space="preserve"> </w:t>
      </w:r>
    </w:p>
    <w:p>
      <w:pPr>
        <w:pStyle w:val="style0"/>
        <w:spacing w:after="280" w:before="280" w:line="360" w:lineRule="auto"/>
        <w:jc w:val="both"/>
      </w:pPr>
      <w:r>
        <w:rPr>
          <w:rFonts w:ascii="Arial" w:cs="Arial" w:hAnsi="Arial"/>
          <w:sz w:val="24"/>
          <w:szCs w:val="24"/>
        </w:rPr>
        <w:tab/>
        <w:t xml:space="preserve">La gerencia financiera debe cimentarse en decisiones que contribuyan a la sincronización de los flujos monetarios, de tal forma que la integración de los recaudos y de las disponibilidades iniciales de efectico permite el cumplimiento oportuno de los compromisos de deuda, como requisito que favorece al mantenimiento de buenas relaciones laborales, comerciales y financieras. Además, la gestión debe propender por el uso eficiente de recursos, para evitar las situaciones de saturación o la ausencia de los mismos, toda vez que por ambos caminos se coartan las metas de rentabilidad. </w:t>
      </w:r>
    </w:p>
    <w:p>
      <w:pPr>
        <w:pStyle w:val="style0"/>
        <w:spacing w:after="280" w:before="280" w:line="360" w:lineRule="auto"/>
        <w:jc w:val="both"/>
      </w:pPr>
      <w:r>
        <w:rPr>
          <w:rFonts w:ascii="Arial" w:cs="Arial" w:hAnsi="Arial"/>
          <w:sz w:val="24"/>
          <w:szCs w:val="24"/>
        </w:rPr>
        <w:tab/>
        <w:t xml:space="preserve">En relación con el criterio de Ortiz (2005), a cada tipo de inversión le corresponden fuentes especificas de financiamiento, de conformidad con el tiempo previsto para recuperar los fondos invertidos, dicha gerencia aborda el crucial objetivo de la destinación apropiada de los fondos suministrados por el sistema financiero y los inversionistas. </w:t>
      </w:r>
    </w:p>
    <w:p>
      <w:pPr>
        <w:pStyle w:val="style0"/>
        <w:spacing w:after="280" w:before="280" w:line="360" w:lineRule="auto"/>
        <w:jc w:val="both"/>
      </w:pPr>
      <w:r>
        <w:rPr>
          <w:rFonts w:ascii="Arial" w:cs="Arial" w:hAnsi="Arial"/>
          <w:sz w:val="24"/>
          <w:szCs w:val="24"/>
        </w:rPr>
        <w:tab/>
        <w:t xml:space="preserve">La gerencia financiera mediante sus aportes a la minimización de costos, empleo efectivo de los recursos colocados a disposición de la gerencia general y la generación de fondos vitales para el desempeño empresarial, favorece a la recuperación de la inversión, por cuanto contribuye al alcance de resultados positivos en sus dos componentes: margen de utilidad y movilización o rotación de fondos. Mientras el margen de utilidad establece cuánto se gana por cada bolívar  vendido y permite evaluar la eficiencia en la cobertura de los costos, la rotación de fondos determina cuánto se vende por cada bolívar invertido y facilita medir la eficiencia en la utilización de los recursos invertidos. </w:t>
      </w:r>
    </w:p>
    <w:p>
      <w:pPr>
        <w:pStyle w:val="style0"/>
        <w:spacing w:after="280" w:before="280" w:line="360" w:lineRule="auto"/>
        <w:jc w:val="both"/>
      </w:pPr>
      <w:r>
        <w:rPr>
          <w:rFonts w:ascii="Arial" w:cs="Arial" w:hAnsi="Arial"/>
          <w:sz w:val="24"/>
          <w:szCs w:val="24"/>
        </w:rPr>
        <w:tab/>
        <w:t xml:space="preserve">Como consecuencia del análisis riguroso de los aspectos controlables y no controlables por la dirección, la gerencia financiera aborda, desde las perspectivas matemáticas y conceptuales, la adopción de instrumentos de cobertura para enfrentar los riesgos sistémicos no controlados por la gerencia general y diferenciada o factible de controlar mediante la adopción de estrategias financieras. Los principales objetivos de la gestión financiera se representan gráficamente en la figura Nº 4 </w:t>
      </w:r>
    </w:p>
    <w:p>
      <w:pPr>
        <w:pStyle w:val="style0"/>
        <w:spacing w:after="280" w:before="280" w:line="360" w:lineRule="auto"/>
        <w:ind w:hanging="0" w:left="357" w:right="0"/>
        <w:jc w:val="center"/>
      </w:pPr>
      <w:r>
        <w:rPr>
          <w:color w:val="000000"/>
          <w:lang w:eastAsia="es-VE" w:val="es-VE"/>
        </w:rPr>
        <w:drawing>
          <wp:inline distB="0" distL="0" distR="0" distT="0">
            <wp:extent cx="3571240" cy="4134485"/>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13"/>
                    <a:srcRect/>
                    <a:stretch>
                      <a:fillRect/>
                    </a:stretch>
                  </pic:blipFill>
                  <pic:spPr bwMode="auto">
                    <a:xfrm>
                      <a:off x="0" y="0"/>
                      <a:ext cx="3571240" cy="4134485"/>
                    </a:xfrm>
                    <a:prstGeom prst="rect">
                      <a:avLst/>
                    </a:prstGeom>
                    <a:noFill/>
                    <a:ln w="9525">
                      <a:noFill/>
                      <a:miter lim="800000"/>
                      <a:headEnd/>
                      <a:tailEnd/>
                    </a:ln>
                  </pic:spPr>
                </pic:pic>
              </a:graphicData>
            </a:graphic>
          </wp:inline>
        </w:drawing>
      </w:r>
    </w:p>
    <w:p>
      <w:pPr>
        <w:pStyle w:val="style0"/>
        <w:spacing w:after="280" w:before="280" w:line="360" w:lineRule="auto"/>
        <w:ind w:hanging="0" w:left="357" w:right="0"/>
      </w:pPr>
      <w:r>
        <w:rPr>
          <w:rFonts w:ascii="Arial" w:cs="Arial" w:hAnsi="Arial"/>
          <w:sz w:val="24"/>
          <w:szCs w:val="24"/>
        </w:rPr>
        <w:t xml:space="preserve">Figura Nº 4. Objetivos de la Gerencia Financiera. Fuente: Ortiz (2005 pág. 13) </w:t>
      </w:r>
    </w:p>
    <w:p>
      <w:pPr>
        <w:pStyle w:val="style0"/>
        <w:spacing w:after="280" w:before="280" w:line="360" w:lineRule="auto"/>
        <w:jc w:val="both"/>
      </w:pPr>
      <w:r>
        <w:rPr>
          <w:rFonts w:ascii="Arial" w:cs="Arial" w:hAnsi="Arial"/>
          <w:b/>
          <w:sz w:val="24"/>
          <w:szCs w:val="24"/>
        </w:rPr>
        <w:t>Estrategias de Comercialización</w:t>
      </w:r>
      <w:r>
        <w:rPr>
          <w:rFonts w:ascii="Arial" w:cs="Arial" w:hAnsi="Arial"/>
          <w:sz w:val="24"/>
          <w:szCs w:val="24"/>
        </w:rPr>
        <w:t>:</w:t>
      </w:r>
    </w:p>
    <w:p>
      <w:pPr>
        <w:pStyle w:val="style0"/>
        <w:spacing w:after="280" w:before="280" w:line="360" w:lineRule="auto"/>
        <w:ind w:hanging="0" w:left="357" w:right="0"/>
        <w:jc w:val="both"/>
      </w:pPr>
      <w:r>
        <w:rPr>
          <w:rFonts w:ascii="Arial" w:cs="Arial" w:hAnsi="Arial"/>
          <w:bCs/>
          <w:color w:val="000000"/>
          <w:sz w:val="24"/>
          <w:szCs w:val="24"/>
          <w:shd w:fill="FFFFFF" w:val="clear"/>
        </w:rPr>
        <w:t>Antes de comenzar a desarrollar todo lo relacionado con las Estrategias de Comercialización se hace necesario conceptualizar o definir  que es Comercialización</w:t>
      </w:r>
    </w:p>
    <w:p>
      <w:pPr>
        <w:pStyle w:val="style0"/>
        <w:shd w:fill="FFFFFF" w:val="clear"/>
        <w:spacing w:after="0" w:before="0" w:line="360" w:lineRule="auto"/>
        <w:jc w:val="both"/>
      </w:pPr>
      <w:r>
        <w:rPr>
          <w:rFonts w:ascii="Arial" w:cs="Arial" w:eastAsia="Times New Roman" w:hAnsi="Arial"/>
          <w:color w:val="000000"/>
          <w:sz w:val="24"/>
          <w:szCs w:val="24"/>
          <w:lang w:eastAsia="es-ES"/>
        </w:rPr>
        <w:tab/>
        <w:t xml:space="preserve">Con respecto a  la Comercialización </w:t>
      </w:r>
      <w:hyperlink r:id="rId14">
        <w:r>
          <w:rPr>
            <w:rStyle w:val="style148"/>
            <w:rStyle w:val="style148"/>
            <w:rFonts w:ascii="Arial" w:hAnsi="Arial"/>
            <w:sz w:val="24"/>
            <w:szCs w:val="24"/>
            <w:u w:val="none"/>
            <w:shd w:fill="FFFFFF" w:val="clear"/>
          </w:rPr>
          <w:t>Rivadeneira</w:t>
        </w:r>
      </w:hyperlink>
      <w:r>
        <w:rPr>
          <w:rFonts w:ascii="Arial" w:cs="Arial" w:hAnsi="Arial"/>
          <w:sz w:val="24"/>
          <w:szCs w:val="24"/>
        </w:rPr>
        <w:t xml:space="preserve"> (2012) </w:t>
      </w:r>
      <w:r>
        <w:rPr>
          <w:rFonts w:ascii="Arial" w:cs="Arial" w:eastAsia="Times New Roman" w:hAnsi="Arial"/>
          <w:color w:val="000000"/>
          <w:sz w:val="24"/>
          <w:szCs w:val="24"/>
          <w:lang w:eastAsia="es-ES"/>
        </w:rPr>
        <w:t xml:space="preserve"> lo define como  el conjunto de las acciones encaminadas a comercializar productos, bienes o servicios. Estas acciones o actividades son realizadas por organizaciones, empresas e incluso grupos sociales.</w:t>
      </w:r>
    </w:p>
    <w:p>
      <w:pPr>
        <w:pStyle w:val="style0"/>
        <w:shd w:fill="FFFFFF" w:val="clear"/>
        <w:spacing w:after="0" w:before="0" w:line="360" w:lineRule="auto"/>
        <w:jc w:val="both"/>
      </w:pPr>
      <w:r>
        <w:rPr>
          <w:rFonts w:ascii="Arial" w:cs="Arial" w:eastAsia="Arial" w:hAnsi="Arial"/>
          <w:color w:val="000000"/>
          <w:sz w:val="24"/>
          <w:szCs w:val="24"/>
          <w:lang w:eastAsia="es-ES"/>
        </w:rPr>
        <w:t xml:space="preserve"> </w:t>
      </w:r>
    </w:p>
    <w:p>
      <w:pPr>
        <w:pStyle w:val="style0"/>
        <w:shd w:fill="FFFFFF" w:val="clear"/>
        <w:spacing w:after="0" w:before="0" w:line="360" w:lineRule="auto"/>
        <w:jc w:val="both"/>
      </w:pPr>
      <w:r>
        <w:rPr>
          <w:rFonts w:ascii="Arial" w:cs="Arial" w:eastAsia="Times New Roman" w:hAnsi="Arial"/>
          <w:color w:val="000000"/>
          <w:sz w:val="24"/>
          <w:szCs w:val="24"/>
          <w:lang w:eastAsia="es-ES"/>
        </w:rPr>
        <w:tab/>
        <w:t xml:space="preserve">Se da en dos planos: Micro y Macro y por lo tanto se generan dos definiciones de </w:t>
      </w:r>
      <w:r>
        <w:rPr>
          <w:rFonts w:ascii="Arial" w:cs="Arial" w:eastAsia="Times New Roman" w:hAnsi="Arial"/>
          <w:b/>
          <w:bCs/>
          <w:color w:val="000000"/>
          <w:sz w:val="24"/>
          <w:szCs w:val="24"/>
          <w:lang w:eastAsia="es-ES"/>
        </w:rPr>
        <w:t>Microcomercialización y Macrocomercialización.</w:t>
      </w:r>
    </w:p>
    <w:p>
      <w:pPr>
        <w:pStyle w:val="style0"/>
        <w:shd w:fill="FFFFFF" w:val="clear"/>
        <w:spacing w:after="0" w:before="0" w:line="360" w:lineRule="auto"/>
        <w:jc w:val="both"/>
      </w:pPr>
      <w:r>
        <w:rPr>
          <w:rFonts w:ascii="Arial" w:cs="Arial" w:eastAsia="Times New Roman" w:hAnsi="Arial"/>
          <w:color w:val="000000"/>
          <w:sz w:val="24"/>
          <w:szCs w:val="24"/>
          <w:lang w:eastAsia="es-ES"/>
        </w:rPr>
      </w:r>
    </w:p>
    <w:p>
      <w:pPr>
        <w:pStyle w:val="style0"/>
        <w:numPr>
          <w:ilvl w:val="0"/>
          <w:numId w:val="49"/>
        </w:numPr>
        <w:shd w:fill="FFFFFF" w:val="clear"/>
        <w:spacing w:after="0" w:before="0" w:line="360" w:lineRule="auto"/>
        <w:ind w:hanging="360" w:left="0" w:right="0"/>
        <w:jc w:val="both"/>
      </w:pPr>
      <w:r>
        <w:rPr>
          <w:rFonts w:ascii="Arial" w:cs="Arial" w:eastAsia="Times New Roman" w:hAnsi="Arial"/>
          <w:b/>
          <w:color w:val="000000"/>
          <w:sz w:val="24"/>
          <w:szCs w:val="24"/>
          <w:lang w:eastAsia="es-ES"/>
        </w:rPr>
        <w:t>Microcomercializacion</w:t>
      </w:r>
      <w:r>
        <w:rPr>
          <w:rFonts w:ascii="Arial" w:cs="Arial" w:eastAsia="Times New Roman" w:hAnsi="Arial"/>
          <w:color w:val="000000"/>
          <w:sz w:val="24"/>
          <w:szCs w:val="24"/>
          <w:lang w:eastAsia="es-ES"/>
        </w:rPr>
        <w:t>: Observa a los clientes y a las actividades de las organizaciones individuales que los sirven. Es a su vez la ejecución de actividades que tratan de cumplir los objetivos de una organización previendo las necesidades del cliente y estableciendo entre el productor y el cliente una corriente de bienes y servicios que satisfacen las necesidades.</w:t>
      </w:r>
    </w:p>
    <w:p>
      <w:pPr>
        <w:pStyle w:val="style0"/>
        <w:shd w:fill="FFFFFF" w:val="clear"/>
        <w:spacing w:after="0" w:before="0" w:line="360" w:lineRule="auto"/>
        <w:jc w:val="both"/>
      </w:pPr>
      <w:r>
        <w:rPr>
          <w:rFonts w:ascii="Arial" w:cs="Arial" w:eastAsia="Times New Roman" w:hAnsi="Arial"/>
          <w:color w:val="000000"/>
          <w:sz w:val="24"/>
          <w:szCs w:val="24"/>
          <w:lang w:eastAsia="es-ES"/>
        </w:rPr>
      </w:r>
    </w:p>
    <w:p>
      <w:pPr>
        <w:pStyle w:val="style0"/>
        <w:numPr>
          <w:ilvl w:val="0"/>
          <w:numId w:val="16"/>
        </w:numPr>
        <w:shd w:fill="FFFFFF" w:val="clear"/>
        <w:spacing w:after="0" w:before="0" w:line="360" w:lineRule="auto"/>
        <w:ind w:hanging="360" w:left="0" w:right="0"/>
        <w:jc w:val="both"/>
      </w:pPr>
      <w:r>
        <w:rPr>
          <w:rFonts w:ascii="Arial" w:cs="Arial" w:eastAsia="Times New Roman" w:hAnsi="Arial"/>
          <w:b/>
          <w:color w:val="000000"/>
          <w:sz w:val="24"/>
          <w:szCs w:val="24"/>
          <w:lang w:eastAsia="es-ES"/>
        </w:rPr>
        <w:t>Macrocomercialización</w:t>
      </w:r>
      <w:r>
        <w:rPr>
          <w:rFonts w:ascii="Arial" w:cs="Arial" w:eastAsia="Times New Roman" w:hAnsi="Arial"/>
          <w:color w:val="000000"/>
          <w:sz w:val="24"/>
          <w:szCs w:val="24"/>
          <w:lang w:eastAsia="es-ES"/>
        </w:rPr>
        <w:t>: Considera ampliamente todo nuestro sistema de producción y distribución. También es un proceso social al que se dirige el flujo de bienes y servicios de una economía, desde el productor al consumidor, de una manera que equipara verdaderamente la oferta y la demanda y logra los objetivos de la sociedad</w:t>
      </w:r>
    </w:p>
    <w:p>
      <w:pPr>
        <w:pStyle w:val="style0"/>
        <w:spacing w:after="280" w:before="280" w:line="360" w:lineRule="auto"/>
        <w:jc w:val="both"/>
      </w:pPr>
      <w:r>
        <w:rPr>
          <w:rFonts w:ascii="Arial" w:cs="Arial" w:hAnsi="Arial"/>
          <w:bCs/>
          <w:color w:val="000000"/>
          <w:sz w:val="24"/>
          <w:szCs w:val="24"/>
          <w:shd w:fill="FFFFFF" w:val="clear"/>
        </w:rPr>
        <w:tab/>
        <w:t xml:space="preserve">En  cuanto a la relación de los conceptos mencionados con la investigación se evidencia que de acuerdo a la necesidades y a la circunstancia que se plantea en la desincorporación de los bienes nacionales a través de la  enajenación con empresas del Estado o particular. El Instituto Universitario de Tecnología de Yaracuy se ubica como posible  Microcomercializador debido a que la ejecución de esta actividad es con un solo propósito u objetivo,  si de llegar a concretar la negociación  con la empresa siderúrgica del estado favorecer  en gran parte a la producción automotriz y construcción civil en Venezuela,  en vista que esto bienes nacionales en su etapa de Obsolescencia, corrosión y deterioro  sirve como insumo o materia prima para ser transformado en materiales ferrosos o auto parte, dando así un gran beneficios para  satisfacer las necesidades de la colectividad. Además tiene un aporte porque este contribuye a fortalecer al Plan Nacional de la  Gran  Misión  Vivienda de nuestro país y a la Misión Venezuela Productiva.  </w:t>
      </w:r>
    </w:p>
    <w:p>
      <w:pPr>
        <w:pStyle w:val="style0"/>
        <w:spacing w:after="280" w:before="280" w:line="360" w:lineRule="auto"/>
        <w:jc w:val="both"/>
      </w:pPr>
      <w:r>
        <w:rPr>
          <w:rFonts w:ascii="Arial" w:cs="Arial" w:hAnsi="Arial"/>
          <w:color w:val="000000"/>
          <w:sz w:val="24"/>
          <w:szCs w:val="24"/>
          <w:shd w:fill="FFFFFF" w:val="clear"/>
        </w:rPr>
        <w:tab/>
        <w:t>La comercialización tiene una estrategia la cuales son las oportunidades atractivas y elaborar estrategias comerciales rentables.</w:t>
      </w:r>
      <w:r>
        <w:rPr>
          <w:rFonts w:ascii="Arial" w:cs="Arial" w:hAnsi="Arial"/>
          <w:color w:val="000000"/>
          <w:sz w:val="24"/>
          <w:szCs w:val="24"/>
        </w:rPr>
        <w:br/>
      </w:r>
    </w:p>
    <w:p>
      <w:pPr>
        <w:pStyle w:val="style0"/>
        <w:spacing w:after="280" w:before="280" w:line="360" w:lineRule="auto"/>
        <w:jc w:val="both"/>
      </w:pPr>
      <w:r>
        <w:rPr>
          <w:rFonts w:ascii="Arial" w:cs="Arial" w:hAnsi="Arial"/>
          <w:b/>
          <w:bCs/>
          <w:color w:val="000000"/>
          <w:sz w:val="24"/>
          <w:szCs w:val="24"/>
        </w:rPr>
        <w:t>Estrategias de comercialización</w:t>
      </w:r>
    </w:p>
    <w:p>
      <w:pPr>
        <w:pStyle w:val="style0"/>
        <w:spacing w:after="280" w:before="280" w:line="360" w:lineRule="auto"/>
        <w:jc w:val="both"/>
      </w:pPr>
      <w:r>
        <w:rPr>
          <w:rFonts w:ascii="Arial" w:cs="Arial" w:hAnsi="Arial"/>
          <w:b/>
          <w:bCs/>
          <w:color w:val="000000"/>
          <w:sz w:val="24"/>
          <w:szCs w:val="24"/>
        </w:rPr>
        <w:tab/>
      </w:r>
      <w:r>
        <w:rPr>
          <w:rFonts w:ascii="Arial" w:cs="Arial" w:hAnsi="Arial"/>
          <w:bCs/>
          <w:color w:val="000000"/>
          <w:sz w:val="24"/>
          <w:szCs w:val="24"/>
        </w:rPr>
        <w:t>Con respecto a las estrategias de comercialización Sánchez (2009) expresa que la misma ayudara a la empresa   aprovechar todas las oportunidades que ofrece en el entorno, a superar las amenazas del mismo, así como hacer frente a los retos constantes que se le presentan.(p.30)</w:t>
      </w:r>
    </w:p>
    <w:p>
      <w:pPr>
        <w:pStyle w:val="style0"/>
        <w:spacing w:after="280" w:before="280" w:line="360" w:lineRule="auto"/>
        <w:jc w:val="both"/>
      </w:pPr>
      <w:r>
        <w:rPr>
          <w:rFonts w:ascii="Arial" w:cs="Arial" w:hAnsi="Arial"/>
          <w:bCs/>
          <w:color w:val="000000"/>
          <w:sz w:val="24"/>
          <w:szCs w:val="24"/>
        </w:rPr>
        <w:tab/>
        <w:t>Sin embargo el sostiene que la empresa debe tomar decisiones en el presente teniendo en cuenta cómo pueden afectar al futuro de la organización y pronosticar los posibles cambios que puedan surgir en el entorno, además de aprovechar al máximo los recursos internos   que se dispone y que puedan representar una ventaja competitiva con respecto a la competencia.</w:t>
      </w:r>
    </w:p>
    <w:p>
      <w:pPr>
        <w:pStyle w:val="style0"/>
        <w:spacing w:after="280" w:before="280" w:line="360" w:lineRule="auto"/>
        <w:jc w:val="both"/>
      </w:pPr>
      <w:r>
        <w:rPr>
          <w:rFonts w:ascii="Arial" w:cs="Arial" w:hAnsi="Arial"/>
          <w:bCs/>
          <w:color w:val="000000"/>
          <w:sz w:val="24"/>
          <w:szCs w:val="24"/>
        </w:rPr>
        <w:tab/>
        <w:t>De acuerdo (Chávez (2007) citado en Sánchez  2009) manifiesta  que en  las estrategias de comercialización interviene todo el proceso de la venta de un producto de manera intangible, es decir la negociación, la distribución, el colocarse en cierto mercados y contar con la cantidad necesaria y en el tiempo adecuado.</w:t>
      </w:r>
    </w:p>
    <w:p>
      <w:pPr>
        <w:pStyle w:val="style0"/>
        <w:spacing w:after="280" w:before="280" w:line="360" w:lineRule="auto"/>
        <w:ind w:firstLine="357" w:left="0" w:right="0"/>
        <w:jc w:val="both"/>
      </w:pPr>
      <w:r>
        <w:rPr>
          <w:rFonts w:ascii="Arial" w:cs="Arial" w:hAnsi="Arial"/>
          <w:color w:val="000000"/>
          <w:sz w:val="24"/>
          <w:szCs w:val="24"/>
        </w:rPr>
        <w:t>A</w:t>
      </w:r>
      <w:r>
        <w:rPr>
          <w:rFonts w:ascii="Arial" w:cs="Arial" w:hAnsi="Arial"/>
          <w:color w:val="000000"/>
          <w:sz w:val="24"/>
          <w:szCs w:val="24"/>
        </w:rPr>
        <w:t>spectos a considerar en las Estrategias de Comercialización</w:t>
      </w:r>
    </w:p>
    <w:p>
      <w:pPr>
        <w:pStyle w:val="style0"/>
        <w:spacing w:after="200" w:before="0"/>
        <w:jc w:val="center"/>
      </w:pPr>
      <w:r>
        <w:rPr>
          <w:b/>
          <w:sz w:val="24"/>
          <w:szCs w:val="20"/>
        </w:rPr>
        <w:t>ASPECTOS LEGALES</w:t>
      </w:r>
    </w:p>
    <w:p>
      <w:pPr>
        <w:pStyle w:val="style0"/>
        <w:spacing w:after="280" w:before="280" w:line="360" w:lineRule="auto"/>
        <w:ind w:firstLine="357" w:left="0" w:right="0"/>
        <w:jc w:val="both"/>
      </w:pPr>
      <w:r>
        <w:rPr>
          <w:rFonts w:ascii="Arial" w:cs="Arial" w:hAnsi="Arial"/>
          <w:color w:val="000000"/>
          <w:sz w:val="24"/>
          <w:szCs w:val="24"/>
          <w:lang w:eastAsia="es-VE" w:val="es-VE"/>
        </w:rPr>
        <w:pict>
          <v:roundrect id="shape_0" style="position:absolute;margin-left:-0.65pt;margin-top:8.95pt;width:133.05pt;height:49pt">
            <v:wrap v:type="square"/>
            <v:fill color="white" color2="black" detectmouseclick="t" type="solid"/>
            <v:stroke color="#4f81bd" dashstyle="dash" joinstyle="miter" weight="12600"/>
          </v:roundrect>
        </w:pict>
        <w:pict>
          <v:roundrect id="shape_0" style="position:absolute;margin-left:278.75pt;margin-top:8.35pt;width:133.05pt;height:49.6pt">
            <v:wrap v:type="square"/>
            <v:fill color="white" color2="black" detectmouseclick="t" type="solid"/>
            <v:stroke color="#4f81bd" dashstyle="dash" joinstyle="miter" weight="12600"/>
          </v:roundrect>
        </w:pict>
        <w:pict>
          <v:oval id="shape_0" style="position:absolute;margin-left:139.95pt;margin-top:27.3pt;width:124.25pt;height:68.55pt">
            <v:wrap v:type="square"/>
            <v:fill color="white" color2="black" detectmouseclick="t" type="solid"/>
            <v:stroke color="#c0504d" dashstyle="dash" joinstyle="miter" weight="12600"/>
          </v:oval>
        </w:pict>
      </w:r>
    </w:p>
    <w:p>
      <w:pPr>
        <w:pStyle w:val="style0"/>
        <w:spacing w:after="280" w:before="280" w:line="360" w:lineRule="auto"/>
        <w:ind w:firstLine="357" w:left="0" w:right="0"/>
        <w:jc w:val="both"/>
      </w:pPr>
      <w:r>
        <w:rPr>
          <w:rFonts w:ascii="Arial" w:cs="Arial" w:hAnsi="Arial"/>
          <w:color w:val="000000"/>
          <w:sz w:val="24"/>
          <w:szCs w:val="24"/>
          <w:lang w:eastAsia="es-VE" w:val="es-VE"/>
        </w:rPr>
      </w:r>
    </w:p>
    <w:p>
      <w:pPr>
        <w:pStyle w:val="style0"/>
        <w:spacing w:after="200" w:before="0"/>
      </w:pPr>
      <w:r>
        <w:rPr>
          <w:b/>
          <w:szCs w:val="20"/>
        </w:rPr>
        <w:t>ASPECTOS CULTURALES</w:t>
      </w:r>
    </w:p>
    <w:p>
      <w:pPr>
        <w:pStyle w:val="style0"/>
        <w:spacing w:after="280" w:before="280" w:line="360" w:lineRule="auto"/>
        <w:ind w:firstLine="357" w:left="0" w:right="0"/>
        <w:jc w:val="both"/>
      </w:pPr>
      <w:r>
        <w:rPr>
          <w:rFonts w:ascii="Arial" w:cs="Arial" w:hAnsi="Arial"/>
          <w:color w:val="000000"/>
          <w:sz w:val="24"/>
          <w:szCs w:val="24"/>
          <w:lang w:eastAsia="es-VE" w:val="es-VE"/>
        </w:rPr>
        <w:pict>
          <v:roundrect id="shape_0" style="position:absolute;margin-left:281.95pt;margin-top:13.65pt;width:133.05pt;height:44.1pt">
            <v:wrap v:type="square"/>
            <v:fill color="white" color2="black" detectmouseclick="t" type="solid"/>
            <v:stroke color="#4f81bd" dashstyle="dash" joinstyle="miter" weight="12600"/>
          </v:roundrect>
        </w:pict>
        <w:pict>
          <v:roundrect id="shape_0" style="position:absolute;margin-left:-13.35pt;margin-top:12.4pt;width:133.05pt;height:44.1pt">
            <v:wrap v:type="square"/>
            <v:fill color="white" color2="black" detectmouseclick="t" type="solid"/>
            <v:stroke color="#4f81bd" dashstyle="dash" joinstyle="miter" weight="12600"/>
          </v:roundrect>
        </w:pict>
      </w:r>
    </w:p>
    <w:p>
      <w:pPr>
        <w:pStyle w:val="style0"/>
        <w:spacing w:after="280" w:before="280" w:line="360" w:lineRule="auto"/>
        <w:ind w:firstLine="357" w:left="0" w:right="0"/>
        <w:jc w:val="both"/>
      </w:pPr>
      <w:r>
        <w:rPr>
          <w:rFonts w:ascii="Arial" w:cs="Arial" w:hAnsi="Arial"/>
          <w:color w:val="000000"/>
          <w:sz w:val="24"/>
          <w:szCs w:val="24"/>
          <w:lang w:eastAsia="es-VE" w:val="es-VE"/>
        </w:rPr>
      </w:r>
    </w:p>
    <w:p>
      <w:pPr>
        <w:pStyle w:val="style0"/>
        <w:spacing w:after="200" w:before="0"/>
        <w:jc w:val="center"/>
      </w:pPr>
      <w:r>
        <w:rPr>
          <w:b/>
          <w:sz w:val="24"/>
          <w:szCs w:val="20"/>
        </w:rPr>
        <w:t>ASPECTOS POLITICOS</w:t>
      </w:r>
    </w:p>
    <w:p>
      <w:pPr>
        <w:pStyle w:val="style0"/>
        <w:spacing w:after="280" w:before="280" w:line="240" w:lineRule="auto"/>
        <w:ind w:firstLine="357" w:left="0" w:right="0"/>
        <w:jc w:val="center"/>
      </w:pPr>
      <w:r>
        <w:rPr>
          <w:rFonts w:ascii="Arial" w:cs="Arial" w:hAnsi="Arial"/>
          <w:color w:val="000000"/>
          <w:szCs w:val="24"/>
        </w:rPr>
        <w:t>Figura 5. Estrategias de Comercialización</w:t>
      </w:r>
    </w:p>
    <w:p>
      <w:pPr>
        <w:pStyle w:val="style0"/>
        <w:spacing w:after="280" w:before="280" w:line="240" w:lineRule="auto"/>
        <w:ind w:firstLine="357" w:left="0" w:right="0"/>
        <w:jc w:val="center"/>
      </w:pPr>
      <w:r>
        <w:rPr>
          <w:rFonts w:ascii="Arial" w:cs="Arial" w:hAnsi="Arial"/>
          <w:color w:val="000000"/>
          <w:szCs w:val="24"/>
        </w:rPr>
        <w:t>Fuente: Sánchez (2009) adaptado por Mendoza (2015)</w:t>
      </w:r>
    </w:p>
    <w:p>
      <w:pPr>
        <w:pStyle w:val="style0"/>
        <w:spacing w:after="280" w:before="280" w:line="360" w:lineRule="auto"/>
        <w:jc w:val="both"/>
      </w:pPr>
      <w:r>
        <w:rPr>
          <w:rFonts w:ascii="Arial" w:cs="Arial" w:hAnsi="Arial"/>
          <w:bCs/>
          <w:color w:val="000000"/>
          <w:sz w:val="24"/>
          <w:szCs w:val="24"/>
        </w:rPr>
      </w:r>
    </w:p>
    <w:p>
      <w:pPr>
        <w:pStyle w:val="style0"/>
        <w:spacing w:after="280" w:before="280" w:line="360" w:lineRule="auto"/>
        <w:jc w:val="both"/>
      </w:pPr>
      <w:r>
        <w:rPr>
          <w:rFonts w:ascii="Arial" w:cs="Arial" w:hAnsi="Arial"/>
          <w:bCs/>
          <w:color w:val="000000"/>
          <w:sz w:val="24"/>
          <w:szCs w:val="24"/>
        </w:rPr>
        <w:t>Actualmente se puede identificar un gran número de estrategias para ser aplicadas dentro de una organización. No obstante  para los efectos de esta investigación  solo se consideraron las estrategias de comercialización anteriormente mencionadas, ya que esta resulta adecuada para la indagación.</w:t>
      </w:r>
    </w:p>
    <w:p>
      <w:pPr>
        <w:pStyle w:val="style0"/>
        <w:spacing w:after="280" w:before="280" w:line="360" w:lineRule="auto"/>
        <w:ind w:firstLine="357" w:left="0" w:right="0"/>
        <w:jc w:val="both"/>
      </w:pPr>
      <w:r>
        <w:rPr>
          <w:rFonts w:ascii="Arial" w:cs="Arial" w:hAnsi="Arial"/>
          <w:sz w:val="24"/>
          <w:szCs w:val="24"/>
        </w:rPr>
        <w:t>Para concluir con  los temas referenciales y los contenidos relevantes que están involucrados con  la investigación la autora opina que es conveniente enfocar dentro de la indagación lo concerniente al tema de Ecoeficiencia dado que esto permitirá culturizar a toda la sociedad en especial a la comunidad del IUTY   asumir su responsabilidad  en cuanto al cuidado ecológico utilizando  menos recurso naturales, reduciendo la generación de residuos, desechos que fomenten la contaminación, concientizando  más valor e interés sobre el ambiente y el buen uso de los activos tangibles de la institución.</w:t>
      </w:r>
    </w:p>
    <w:p>
      <w:pPr>
        <w:pStyle w:val="style0"/>
        <w:spacing w:after="280" w:before="280" w:line="360" w:lineRule="auto"/>
        <w:ind w:firstLine="357" w:left="0" w:right="0"/>
        <w:jc w:val="both"/>
      </w:pPr>
      <w:r>
        <w:rPr>
          <w:rFonts w:ascii="Arial" w:cs="Arial" w:hAnsi="Arial"/>
          <w:sz w:val="24"/>
          <w:szCs w:val="24"/>
        </w:rPr>
        <w:t xml:space="preserve">Antes de ejecutar las estrategias de comercialización es conveniente asegurarse de que el producto esté disponible  para el mercado meta lo compre, una vez iniciada su demanda </w:t>
      </w:r>
      <w:hyperlink r:id="rId15">
        <w:r>
          <w:rPr>
            <w:rStyle w:val="style148"/>
            <w:rStyle w:val="style148"/>
            <w:rFonts w:ascii="Arial" w:hAnsi="Arial"/>
            <w:color w:val="000000"/>
            <w:sz w:val="24"/>
            <w:szCs w:val="24"/>
            <w:u w:val="none"/>
            <w:shd w:fill="FFFFFF" w:val="clear"/>
          </w:rPr>
          <w:t xml:space="preserve"> Hiebing</w:t>
        </w:r>
      </w:hyperlink>
      <w:hyperlink r:id="rId16">
        <w:r>
          <w:rPr>
            <w:rStyle w:val="style148"/>
            <w:rStyle w:val="style148"/>
            <w:rFonts w:ascii="Arial" w:hAnsi="Arial"/>
            <w:sz w:val="24"/>
            <w:szCs w:val="24"/>
            <w:shd w:fill="FFFFFF" w:val="clear"/>
          </w:rPr>
          <w:t xml:space="preserve"> y. Cooper</w:t>
        </w:r>
      </w:hyperlink>
      <w:r>
        <w:rPr>
          <w:rFonts w:ascii="Arial" w:cs="Arial" w:hAnsi="Arial"/>
          <w:color w:val="000000"/>
          <w:sz w:val="24"/>
          <w:szCs w:val="24"/>
        </w:rPr>
        <w:t xml:space="preserve"> (1992:99). En su efecto se debe tener en consideración  el interés que tiene el mercado meta, sin perder de vista los siguientes aspectos: Cultural, lo económico, lo social, el legal y por ultimo lo político del lugar o región en donde se aplicaran las estrategias.</w:t>
      </w:r>
    </w:p>
    <w:p>
      <w:pPr>
        <w:pStyle w:val="style0"/>
        <w:spacing w:after="280" w:before="280" w:line="360" w:lineRule="auto"/>
        <w:jc w:val="both"/>
      </w:pPr>
      <w:r>
        <w:rPr>
          <w:rFonts w:ascii="Arial" w:cs="Arial" w:hAnsi="Arial"/>
          <w:sz w:val="24"/>
          <w:szCs w:val="24"/>
        </w:rPr>
        <w:tab/>
        <w:t>La ecoeficiencia   induce a de impulsar la reutilización de insumos a través de procesos de reconversión tecnológica y de reciclaje, La meta final de la ecoeficiencia es la elaboración de bienes y la prestación de servicios, a precios competitivos, que satisfagan las necesidades humanas y eleven la calidad de vida de la población Obtendrá ingresos adicionales con el reciclaje y reuso de desechos mantendrá un ambiente laboral sano y estable, Mejorará sus relaciones públicas y</w:t>
      </w:r>
    </w:p>
    <w:p>
      <w:pPr>
        <w:pStyle w:val="style0"/>
        <w:spacing w:after="280" w:before="280" w:line="360" w:lineRule="auto"/>
        <w:jc w:val="both"/>
      </w:pPr>
      <w:r>
        <w:rPr>
          <w:rFonts w:ascii="Arial" w:cs="Arial" w:hAnsi="Arial"/>
          <w:sz w:val="24"/>
          <w:szCs w:val="24"/>
        </w:rPr>
        <w:t>Obtendrá la aprobación de su comunidad</w:t>
      </w:r>
    </w:p>
    <w:p>
      <w:pPr>
        <w:pStyle w:val="style0"/>
        <w:spacing w:after="280" w:before="280" w:line="360" w:lineRule="auto"/>
        <w:ind w:hanging="0" w:left="357" w:right="0"/>
        <w:jc w:val="both"/>
      </w:pPr>
      <w:r>
        <w:rPr>
          <w:rFonts w:ascii="Arial" w:cs="Arial" w:hAnsi="Arial"/>
          <w:b/>
          <w:sz w:val="24"/>
          <w:szCs w:val="24"/>
        </w:rPr>
        <w:t>Ecoeficiencia</w:t>
      </w:r>
    </w:p>
    <w:p>
      <w:pPr>
        <w:pStyle w:val="style197"/>
        <w:spacing w:after="135" w:before="0" w:line="360" w:lineRule="auto"/>
        <w:jc w:val="both"/>
      </w:pPr>
      <w:r>
        <w:rPr>
          <w:rFonts w:ascii="Arial" w:cs="Arial" w:hAnsi="Arial"/>
        </w:rPr>
        <w:tab/>
        <w:t>De acuerdo con la pagina web  vi</w:t>
      </w:r>
      <w:r>
        <w:rPr>
          <w:rFonts w:ascii="Arial" w:cs="Arial" w:hAnsi="Arial"/>
          <w:shd w:fill="FFFFFF" w:val="clear"/>
        </w:rPr>
        <w:t xml:space="preserve">talis.net la </w:t>
      </w:r>
      <w:r>
        <w:rPr>
          <w:rFonts w:ascii="Arial" w:cs="Arial" w:hAnsi="Arial"/>
          <w:bCs/>
          <w:shd w:fill="FFFFFF" w:val="clear"/>
        </w:rPr>
        <w:t xml:space="preserve"> </w:t>
      </w:r>
      <w:r>
        <w:rPr>
          <w:rFonts w:ascii="Arial" w:cs="Arial" w:hAnsi="Arial"/>
        </w:rPr>
        <w:t>define como  una cultura administrativa que guía a todos los sectores de la sociedad a asumir su responsabilidad con la sustentabilidad y motiva para que las actividades productivas sean más competitivas, adaptando y readecuando los sistemas productivos existentes a las necesidades del mercado y del ambiente, impulsando niveles más altos de desarrollo económico, social y ambiental.</w:t>
      </w:r>
    </w:p>
    <w:p>
      <w:pPr>
        <w:pStyle w:val="style197"/>
        <w:spacing w:after="135" w:before="0"/>
        <w:jc w:val="both"/>
      </w:pPr>
      <w:r>
        <w:rPr>
          <w:rFonts w:ascii="Arial" w:cs="Arial" w:hAnsi="Arial"/>
        </w:rPr>
      </w:r>
    </w:p>
    <w:p>
      <w:pPr>
        <w:pStyle w:val="style0"/>
        <w:autoSpaceDE w:val="false"/>
        <w:spacing w:after="0" w:before="0" w:line="360" w:lineRule="auto"/>
        <w:jc w:val="both"/>
      </w:pPr>
      <w:r>
        <w:rPr>
          <w:rFonts w:ascii="Arial" w:cs="Arial" w:hAnsi="Arial"/>
          <w:sz w:val="24"/>
          <w:szCs w:val="24"/>
        </w:rPr>
        <w:tab/>
        <w:t xml:space="preserve">Mientras que en la </w:t>
      </w:r>
      <w:r>
        <w:rPr>
          <w:rFonts w:ascii="Arial" w:cs="Arial" w:hAnsi="Arial"/>
          <w:bCs/>
          <w:sz w:val="24"/>
          <w:szCs w:val="24"/>
        </w:rPr>
        <w:t>Guía de Ecoeficiencia para Empresas (2009:8) resalta que la</w:t>
      </w:r>
      <w:r>
        <w:rPr>
          <w:rFonts w:ascii="Arial" w:cs="Arial" w:hAnsi="Arial"/>
          <w:sz w:val="24"/>
          <w:szCs w:val="24"/>
        </w:rPr>
        <w:t xml:space="preserve"> ecoeficiencia  se obtiene por medio del suministro de bienes y servicios con precios competitivos, que satisfacen las necesidades humanas y dan calidad de vida, al tiempo que reducen progresivamente los impactos ecológicos y la intensidad de uso de los recursos a lo largo de su ciclo de vida, a un nivel por lo menos acorde con la capacidad de carga estimada de la Tierra. En pocas palabras, se relaciona con crear más valor con menos impacto.</w:t>
      </w:r>
    </w:p>
    <w:p>
      <w:pPr>
        <w:pStyle w:val="style0"/>
        <w:autoSpaceDE w:val="false"/>
        <w:spacing w:after="0" w:before="0" w:line="360" w:lineRule="auto"/>
        <w:jc w:val="both"/>
      </w:pPr>
      <w:r>
        <w:rPr>
          <w:rFonts w:ascii="Arial" w:cs="Arial" w:hAnsi="Arial"/>
          <w:sz w:val="24"/>
          <w:szCs w:val="24"/>
        </w:rPr>
      </w:r>
    </w:p>
    <w:p>
      <w:pPr>
        <w:pStyle w:val="style197"/>
        <w:spacing w:after="135" w:before="0" w:line="360" w:lineRule="auto"/>
        <w:jc w:val="both"/>
      </w:pPr>
      <w:r>
        <w:rPr>
          <w:rFonts w:ascii="Arial" w:cs="Arial" w:hAnsi="Arial"/>
        </w:rPr>
        <w:tab/>
        <w:t>Por su parte en  la página Web de Vitalis.net  sostiene la visión central de la ecoeficiencia se puede resumir en “producir más con menos”, utilizando menos recursos naturales (agua y energía) en el proceso productivo, reduciendo la generación de residuos y desechos, y atenuando la contaminación. La meta final de la ecoeficiencia es la elaboración de bienes y la prestación de servicios, a precios competitivos, que satisfagan las necesidades humanas y eleven la calidad de vida de la población.</w:t>
      </w:r>
    </w:p>
    <w:p>
      <w:pPr>
        <w:pStyle w:val="style197"/>
        <w:spacing w:after="135" w:before="0"/>
        <w:jc w:val="both"/>
      </w:pPr>
      <w:r>
        <w:rPr>
          <w:rFonts w:ascii="Arial" w:cs="Arial" w:hAnsi="Arial"/>
        </w:rPr>
      </w:r>
    </w:p>
    <w:p>
      <w:pPr>
        <w:pStyle w:val="style197"/>
        <w:spacing w:after="135" w:before="0" w:line="360" w:lineRule="auto"/>
        <w:jc w:val="both"/>
      </w:pPr>
      <w:r>
        <w:rPr>
          <w:rFonts w:ascii="Arial" w:cs="Arial" w:hAnsi="Arial"/>
        </w:rPr>
        <w:tab/>
        <w:t xml:space="preserve"> A su vez manifiesta que la misma  promueve un ecodiseño integral de tecnología para reducir la intensidad de uso de materiales y energía durante la producción, además de impulsar la reutilización de insumos a través de procesos de reconversión tecnológica y de reciclaje, aumentando la funcionalidad de los productos y su durabilidad, también permite medir su desempeño ambiental y productivo.</w:t>
      </w:r>
    </w:p>
    <w:p>
      <w:pPr>
        <w:pStyle w:val="style197"/>
        <w:spacing w:after="135" w:before="0" w:line="360" w:lineRule="auto"/>
        <w:jc w:val="both"/>
      </w:pPr>
      <w:r>
        <w:rPr>
          <w:rFonts w:ascii="Arial" w:cs="Arial" w:hAnsi="Arial"/>
        </w:rPr>
        <w:tab/>
        <w:t>La ecoeficiencia está estrechamente relacionada con el desarrollo sustentable, ya que es un proceso integral que exige a los distintos actores de la sociedad compromisos y responsabilidades en la aplicación del modelo económico, político, ambiental y social, así como en los patrones de consumo que determinan la calidad de vida</w:t>
      </w:r>
      <w:r>
        <w:rPr/>
        <w:t xml:space="preserve">, </w:t>
      </w:r>
      <w:r>
        <w:rPr>
          <w:rFonts w:ascii="Arial" w:cs="Arial" w:hAnsi="Arial"/>
        </w:rPr>
        <w:t xml:space="preserve"> permitiendo tener  menor impacto ambiental posible. Con respecto a los  organismos públicos, la ecoeficiencia es una oportunidad para moldear comportamientos ciudadanos responsables, a través de una gestión ambiental eficiente.</w:t>
      </w:r>
    </w:p>
    <w:p>
      <w:pPr>
        <w:pStyle w:val="style197"/>
        <w:spacing w:after="135" w:before="0"/>
        <w:jc w:val="both"/>
      </w:pPr>
      <w:r>
        <w:rPr>
          <w:rFonts w:ascii="Arial" w:cs="Arial" w:hAnsi="Arial"/>
        </w:rPr>
      </w:r>
    </w:p>
    <w:p>
      <w:pPr>
        <w:pStyle w:val="style197"/>
        <w:spacing w:after="135" w:before="0" w:line="360" w:lineRule="auto"/>
        <w:jc w:val="both"/>
      </w:pPr>
      <w:r>
        <w:rPr>
          <w:rFonts w:ascii="Arial" w:cs="Arial" w:hAnsi="Arial"/>
        </w:rPr>
        <w:tab/>
        <w:t>De la cual no se puede disgregarse el IUTY por ser una institución formadora de talento humano en el área de preservación del ambiente y de los recursos naturales por esta razón se debe sentir responsable y comprometido moralmente con el planeta tierra. El mismo está en la capacidad de diseñar un plan sustentable como  modelo económico, político, ambiental y social para mejorar la calidad de vida de sus integrantes y  comunidad.</w:t>
      </w:r>
    </w:p>
    <w:p>
      <w:pPr>
        <w:pStyle w:val="style197"/>
        <w:spacing w:after="135" w:before="0"/>
        <w:jc w:val="both"/>
      </w:pPr>
      <w:r>
        <w:rPr>
          <w:rFonts w:ascii="Arial" w:cs="Arial" w:hAnsi="Arial"/>
        </w:rPr>
      </w:r>
    </w:p>
    <w:p>
      <w:pPr>
        <w:pStyle w:val="style197"/>
        <w:spacing w:after="135" w:before="0" w:line="360" w:lineRule="auto"/>
        <w:jc w:val="both"/>
      </w:pPr>
      <w:r>
        <w:rPr>
          <w:rStyle w:val="style150"/>
          <w:rFonts w:ascii="Arial" w:cs="Arial" w:hAnsi="Arial"/>
        </w:rPr>
        <w:t>Beneficios de la Ecoeficiencia</w:t>
      </w:r>
    </w:p>
    <w:p>
      <w:pPr>
        <w:pStyle w:val="style197"/>
        <w:spacing w:after="135" w:before="0" w:line="360" w:lineRule="auto"/>
        <w:jc w:val="both"/>
      </w:pPr>
      <w:r>
        <w:rPr>
          <w:rFonts w:ascii="Arial" w:cs="Arial" w:hAnsi="Arial"/>
        </w:rPr>
      </w:r>
    </w:p>
    <w:p>
      <w:pPr>
        <w:pStyle w:val="style197"/>
        <w:spacing w:after="135" w:before="0" w:line="360" w:lineRule="auto"/>
        <w:jc w:val="both"/>
      </w:pPr>
      <w:r>
        <w:rPr>
          <w:rFonts w:ascii="Arial" w:cs="Arial" w:hAnsi="Arial"/>
        </w:rPr>
        <w:tab/>
        <w:t>Op cit señala que la organización que implemente un programa efectivo de ecoeficiencia podrá obtener los siguientes beneficios:</w:t>
      </w:r>
    </w:p>
    <w:p>
      <w:pPr>
        <w:pStyle w:val="style199"/>
        <w:numPr>
          <w:ilvl w:val="0"/>
          <w:numId w:val="50"/>
        </w:numPr>
        <w:spacing w:after="0" w:before="0" w:line="360" w:lineRule="auto"/>
        <w:jc w:val="both"/>
      </w:pPr>
      <w:r>
        <w:rPr>
          <w:rFonts w:ascii="Arial" w:cs="Arial" w:hAnsi="Arial"/>
          <w:sz w:val="24"/>
          <w:szCs w:val="24"/>
        </w:rPr>
        <w:t>Minimizará costos de producción,</w:t>
      </w:r>
    </w:p>
    <w:p>
      <w:pPr>
        <w:pStyle w:val="style199"/>
        <w:numPr>
          <w:ilvl w:val="0"/>
          <w:numId w:val="50"/>
        </w:numPr>
        <w:spacing w:after="200" w:before="0" w:line="360" w:lineRule="auto"/>
        <w:jc w:val="both"/>
      </w:pPr>
      <w:r>
        <w:rPr>
          <w:rFonts w:ascii="Arial" w:cs="Arial" w:hAnsi="Arial"/>
          <w:sz w:val="24"/>
          <w:szCs w:val="24"/>
        </w:rPr>
        <w:t>Utilizará de manera más responsable los recursos naturales,</w:t>
      </w:r>
    </w:p>
    <w:p>
      <w:pPr>
        <w:pStyle w:val="style199"/>
        <w:numPr>
          <w:ilvl w:val="0"/>
          <w:numId w:val="50"/>
        </w:numPr>
        <w:spacing w:after="200" w:before="0" w:line="360" w:lineRule="auto"/>
        <w:jc w:val="both"/>
      </w:pPr>
      <w:r>
        <w:rPr>
          <w:rFonts w:ascii="Arial" w:cs="Arial" w:hAnsi="Arial"/>
          <w:sz w:val="24"/>
          <w:szCs w:val="24"/>
        </w:rPr>
        <w:t>Reducirá la emisión de contaminantes,</w:t>
      </w:r>
    </w:p>
    <w:p>
      <w:pPr>
        <w:pStyle w:val="style199"/>
        <w:numPr>
          <w:ilvl w:val="0"/>
          <w:numId w:val="50"/>
        </w:numPr>
        <w:spacing w:after="200" w:before="0" w:line="360" w:lineRule="auto"/>
        <w:jc w:val="both"/>
      </w:pPr>
      <w:r>
        <w:rPr>
          <w:rFonts w:ascii="Arial" w:cs="Arial" w:hAnsi="Arial"/>
          <w:sz w:val="24"/>
          <w:szCs w:val="24"/>
        </w:rPr>
        <w:t>Será competitivo e innovador en la producción,</w:t>
      </w:r>
    </w:p>
    <w:p>
      <w:pPr>
        <w:pStyle w:val="style199"/>
        <w:numPr>
          <w:ilvl w:val="0"/>
          <w:numId w:val="50"/>
        </w:numPr>
        <w:spacing w:after="200" w:before="0" w:line="360" w:lineRule="auto"/>
        <w:jc w:val="both"/>
      </w:pPr>
      <w:r>
        <w:rPr>
          <w:rFonts w:ascii="Arial" w:cs="Arial" w:hAnsi="Arial"/>
          <w:sz w:val="24"/>
          <w:szCs w:val="24"/>
        </w:rPr>
        <w:t>Obtendrá ingresos adicionales con el reciclaje y reuso de desechos,</w:t>
      </w:r>
    </w:p>
    <w:p>
      <w:pPr>
        <w:pStyle w:val="style199"/>
        <w:numPr>
          <w:ilvl w:val="0"/>
          <w:numId w:val="50"/>
        </w:numPr>
        <w:spacing w:after="200" w:before="0" w:line="360" w:lineRule="auto"/>
        <w:jc w:val="both"/>
      </w:pPr>
      <w:r>
        <w:rPr>
          <w:rFonts w:ascii="Arial" w:cs="Arial" w:hAnsi="Arial"/>
          <w:sz w:val="24"/>
          <w:szCs w:val="24"/>
        </w:rPr>
        <w:t>Gozará de prestigio entre distribuidores y consumidores,</w:t>
      </w:r>
    </w:p>
    <w:p>
      <w:pPr>
        <w:pStyle w:val="style199"/>
        <w:numPr>
          <w:ilvl w:val="0"/>
          <w:numId w:val="50"/>
        </w:numPr>
        <w:spacing w:after="200" w:before="0" w:line="360" w:lineRule="auto"/>
        <w:jc w:val="both"/>
      </w:pPr>
      <w:r>
        <w:rPr>
          <w:rFonts w:ascii="Arial" w:cs="Arial" w:hAnsi="Arial"/>
          <w:sz w:val="24"/>
          <w:szCs w:val="24"/>
        </w:rPr>
        <w:t>Reducirá el nivel de rotación de personal y mantendrá un ambiente laboral sano y estable,</w:t>
      </w:r>
    </w:p>
    <w:p>
      <w:pPr>
        <w:pStyle w:val="style199"/>
        <w:numPr>
          <w:ilvl w:val="0"/>
          <w:numId w:val="50"/>
        </w:numPr>
        <w:spacing w:after="200" w:before="0" w:line="360" w:lineRule="auto"/>
        <w:jc w:val="both"/>
      </w:pPr>
      <w:r>
        <w:rPr>
          <w:rFonts w:ascii="Arial" w:cs="Arial" w:hAnsi="Arial"/>
          <w:sz w:val="24"/>
          <w:szCs w:val="24"/>
        </w:rPr>
        <w:t>Tendrá acceso a nuevas oportunidades de mercado y cumplirá con estándares internacionales,</w:t>
      </w:r>
    </w:p>
    <w:p>
      <w:pPr>
        <w:pStyle w:val="style199"/>
        <w:numPr>
          <w:ilvl w:val="0"/>
          <w:numId w:val="50"/>
        </w:numPr>
        <w:spacing w:after="200" w:before="0" w:line="360" w:lineRule="auto"/>
        <w:jc w:val="both"/>
      </w:pPr>
      <w:r>
        <w:rPr>
          <w:rFonts w:ascii="Arial" w:cs="Arial" w:hAnsi="Arial"/>
          <w:sz w:val="24"/>
          <w:szCs w:val="24"/>
        </w:rPr>
        <w:t>Mejorará sus relaciones públicas y</w:t>
      </w:r>
    </w:p>
    <w:p>
      <w:pPr>
        <w:pStyle w:val="style199"/>
        <w:numPr>
          <w:ilvl w:val="0"/>
          <w:numId w:val="50"/>
        </w:numPr>
        <w:spacing w:after="280" w:before="0" w:line="360" w:lineRule="auto"/>
        <w:jc w:val="both"/>
      </w:pPr>
      <w:r>
        <w:rPr>
          <w:rFonts w:ascii="Arial" w:cs="Arial" w:hAnsi="Arial"/>
          <w:sz w:val="24"/>
          <w:szCs w:val="24"/>
        </w:rPr>
        <w:t>Obtendrá la aprobación de su comunidad y evitará ser multado.</w:t>
      </w:r>
    </w:p>
    <w:p>
      <w:pPr>
        <w:pStyle w:val="style197"/>
        <w:spacing w:after="135" w:before="0" w:line="360" w:lineRule="auto"/>
        <w:jc w:val="both"/>
      </w:pPr>
      <w:r>
        <w:rPr>
          <w:rFonts w:ascii="Arial" w:cs="Arial" w:hAnsi="Arial"/>
        </w:rPr>
        <w:tab/>
        <w:t>Ellos establecen   dos elementos principales para la aplicación de programas de ecoeficiencia:</w:t>
      </w:r>
    </w:p>
    <w:p>
      <w:pPr>
        <w:pStyle w:val="style197"/>
        <w:numPr>
          <w:ilvl w:val="1"/>
          <w:numId w:val="36"/>
        </w:numPr>
        <w:spacing w:after="135" w:before="0" w:line="360" w:lineRule="auto"/>
        <w:jc w:val="both"/>
      </w:pPr>
      <w:r>
        <w:rPr>
          <w:rFonts w:ascii="Arial" w:cs="Arial" w:hAnsi="Arial"/>
        </w:rPr>
        <w:t>La adopción de un cambio en la cultura empresarial</w:t>
      </w:r>
    </w:p>
    <w:p>
      <w:pPr>
        <w:pStyle w:val="style197"/>
        <w:numPr>
          <w:ilvl w:val="1"/>
          <w:numId w:val="36"/>
        </w:numPr>
        <w:spacing w:after="135" w:before="0" w:line="360" w:lineRule="auto"/>
        <w:jc w:val="both"/>
      </w:pPr>
      <w:r>
        <w:rPr>
          <w:rFonts w:ascii="Arial" w:cs="Arial" w:hAnsi="Arial"/>
        </w:rPr>
        <w:t>El establecimiento de técnicas adecuadas para promover dichos cambios.</w:t>
      </w:r>
    </w:p>
    <w:p>
      <w:pPr>
        <w:pStyle w:val="style197"/>
        <w:spacing w:after="135" w:before="0" w:line="360" w:lineRule="auto"/>
        <w:jc w:val="both"/>
      </w:pPr>
      <w:r>
        <w:rPr>
          <w:rFonts w:ascii="Arial" w:cs="Arial" w:hAnsi="Arial"/>
        </w:rPr>
        <w:tab/>
        <w:t>En referencia a la adopción de una visión empresarial de ecoeficiencia por parte de los empleados medios y los gerentes del más alto nivel, debe estar basada en la promoción e internalización del concepto de ecoeficiencia, política organizacional que sería proyectada a sus clientes y proveedores.</w:t>
      </w:r>
    </w:p>
    <w:p>
      <w:pPr>
        <w:pStyle w:val="style197"/>
        <w:spacing w:after="135" w:before="0" w:line="360" w:lineRule="auto"/>
        <w:jc w:val="both"/>
      </w:pPr>
      <w:r>
        <w:rPr>
          <w:rFonts w:ascii="Arial" w:cs="Arial" w:hAnsi="Arial"/>
        </w:rPr>
        <w:tab/>
        <w:t>En cuanto al establecimiento de las técnicas adecuadas comprendería decisiones orientadas a considerar el ciclo de vida de sus productos, implementando las modificaciones que fueran necesarias, identificando los riesgos y oportunidades para la empresa y documentando las acciones que permitan la ecoeficiencia en toda la gama de procesos, productos y servicios de la organización.</w:t>
      </w:r>
    </w:p>
    <w:p>
      <w:pPr>
        <w:pStyle w:val="style197"/>
        <w:spacing w:after="135" w:before="0" w:line="360" w:lineRule="auto"/>
        <w:jc w:val="both"/>
      </w:pPr>
      <w:r>
        <w:rPr>
          <w:rStyle w:val="style150"/>
          <w:rFonts w:ascii="Arial" w:cs="Arial" w:hAnsi="Arial"/>
        </w:rPr>
        <w:t>Técnicas Ecoeficientes</w:t>
      </w:r>
    </w:p>
    <w:p>
      <w:pPr>
        <w:pStyle w:val="style197"/>
        <w:spacing w:after="135" w:before="0"/>
        <w:jc w:val="both"/>
      </w:pPr>
      <w:r>
        <w:rPr>
          <w:rFonts w:ascii="Arial" w:cs="Arial" w:hAnsi="Arial"/>
        </w:rPr>
      </w:r>
    </w:p>
    <w:p>
      <w:pPr>
        <w:pStyle w:val="style197"/>
        <w:spacing w:after="135" w:before="0" w:line="360" w:lineRule="auto"/>
        <w:jc w:val="both"/>
      </w:pPr>
      <w:r>
        <w:rPr>
          <w:rFonts w:ascii="Arial" w:cs="Arial" w:hAnsi="Arial"/>
        </w:rPr>
        <w:tab/>
        <w:t>Es importante resaltar que  existen algunas técnicas específicas  de ecoeficiencia que se pueden implementar en las empresas entre ellas están:</w:t>
      </w:r>
    </w:p>
    <w:p>
      <w:pPr>
        <w:pStyle w:val="style197"/>
        <w:numPr>
          <w:ilvl w:val="0"/>
          <w:numId w:val="51"/>
        </w:numPr>
        <w:spacing w:after="135" w:before="0" w:line="360" w:lineRule="auto"/>
        <w:jc w:val="both"/>
      </w:pPr>
      <w:r>
        <w:rPr>
          <w:rFonts w:ascii="Arial" w:cs="Arial" w:hAnsi="Arial"/>
        </w:rPr>
        <w:t>Cambios en la materia prima</w:t>
      </w:r>
    </w:p>
    <w:p>
      <w:pPr>
        <w:pStyle w:val="style197"/>
        <w:numPr>
          <w:ilvl w:val="0"/>
          <w:numId w:val="51"/>
        </w:numPr>
        <w:spacing w:after="135" w:before="0" w:line="360" w:lineRule="auto"/>
        <w:jc w:val="both"/>
      </w:pPr>
      <w:r>
        <w:rPr>
          <w:rFonts w:ascii="Arial" w:cs="Arial" w:hAnsi="Arial"/>
        </w:rPr>
        <w:t>Rediseño de productos y cambio de especificaciones para promover el uso de materiales reciclados, que no sean tóxicos, que estén libres de solventes y que no contaminen.</w:t>
      </w:r>
    </w:p>
    <w:p>
      <w:pPr>
        <w:pStyle w:val="style197"/>
        <w:numPr>
          <w:ilvl w:val="0"/>
          <w:numId w:val="51"/>
        </w:numPr>
        <w:spacing w:after="135" w:before="0" w:line="360" w:lineRule="auto"/>
        <w:jc w:val="both"/>
      </w:pPr>
      <w:r>
        <w:rPr>
          <w:rFonts w:ascii="Arial" w:cs="Arial" w:hAnsi="Arial"/>
        </w:rPr>
        <w:t>Cambios de tecnología</w:t>
      </w:r>
    </w:p>
    <w:p>
      <w:pPr>
        <w:pStyle w:val="style197"/>
        <w:numPr>
          <w:ilvl w:val="0"/>
          <w:numId w:val="51"/>
        </w:numPr>
        <w:spacing w:after="135" w:before="0" w:line="360" w:lineRule="auto"/>
        <w:jc w:val="both"/>
      </w:pPr>
      <w:r>
        <w:rPr>
          <w:rFonts w:ascii="Arial" w:cs="Arial" w:hAnsi="Arial"/>
        </w:rPr>
        <w:t>Sustitución de procesos químicos por mecánicos; uso de equipos que consuman menos energía; instalación de computadoras para el control de procesos; reemplazo de equipos obsoletos e ineficientes.</w:t>
      </w:r>
    </w:p>
    <w:p>
      <w:pPr>
        <w:pStyle w:val="style197"/>
        <w:numPr>
          <w:ilvl w:val="0"/>
          <w:numId w:val="51"/>
        </w:numPr>
        <w:spacing w:after="135" w:before="0" w:line="360" w:lineRule="auto"/>
        <w:jc w:val="both"/>
      </w:pPr>
      <w:r>
        <w:rPr>
          <w:rFonts w:ascii="Arial" w:cs="Arial" w:hAnsi="Arial"/>
        </w:rPr>
        <w:t>Cambios de proceso</w:t>
      </w:r>
    </w:p>
    <w:p>
      <w:pPr>
        <w:pStyle w:val="style197"/>
        <w:numPr>
          <w:ilvl w:val="0"/>
          <w:numId w:val="51"/>
        </w:numPr>
        <w:spacing w:after="135" w:before="0" w:line="360" w:lineRule="auto"/>
        <w:jc w:val="both"/>
      </w:pPr>
      <w:r>
        <w:rPr>
          <w:rFonts w:ascii="Arial" w:cs="Arial" w:hAnsi="Arial"/>
        </w:rPr>
        <w:t>Disminución del número de procesos u operaciones; sustitución por procesos limpios; instalación de sistemas de conservación de energía, controladores de proceso, sensores y medidores; aplicación de controles estadísticos de calidad.</w:t>
      </w:r>
    </w:p>
    <w:p>
      <w:pPr>
        <w:pStyle w:val="style197"/>
        <w:numPr>
          <w:ilvl w:val="0"/>
          <w:numId w:val="51"/>
        </w:numPr>
        <w:spacing w:after="135" w:before="0" w:line="360" w:lineRule="auto"/>
        <w:jc w:val="both"/>
      </w:pPr>
      <w:r>
        <w:rPr>
          <w:rFonts w:ascii="Arial" w:cs="Arial" w:hAnsi="Arial"/>
        </w:rPr>
        <w:t>Orden y limpieza IUTY</w:t>
      </w:r>
    </w:p>
    <w:p>
      <w:pPr>
        <w:pStyle w:val="style197"/>
        <w:numPr>
          <w:ilvl w:val="0"/>
          <w:numId w:val="51"/>
        </w:numPr>
        <w:spacing w:after="135" w:before="0" w:line="360" w:lineRule="auto"/>
        <w:jc w:val="both"/>
      </w:pPr>
      <w:r>
        <w:rPr>
          <w:rFonts w:ascii="Arial" w:cs="Arial" w:hAnsi="Arial"/>
        </w:rPr>
        <w:t>Control de inventarios y almacenamiento ordenado; mantenimiento de instalaciones; sustitución de materiales de limpieza con unos más amigables para el ambiente; medición de consumos y desechos; tratamiento de efluentes; control de derrames.</w:t>
      </w:r>
    </w:p>
    <w:p>
      <w:pPr>
        <w:pStyle w:val="style197"/>
        <w:numPr>
          <w:ilvl w:val="0"/>
          <w:numId w:val="51"/>
        </w:numPr>
        <w:spacing w:after="135" w:before="0" w:line="360" w:lineRule="auto"/>
        <w:jc w:val="both"/>
      </w:pPr>
      <w:r>
        <w:rPr>
          <w:rFonts w:ascii="Arial" w:cs="Arial" w:hAnsi="Arial"/>
        </w:rPr>
        <w:t>Mantenimiento de equipos</w:t>
      </w:r>
    </w:p>
    <w:p>
      <w:pPr>
        <w:pStyle w:val="style197"/>
        <w:numPr>
          <w:ilvl w:val="0"/>
          <w:numId w:val="51"/>
        </w:numPr>
        <w:spacing w:after="135" w:before="0" w:line="360" w:lineRule="auto"/>
        <w:jc w:val="both"/>
      </w:pPr>
      <w:r>
        <w:rPr>
          <w:rFonts w:ascii="Arial" w:cs="Arial" w:hAnsi="Arial"/>
        </w:rPr>
        <w:t>Establecimiento de un programa de inspecciones; mantenimiento preventivo y predictivo del equipo; calibración del equipo.</w:t>
      </w:r>
    </w:p>
    <w:p>
      <w:pPr>
        <w:pStyle w:val="style197"/>
        <w:numPr>
          <w:ilvl w:val="0"/>
          <w:numId w:val="51"/>
        </w:numPr>
        <w:spacing w:after="135" w:before="0" w:line="360" w:lineRule="auto"/>
        <w:jc w:val="both"/>
      </w:pPr>
      <w:r>
        <w:rPr>
          <w:rFonts w:ascii="Arial" w:cs="Arial" w:hAnsi="Arial"/>
        </w:rPr>
        <w:t>Reutilización y reciclaje</w:t>
      </w:r>
    </w:p>
    <w:p>
      <w:pPr>
        <w:pStyle w:val="style197"/>
        <w:numPr>
          <w:ilvl w:val="0"/>
          <w:numId w:val="51"/>
        </w:numPr>
        <w:spacing w:after="135" w:before="0" w:line="360" w:lineRule="auto"/>
        <w:jc w:val="both"/>
      </w:pPr>
      <w:r>
        <w:rPr>
          <w:rFonts w:ascii="Arial" w:cs="Arial" w:hAnsi="Arial"/>
        </w:rPr>
        <w:t>Decantación de sólidos; recuperación de solventes; reciclaje de agua, papel, envases, plásticos, metales, lodos y desechos; recuperación de averías; recuperación de materias primas por medio de condensación, absorción y filtración; recuperación de calor.</w:t>
      </w:r>
    </w:p>
    <w:p>
      <w:pPr>
        <w:pStyle w:val="style197"/>
        <w:spacing w:after="135" w:before="0" w:line="360" w:lineRule="auto"/>
        <w:jc w:val="both"/>
      </w:pPr>
      <w:r>
        <w:rPr>
          <w:rFonts w:ascii="Arial" w:cs="Arial" w:hAnsi="Arial"/>
        </w:rPr>
        <w:tab/>
        <w:t xml:space="preserve">De estas técnicas de ecoeficiencia unos 75% contenidas en ellas pueden ser aplicables por el  IUTY  </w:t>
      </w:r>
    </w:p>
    <w:p>
      <w:pPr>
        <w:pStyle w:val="style197"/>
        <w:spacing w:after="135" w:before="0"/>
        <w:ind w:hanging="0" w:left="720" w:right="0"/>
        <w:jc w:val="both"/>
      </w:pPr>
      <w:r>
        <w:rPr>
          <w:rFonts w:ascii="Arial" w:cs="Arial" w:hAnsi="Arial"/>
        </w:rPr>
      </w:r>
    </w:p>
    <w:p>
      <w:pPr>
        <w:pStyle w:val="style197"/>
        <w:spacing w:after="135" w:before="0" w:line="360" w:lineRule="auto"/>
        <w:jc w:val="both"/>
      </w:pPr>
      <w:r>
        <w:rPr>
          <w:rStyle w:val="style150"/>
          <w:rFonts w:ascii="Arial" w:cs="Arial" w:hAnsi="Arial"/>
        </w:rPr>
        <w:t>Ecoeficiencia: comportamiento</w:t>
      </w:r>
      <w:r>
        <w:rPr>
          <w:rStyle w:val="style150"/>
          <w:rFonts w:ascii="Arial" w:hAnsi="Arial"/>
        </w:rPr>
        <w:t xml:space="preserve"> empresarial responsable</w:t>
      </w:r>
    </w:p>
    <w:p>
      <w:pPr>
        <w:pStyle w:val="style197"/>
        <w:spacing w:after="135" w:before="0" w:line="360" w:lineRule="auto"/>
        <w:jc w:val="both"/>
      </w:pPr>
      <w:r>
        <w:rPr/>
      </w:r>
    </w:p>
    <w:p>
      <w:pPr>
        <w:pStyle w:val="style0"/>
        <w:autoSpaceDE w:val="false"/>
        <w:spacing w:after="0" w:before="0" w:line="360" w:lineRule="auto"/>
        <w:jc w:val="both"/>
      </w:pPr>
      <w:r>
        <w:rPr>
          <w:rFonts w:ascii="Arial" w:cs="Arial" w:hAnsi="Arial"/>
          <w:sz w:val="24"/>
          <w:szCs w:val="24"/>
        </w:rPr>
        <w:tab/>
        <w:t>Según los estudios realizados la ecoeficiencia es una filosofía administrativa que impulsa a las empresas para  buscar mejoras ambientales, paralelamente con los beneficios económicos. Se enfoca en las oportunidades de negocios, y permite a las empresas ser más responsables ambientalmente y más rentables.</w:t>
      </w:r>
    </w:p>
    <w:p>
      <w:pPr>
        <w:pStyle w:val="style0"/>
        <w:autoSpaceDE w:val="false"/>
        <w:spacing w:after="0" w:before="0" w:line="360" w:lineRule="auto"/>
        <w:jc w:val="both"/>
      </w:pPr>
      <w:r>
        <w:rPr>
          <w:rFonts w:ascii="Arial" w:cs="Arial" w:hAnsi="Arial"/>
          <w:sz w:val="24"/>
          <w:szCs w:val="24"/>
        </w:rPr>
      </w:r>
    </w:p>
    <w:p>
      <w:pPr>
        <w:pStyle w:val="style0"/>
        <w:autoSpaceDE w:val="false"/>
        <w:spacing w:after="0" w:before="0" w:line="360" w:lineRule="auto"/>
        <w:jc w:val="both"/>
      </w:pPr>
      <w:r>
        <w:rPr>
          <w:rFonts w:ascii="Arial" w:cs="Arial" w:hAnsi="Arial"/>
          <w:sz w:val="24"/>
          <w:szCs w:val="24"/>
        </w:rPr>
        <w:tab/>
        <w:t>Esta puede servir a las empresas como un medio para desarrollar e implementar exitosamente estrategias de negocios que lleven a la sostenibilidad. Estas estrategias tendrán un fuerte enfoque en la innovación tecnológica y social, la responsabilidad y la transparencia, y en la cooperación con otras partes de la sociedad con miras a obtener los objetivos establecidos y el cumplimiento de las metas que permita a los organismos e instituciones sobre la Responsabilidad Social Ambiental (RSA).</w:t>
      </w:r>
    </w:p>
    <w:p>
      <w:pPr>
        <w:pStyle w:val="style0"/>
        <w:autoSpaceDE w:val="false"/>
        <w:spacing w:after="0" w:before="0" w:line="360" w:lineRule="auto"/>
        <w:jc w:val="both"/>
      </w:pPr>
      <w:r>
        <w:rPr>
          <w:rFonts w:ascii="Arial" w:cs="Arial" w:hAnsi="Arial"/>
          <w:sz w:val="24"/>
          <w:szCs w:val="24"/>
        </w:rPr>
      </w:r>
    </w:p>
    <w:p>
      <w:pPr>
        <w:pStyle w:val="style0"/>
        <w:autoSpaceDE w:val="false"/>
        <w:spacing w:after="0" w:before="0" w:line="360" w:lineRule="auto"/>
        <w:jc w:val="both"/>
      </w:pPr>
      <w:r>
        <w:rPr>
          <w:rFonts w:ascii="Arial" w:cs="Arial" w:hAnsi="Arial"/>
          <w:sz w:val="24"/>
          <w:szCs w:val="24"/>
        </w:rPr>
        <w:tab/>
        <w:t>Dicho de otra forma  es hoy una iniciativa de reciclaje o de conservación de la energía.  En síntesis ser una Empresa Ambientalmente Responsable (EAR) es considerar todos los impactos ecológicos que generan la producción y operación de la empresa.</w:t>
      </w:r>
    </w:p>
    <w:p>
      <w:pPr>
        <w:pStyle w:val="style0"/>
        <w:autoSpaceDE w:val="false"/>
        <w:spacing w:after="0" w:before="0" w:line="360" w:lineRule="auto"/>
        <w:jc w:val="both"/>
      </w:pPr>
      <w:r>
        <w:rPr>
          <w:rFonts w:ascii="Arial" w:cs="Arial" w:hAnsi="Arial"/>
          <w:sz w:val="24"/>
          <w:szCs w:val="24"/>
        </w:rPr>
      </w:r>
    </w:p>
    <w:p>
      <w:pPr>
        <w:pStyle w:val="style0"/>
        <w:autoSpaceDE w:val="false"/>
        <w:spacing w:after="0" w:before="0" w:line="360" w:lineRule="auto"/>
        <w:jc w:val="both"/>
      </w:pPr>
      <w:r>
        <w:rPr>
          <w:rFonts w:ascii="Arial" w:cs="Arial" w:hAnsi="Arial"/>
          <w:sz w:val="24"/>
        </w:rPr>
        <w:tab/>
        <w:t>También la Responsabilidad Social Ambiental (RSA) se puede entender como el conjunto de mecanismos de desarrollo limpio aplicados por las empresas públicas o privadas, para minimizar su impacto al medio ambiente en el espacio donde desarrolla sus actividades de producción, contribuyendo así a mejorar la calidad de vida de los habitantes y de sus alrededores.</w:t>
      </w:r>
    </w:p>
    <w:p>
      <w:pPr>
        <w:pStyle w:val="style0"/>
        <w:autoSpaceDE w:val="false"/>
        <w:spacing w:after="0" w:before="0" w:line="360" w:lineRule="auto"/>
        <w:jc w:val="both"/>
      </w:pPr>
      <w:r>
        <w:rPr>
          <w:rFonts w:ascii="Arial" w:cs="Arial" w:hAnsi="Arial"/>
          <w:sz w:val="24"/>
        </w:rPr>
      </w:r>
    </w:p>
    <w:p>
      <w:pPr>
        <w:pStyle w:val="style0"/>
        <w:spacing w:after="280" w:before="280" w:line="360" w:lineRule="auto"/>
        <w:jc w:val="both"/>
      </w:pPr>
      <w:r>
        <w:rPr>
          <w:rFonts w:ascii="Arial" w:cs="Arial" w:hAnsi="Arial"/>
          <w:b/>
          <w:sz w:val="24"/>
        </w:rPr>
        <w:t>Beneficios de la</w:t>
      </w:r>
      <w:r>
        <w:rPr>
          <w:b/>
          <w:sz w:val="24"/>
        </w:rPr>
        <w:t xml:space="preserve"> </w:t>
      </w:r>
      <w:r>
        <w:rPr>
          <w:rFonts w:ascii="Arial" w:cs="Arial" w:hAnsi="Arial"/>
          <w:b/>
          <w:sz w:val="24"/>
        </w:rPr>
        <w:t xml:space="preserve">Responsabilidad Social Ambiental (RSA) </w:t>
      </w:r>
    </w:p>
    <w:p>
      <w:pPr>
        <w:pStyle w:val="style0"/>
        <w:spacing w:after="280" w:before="280" w:line="360" w:lineRule="auto"/>
        <w:jc w:val="both"/>
      </w:pPr>
      <w:r>
        <w:rPr>
          <w:rFonts w:ascii="Arial" w:cs="Arial" w:hAnsi="Arial"/>
          <w:b/>
          <w:sz w:val="24"/>
        </w:rPr>
      </w:r>
    </w:p>
    <w:p>
      <w:pPr>
        <w:pStyle w:val="style0"/>
        <w:spacing w:after="280" w:before="280" w:line="360" w:lineRule="auto"/>
        <w:jc w:val="both"/>
      </w:pPr>
      <w:r>
        <w:rPr>
          <w:rFonts w:ascii="Arial" w:cs="Arial" w:hAnsi="Arial"/>
          <w:sz w:val="24"/>
        </w:rPr>
        <w:tab/>
        <w:t xml:space="preserve">En esta sección se señalara el compromiso de las empresas con la aplicación de Responsabilidad Social Ambiental (RSA) y los resultados que obtienen así como los beneficios esto son tanto cualitativos como cuantitativos. El Centro Empresarial de Inversión Social (2004) menciona algunos: “aumento del rendimiento económico y financiero, reducción de costos de producción, mejor calidad de productos, aumenta la reputación” (p. 4). </w:t>
      </w:r>
    </w:p>
    <w:p>
      <w:pPr>
        <w:pStyle w:val="style0"/>
        <w:pageBreakBefore/>
        <w:spacing w:after="0" w:before="0" w:line="240" w:lineRule="auto"/>
      </w:pPr>
      <w:r>
        <w:rPr>
          <w:rFonts w:ascii="Arial" w:cs="Arial" w:hAnsi="Arial"/>
          <w:sz w:val="24"/>
        </w:rPr>
      </w:r>
    </w:p>
    <w:p>
      <w:pPr>
        <w:pStyle w:val="style0"/>
        <w:autoSpaceDE w:val="false"/>
        <w:spacing w:after="0" w:before="0" w:line="360" w:lineRule="auto"/>
        <w:jc w:val="both"/>
      </w:pPr>
      <w:r>
        <w:rPr>
          <w:rFonts w:ascii="Arial" w:cs="Arial" w:hAnsi="Arial"/>
          <w:b/>
          <w:bCs/>
          <w:color w:val="000000"/>
          <w:sz w:val="24"/>
          <w:szCs w:val="24"/>
        </w:rPr>
        <w:t>Bases Legales</w:t>
      </w:r>
    </w:p>
    <w:p>
      <w:pPr>
        <w:pStyle w:val="style0"/>
        <w:autoSpaceDE w:val="false"/>
        <w:spacing w:after="0" w:before="0" w:line="360" w:lineRule="auto"/>
        <w:jc w:val="both"/>
      </w:pPr>
      <w:r>
        <w:rPr>
          <w:rFonts w:ascii="Arial" w:cs="Arial" w:hAnsi="Arial"/>
          <w:color w:val="000000"/>
          <w:sz w:val="24"/>
          <w:szCs w:val="24"/>
        </w:rPr>
        <w:tab/>
      </w:r>
    </w:p>
    <w:p>
      <w:pPr>
        <w:pStyle w:val="style0"/>
        <w:autoSpaceDE w:val="false"/>
        <w:spacing w:after="0" w:before="0" w:line="360" w:lineRule="auto"/>
        <w:jc w:val="both"/>
      </w:pPr>
      <w:r>
        <w:rPr>
          <w:rFonts w:ascii="Arial" w:cs="Arial" w:hAnsi="Arial"/>
          <w:color w:val="000000"/>
          <w:sz w:val="24"/>
          <w:szCs w:val="24"/>
        </w:rPr>
        <w:tab/>
        <w:t xml:space="preserve">A continuación se presentaran </w:t>
      </w:r>
      <w:r>
        <w:rPr>
          <w:rFonts w:ascii="Trebuchet MS" w:cs="Trebuchet MS" w:hAnsi="Trebuchet MS"/>
          <w:color w:val="333333"/>
          <w:sz w:val="19"/>
        </w:rPr>
        <w:t> </w:t>
      </w:r>
      <w:r>
        <w:rPr>
          <w:rFonts w:ascii="Arial" w:cs="Arial" w:hAnsi="Arial"/>
          <w:color w:val="000000"/>
          <w:sz w:val="24"/>
          <w:szCs w:val="24"/>
          <w:shd w:fill="FFFFFF" w:val="clear"/>
        </w:rPr>
        <w:t>leyes normas y reglamentos, que sustentan de forma legal el desarrollo de la investigación</w:t>
      </w:r>
      <w:r>
        <w:rPr>
          <w:rFonts w:ascii="Arial" w:cs="Arial" w:hAnsi="Arial"/>
          <w:color w:val="000000"/>
          <w:sz w:val="24"/>
          <w:szCs w:val="24"/>
        </w:rPr>
        <w:t xml:space="preserve"> entre ellos se encuentran: la carta magna, la normativa nacional, estadales  y municipal </w:t>
      </w:r>
    </w:p>
    <w:p>
      <w:pPr>
        <w:pStyle w:val="style0"/>
        <w:autoSpaceDE w:val="false"/>
        <w:spacing w:after="0" w:before="0" w:line="360" w:lineRule="auto"/>
        <w:jc w:val="both"/>
      </w:pPr>
      <w:r>
        <w:rPr>
          <w:rFonts w:ascii="Arial" w:cs="Arial" w:hAnsi="Arial"/>
          <w:b/>
          <w:bCs/>
          <w:color w:val="000000"/>
          <w:sz w:val="24"/>
          <w:szCs w:val="24"/>
        </w:rPr>
      </w:r>
    </w:p>
    <w:p>
      <w:pPr>
        <w:pStyle w:val="style197"/>
        <w:spacing w:after="0" w:before="0" w:line="360" w:lineRule="auto"/>
        <w:jc w:val="both"/>
      </w:pPr>
      <w:r>
        <w:rPr>
          <w:rFonts w:ascii="Arial" w:cs="Arial" w:hAnsi="Arial"/>
          <w:bCs/>
          <w:color w:val="000000"/>
        </w:rPr>
        <w:tab/>
        <w:t xml:space="preserve">Los Bienes Nacionales o Dominio Público en Venezuela tiene sus raíces en la ponencia en la Constitución Bolivariana de Venezuela, </w:t>
      </w:r>
      <w:r>
        <w:rPr>
          <w:rFonts w:ascii="Arial" w:cs="Arial" w:hAnsi="Arial"/>
          <w:color w:val="000000"/>
        </w:rPr>
        <w:t xml:space="preserve"> en el Título II, referente a los El Espacio Geográfico y La División Política, en su Capítulo I, referido al Territorio y demás Espacios Geográficos, dispone, como bienes del Dominio Público de La República, los siguientes:</w:t>
      </w:r>
    </w:p>
    <w:p>
      <w:pPr>
        <w:pStyle w:val="style0"/>
        <w:spacing w:line="360" w:lineRule="auto"/>
        <w:ind w:hanging="0" w:left="737" w:right="-2"/>
        <w:jc w:val="both"/>
      </w:pPr>
      <w:r>
        <w:rPr>
          <w:rFonts w:ascii="Arial" w:cs="Arial" w:hAnsi="Arial"/>
          <w:color w:val="333333"/>
          <w:sz w:val="24"/>
          <w:szCs w:val="24"/>
          <w:lang w:eastAsia="es-ES"/>
        </w:rPr>
        <w:t xml:space="preserve">1) </w:t>
      </w:r>
      <w:r>
        <w:rPr>
          <w:rFonts w:ascii="Arial" w:cs="Arial" w:hAnsi="Arial"/>
          <w:color w:val="000000"/>
          <w:sz w:val="24"/>
          <w:szCs w:val="24"/>
          <w:lang w:eastAsia="es-ES"/>
        </w:rPr>
        <w:t>El territorio definido, y demás espacios geográficos de la República son los que correspondían a la Capitanía General de Venezuela antes de la transformación política iniciada el 19 de abril de 1810, con las modificaciones resultantes de los tratados y laudos arbitrales no viciados de nulidad.(Artículo 10)</w:t>
      </w:r>
    </w:p>
    <w:p>
      <w:pPr>
        <w:pStyle w:val="style0"/>
        <w:spacing w:line="360" w:lineRule="auto"/>
        <w:ind w:hanging="0" w:left="737" w:right="-2"/>
        <w:jc w:val="both"/>
      </w:pPr>
      <w:r>
        <w:rPr>
          <w:rFonts w:ascii="Arial" w:cs="Arial" w:hAnsi="Arial"/>
          <w:color w:val="000000"/>
          <w:sz w:val="24"/>
          <w:szCs w:val="24"/>
          <w:lang w:eastAsia="es-ES"/>
        </w:rPr>
        <w:t>2) Los espacios continental e insular, lacustre y fluvial, mar territorial, áreas marinas interiores, históricas y vitales y las comprendidas dentro de las líneas de base recta que ha adoptado o adopte la República; el suelo y subsuelo de éstos; el espacio aéreo continental, insular y marítimo y los recursos que en ellos se encuentran, incluidos los genéticos, los de las especies migratorias, sus productos derivados y los componentes intangibles que por causas naturales allí se hallen.</w:t>
      </w:r>
    </w:p>
    <w:p>
      <w:pPr>
        <w:pStyle w:val="style0"/>
        <w:spacing w:line="360" w:lineRule="auto"/>
        <w:ind w:hanging="0" w:left="737" w:right="-2"/>
        <w:jc w:val="both"/>
      </w:pPr>
      <w:r>
        <w:rPr>
          <w:rFonts w:ascii="Arial" w:cs="Arial" w:hAnsi="Arial"/>
          <w:color w:val="000000"/>
          <w:sz w:val="24"/>
          <w:szCs w:val="24"/>
          <w:lang w:eastAsia="es-ES"/>
        </w:rPr>
        <w:t>El espacio insular de la República comprende el archipiélago de Los Monjes, archipiélago de Las Aves, archipiélago de Los Roques, archipiélago de La Orchila, isla La Tortuga, isla La Blanquilla, archipiélago Los Hermanos, islas de Margarita, Cubagua y Coche, archipiélago de Los Frailes, isla La Sola, archipiélago de Los Testigos, isla de Patos e isla de Aves; y, además, las islas, islotes, cayos y bancos situados o que emerjan dentro del mar territorial, en el que cubre la plataforma continental o dentro de los límites de la zona económica exclusiva.</w:t>
      </w:r>
    </w:p>
    <w:p>
      <w:pPr>
        <w:pStyle w:val="style0"/>
        <w:spacing w:line="360" w:lineRule="auto"/>
        <w:ind w:hanging="0" w:left="737" w:right="-2"/>
        <w:jc w:val="both"/>
      </w:pPr>
      <w:r>
        <w:rPr>
          <w:rFonts w:ascii="Arial" w:cs="Arial" w:hAnsi="Arial"/>
          <w:color w:val="000000"/>
          <w:sz w:val="24"/>
          <w:szCs w:val="24"/>
          <w:lang w:eastAsia="es-ES"/>
        </w:rPr>
        <w:t>Sobre los espacios acuáticos constituidos por la zona marítima contigua, la plataforma continental y la zona económica exclusiva, la República ejerce derechos exclusivos de soberanía y jurisdicción en los términos, extensión y condiciones que determinen el derecho internacional público y la ley.</w:t>
      </w:r>
    </w:p>
    <w:p>
      <w:pPr>
        <w:pStyle w:val="style0"/>
        <w:spacing w:line="360" w:lineRule="auto"/>
        <w:ind w:hanging="0" w:left="737" w:right="-2"/>
        <w:jc w:val="both"/>
      </w:pPr>
      <w:r>
        <w:rPr>
          <w:rFonts w:ascii="Arial" w:cs="Arial" w:hAnsi="Arial"/>
          <w:color w:val="000000"/>
          <w:sz w:val="24"/>
          <w:szCs w:val="24"/>
          <w:lang w:eastAsia="es-ES"/>
        </w:rPr>
        <w:t>Corresponden a la República derechos en el espacio ultraterrestre suprayacente y en las áreas que son o puedan ser patrimonio común de la humanidad, en los términos, extensión y condiciones que determinen los acuerdos internacionales y la legislación nacional.(Artículo 11)</w:t>
      </w:r>
    </w:p>
    <w:p>
      <w:pPr>
        <w:pStyle w:val="style0"/>
        <w:spacing w:line="360" w:lineRule="auto"/>
        <w:ind w:hanging="0" w:left="737" w:right="-2"/>
        <w:jc w:val="both"/>
      </w:pPr>
      <w:r>
        <w:rPr>
          <w:rFonts w:ascii="Arial" w:cs="Arial" w:hAnsi="Arial"/>
          <w:color w:val="000000"/>
          <w:sz w:val="24"/>
          <w:szCs w:val="24"/>
          <w:lang w:eastAsia="es-ES"/>
        </w:rPr>
        <w:t>3) Los yacimientos mineros y de hidrocarburos, cualquiera que sea su naturaleza, existentes en el territorio nacional, bajo el lecho del mar territorial, en la zona económica exclusiva y en la plataforma continental, pertenecen a la República, son bienes del dominio público y, por tanto, inalienables e imprescriptibles. Las costas marinas son bienes del dominio público. (Artículo 12).</w:t>
      </w:r>
    </w:p>
    <w:p>
      <w:pPr>
        <w:pStyle w:val="style0"/>
        <w:spacing w:line="360" w:lineRule="auto"/>
        <w:ind w:hanging="0" w:left="737" w:right="-2"/>
        <w:jc w:val="both"/>
      </w:pPr>
      <w:r>
        <w:rPr>
          <w:rFonts w:ascii="Arial" w:cs="Arial" w:hAnsi="Arial"/>
          <w:color w:val="000000"/>
          <w:sz w:val="24"/>
          <w:szCs w:val="24"/>
          <w:lang w:eastAsia="es-ES"/>
        </w:rPr>
        <w:t>De lo que se colige, que por primera vez, a diferencia de otras Constituciones, la Ley Fundamental, en el artículo 11, hace referencia expresa a la terminología de bienes del dominio público, e incluso alude a sus características como lo son inalienabilidad e imprescriptibibilidad. Advirtiendo, en su artículo 13, que el territorio podrá ser jamás cedido, traspasado, arrendado, ni en forma alguna enajenado, ni aun temporal o parcialmente, a Estados extranjeros u otros sujetos de derecho internacional.</w:t>
      </w:r>
    </w:p>
    <w:p>
      <w:pPr>
        <w:pStyle w:val="style0"/>
        <w:spacing w:line="360" w:lineRule="auto"/>
        <w:ind w:hanging="0" w:left="737" w:right="-2"/>
        <w:jc w:val="both"/>
      </w:pPr>
      <w:r>
        <w:rPr>
          <w:rFonts w:ascii="Arial" w:cs="Arial" w:hAnsi="Arial"/>
          <w:color w:val="000000"/>
          <w:sz w:val="24"/>
          <w:szCs w:val="24"/>
          <w:lang w:eastAsia="es-ES"/>
        </w:rPr>
        <w:t>El espacio geográfico venezolano es una zona de paz. No se podrán establecer en él bases militares extranjeras o instalaciones que tengan de alguna manera propósitos militares, por parte de ninguna potencia o coalición de potencias.</w:t>
      </w:r>
    </w:p>
    <w:p>
      <w:pPr>
        <w:pStyle w:val="style0"/>
        <w:spacing w:line="360" w:lineRule="auto"/>
        <w:ind w:hanging="0" w:left="0" w:right="-2"/>
        <w:jc w:val="both"/>
      </w:pPr>
      <w:r>
        <w:rPr>
          <w:rFonts w:ascii="Arial" w:cs="Arial" w:hAnsi="Arial"/>
          <w:color w:val="000000"/>
          <w:sz w:val="24"/>
          <w:szCs w:val="24"/>
          <w:lang w:eastAsia="es-ES"/>
        </w:rPr>
        <w:tab/>
        <w:t>Los Estados extranjeros u otros sujetos de derecho internacional sólo podrán adquirir inmuebles para sedes de sus representaciones diplomáticas o consulares dentro del área que se determine y mediante garantías de reciprocidad, con las limitaciones que establezca la ley. En dicho caso quedará siempre a salvo la soberanía nacional.</w:t>
      </w:r>
    </w:p>
    <w:p>
      <w:pPr>
        <w:pStyle w:val="style0"/>
        <w:spacing w:line="360" w:lineRule="auto"/>
        <w:ind w:hanging="0" w:left="567" w:right="-2"/>
        <w:jc w:val="both"/>
      </w:pPr>
      <w:r>
        <w:rPr>
          <w:rFonts w:ascii="Arial" w:cs="Arial" w:hAnsi="Arial"/>
          <w:color w:val="000000"/>
          <w:sz w:val="24"/>
          <w:szCs w:val="24"/>
          <w:lang w:eastAsia="es-ES"/>
        </w:rPr>
        <w:t>4) Las tierras baldías existentes en las dependencias federales y en las islas fluviales o lacustres no podrán enajenarse, y su aprovechamiento sólo podrá concederse en forma que no implique, directa ni indirectamente, la transferencia de la propiedad de la tierra.</w:t>
      </w:r>
    </w:p>
    <w:p>
      <w:pPr>
        <w:pStyle w:val="style0"/>
        <w:spacing w:line="360" w:lineRule="auto"/>
        <w:ind w:hanging="0" w:left="567" w:right="140"/>
        <w:jc w:val="both"/>
      </w:pPr>
      <w:r>
        <w:rPr>
          <w:rFonts w:ascii="Arial" w:cs="Arial" w:hAnsi="Arial"/>
          <w:color w:val="000000"/>
          <w:sz w:val="24"/>
          <w:szCs w:val="24"/>
          <w:lang w:eastAsia="es-ES"/>
        </w:rPr>
        <w:t>5) De igual forma, son bienes del dominio público de la República, atendiendo al Artículo 156 constitucional:</w:t>
      </w:r>
    </w:p>
    <w:p>
      <w:pPr>
        <w:pStyle w:val="style0"/>
        <w:spacing w:line="360" w:lineRule="auto"/>
        <w:ind w:hanging="0" w:left="0" w:right="-2"/>
        <w:jc w:val="both"/>
      </w:pPr>
      <w:r>
        <w:rPr>
          <w:rFonts w:ascii="Arial" w:cs="Arial" w:hAnsi="Arial"/>
          <w:color w:val="000000"/>
          <w:sz w:val="24"/>
          <w:szCs w:val="24"/>
          <w:lang w:eastAsia="es-ES"/>
        </w:rPr>
        <w:tab/>
        <w:t>Los bienes, para prestar los servicios de identificación; los bienes necesarios para ejercer la actividad de policía nacional; así como para la seguridad, la defensa y el desarrollo nacional, y la organización y régimen de la Fuerza Armada Nacional; los bienes para ejercer la administración de riesgos y emergencias; el Banco Central de Venezuela y la Comisión de Valores, y todos aquéllos se ejerce la actividad tendente a la regulación de la banca central, del sistema monetario, del régimen cambiario, del sistema financiero y del mercado de capitales; la emisión y acuñación de moneda; los bienes destinados a la creación, organización, recaudación, administración y control de los impuestos sobre la renta, sobre sucesiones, donaciones y demás ramos conexos, el capital, la producción, el valor agregado, los hidrocarburos y minas, de los gravámenes a la importación y exportación de bienes y servicios, los impuestos que recaigan sobre el consumo de licores, alcoholes y demás especies alcohólicas, cigarrillos y demás manufacturas del tabaco, y de los demás impuestos, tasas y rentas no atribuidas a los Estados y Municipios por esta Constitución o por la ley; los bienes destinados a las aduanas; las minas e hidrocarburos, los bosques, suelos, aguas y otras riquezas naturales del país; las obras públicas de interés nacional; los bienes que sustentan la organización del sistema de seguridad social; los sistemas de navegación y del transporte aéreo terrestre, marítimo, fluvial y lacustre, de carácter nacional; el sistema de vialidad y de ferrocarriles nacionales; los bienes para prestar el servicio de correo y de las telecomunicaciones, así como el régimen y la administración del espectro electromagnético; entre otros.</w:t>
      </w:r>
    </w:p>
    <w:p>
      <w:pPr>
        <w:pStyle w:val="style197"/>
        <w:spacing w:after="0" w:before="0" w:line="360" w:lineRule="auto"/>
        <w:jc w:val="both"/>
      </w:pPr>
      <w:r>
        <w:rPr>
          <w:rFonts w:ascii="Arial" w:cs="Arial" w:hAnsi="Arial"/>
          <w:color w:val="000000"/>
        </w:rPr>
      </w:r>
    </w:p>
    <w:p>
      <w:pPr>
        <w:pStyle w:val="style197"/>
        <w:spacing w:after="0" w:before="0" w:line="360" w:lineRule="auto"/>
        <w:ind w:hanging="0" w:left="142" w:right="0"/>
        <w:jc w:val="both"/>
      </w:pPr>
      <w:r>
        <w:rPr>
          <w:rFonts w:ascii="Arial" w:cs="Arial" w:hAnsi="Arial"/>
          <w:bCs/>
          <w:color w:val="000000"/>
        </w:rPr>
        <w:tab/>
        <w:t xml:space="preserve"> El Decreto con Rango Valor y Fuerza de Ley Orgánica de Bienes que Regula la Enajenación de Bienes del Sector (</w:t>
      </w:r>
      <w:r>
        <w:rPr>
          <w:rFonts w:ascii="Arial" w:cs="Arial" w:hAnsi="Arial"/>
          <w:b/>
          <w:bCs/>
          <w:color w:val="000000"/>
        </w:rPr>
        <w:t xml:space="preserve">Gaceta Oficial N° 39.945 de fecha 15 de junio de 2012) en su Capítulo </w:t>
      </w:r>
      <w:r>
        <w:rPr>
          <w:rFonts w:ascii="Arial" w:cs="Arial" w:hAnsi="Arial"/>
          <w:b/>
          <w:bCs/>
          <w:color w:val="000000"/>
          <w:szCs w:val="19"/>
        </w:rPr>
        <w:t xml:space="preserve">VIII. </w:t>
      </w:r>
      <w:r>
        <w:rPr>
          <w:rFonts w:ascii="Arial" w:cs="Arial" w:hAnsi="Arial"/>
          <w:b/>
          <w:bCs/>
          <w:color w:val="000000"/>
        </w:rPr>
        <w:t>Desincorporacion y Enajenación de Bienes,  Obligación de enajenar</w:t>
      </w:r>
    </w:p>
    <w:p>
      <w:pPr>
        <w:pStyle w:val="style0"/>
        <w:tabs>
          <w:tab w:leader="none" w:pos="8220" w:val="left"/>
        </w:tabs>
        <w:autoSpaceDE w:val="false"/>
        <w:spacing w:after="0" w:before="0" w:line="360" w:lineRule="auto"/>
        <w:ind w:hanging="0" w:left="0" w:right="-2"/>
        <w:jc w:val="both"/>
      </w:pPr>
      <w:r>
        <w:rPr>
          <w:rFonts w:ascii="Arial" w:cs="Arial" w:hAnsi="Arial"/>
          <w:b/>
          <w:bCs/>
          <w:sz w:val="24"/>
          <w:szCs w:val="24"/>
        </w:rPr>
        <w:t xml:space="preserve">Artículo 73. </w:t>
      </w:r>
      <w:r>
        <w:rPr>
          <w:rFonts w:ascii="Arial" w:cs="Arial" w:hAnsi="Arial"/>
          <w:sz w:val="24"/>
          <w:szCs w:val="24"/>
        </w:rPr>
        <w:t>Los órganos y entes del Sector Público deberán enajenar los bienes públicos de su propiedad que no fueren necesarios para el cumplimiento de sus finalidades y los que hubiesen sido desincorporados por obsolescencia o deterioro, conforme a los términos establecidos en la presente Ley, en lo que les sea aplicable.</w:t>
      </w:r>
    </w:p>
    <w:p>
      <w:pPr>
        <w:pStyle w:val="style0"/>
        <w:autoSpaceDE w:val="false"/>
        <w:spacing w:after="0" w:before="0" w:line="360" w:lineRule="auto"/>
        <w:ind w:hanging="0" w:left="1134" w:right="1134"/>
        <w:jc w:val="both"/>
      </w:pPr>
      <w:r>
        <w:rPr>
          <w:rFonts w:ascii="Arial" w:cs="Arial" w:hAnsi="Arial"/>
          <w:sz w:val="24"/>
          <w:szCs w:val="24"/>
        </w:rPr>
      </w:r>
    </w:p>
    <w:p>
      <w:pPr>
        <w:pStyle w:val="style0"/>
        <w:autoSpaceDE w:val="false"/>
        <w:spacing w:after="0" w:before="0" w:line="360" w:lineRule="auto"/>
        <w:jc w:val="both"/>
      </w:pPr>
      <w:r>
        <w:rPr>
          <w:rFonts w:ascii="Arial" w:cs="Arial" w:hAnsi="Arial"/>
          <w:b/>
          <w:bCs/>
          <w:sz w:val="24"/>
          <w:szCs w:val="24"/>
        </w:rPr>
        <w:tab/>
      </w:r>
      <w:r>
        <w:rPr>
          <w:rFonts w:ascii="Arial" w:cs="Arial" w:hAnsi="Arial"/>
          <w:bCs/>
          <w:sz w:val="24"/>
          <w:szCs w:val="24"/>
        </w:rPr>
        <w:t>Con respecto a lo antes mencionado en el artículo el mismo asienta que solo se enajenaran los bienes que no estén cumpliendo o preste ninguna función o utilidad dentro de los órganos y ente del sector público.</w:t>
      </w:r>
    </w:p>
    <w:p>
      <w:pPr>
        <w:pStyle w:val="style0"/>
        <w:autoSpaceDE w:val="false"/>
        <w:spacing w:after="0" w:before="0" w:line="360" w:lineRule="auto"/>
        <w:jc w:val="both"/>
      </w:pPr>
      <w:r>
        <w:rPr>
          <w:rFonts w:ascii="Arial" w:cs="Arial" w:hAnsi="Arial"/>
          <w:bCs/>
          <w:sz w:val="24"/>
          <w:szCs w:val="24"/>
        </w:rPr>
        <w:tab/>
        <w:t xml:space="preserve"> </w:t>
      </w:r>
    </w:p>
    <w:p>
      <w:pPr>
        <w:pStyle w:val="style0"/>
        <w:autoSpaceDE w:val="false"/>
        <w:spacing w:after="0" w:before="0" w:line="360" w:lineRule="auto"/>
        <w:jc w:val="both"/>
      </w:pPr>
      <w:r>
        <w:rPr>
          <w:rFonts w:ascii="Arial" w:cs="Arial" w:hAnsi="Arial"/>
          <w:bCs/>
          <w:sz w:val="24"/>
          <w:szCs w:val="24"/>
        </w:rPr>
        <w:tab/>
        <w:t xml:space="preserve">En ese mismo orden de idea la Ley establece en su artículo 75 las modificaciones de los bienes por </w:t>
      </w:r>
      <w:r>
        <w:rPr>
          <w:rFonts w:ascii="Arial" w:cs="Arial" w:hAnsi="Arial"/>
          <w:b/>
          <w:bCs/>
          <w:sz w:val="24"/>
          <w:szCs w:val="19"/>
        </w:rPr>
        <w:t>Pérdida, deterioro u obsolescencia de bienes  c</w:t>
      </w:r>
      <w:r>
        <w:rPr>
          <w:rFonts w:ascii="Arial" w:cs="Arial" w:hAnsi="Arial"/>
          <w:sz w:val="24"/>
          <w:szCs w:val="19"/>
        </w:rPr>
        <w:t>uando un Bien Público sufra pérdida o deterioro que imposibilite de manera permanente su utilidad, deberá ser desincorporado del inventario de Bienes Públicos del respectivo ente u organismo, previa autorización de la Comisión de Enajenación de Bienes Públicos. Igual procedimiento habrá de seguirse en los casos de bienes que no sean susceptibles de reparación, a los cuales se les dará la condición de obsolescencia y los que resultaren inservibles por haber sido modificados o alterados para recuperar o poner en funcionamiento otros bienes.</w:t>
      </w:r>
    </w:p>
    <w:p>
      <w:pPr>
        <w:pStyle w:val="style0"/>
        <w:autoSpaceDE w:val="false"/>
        <w:spacing w:after="0" w:before="0" w:line="360" w:lineRule="auto"/>
        <w:ind w:hanging="0" w:left="1134" w:right="1134"/>
        <w:jc w:val="both"/>
      </w:pPr>
      <w:r>
        <w:rPr>
          <w:rFonts w:ascii="Arial" w:cs="Arial" w:hAnsi="Arial"/>
          <w:sz w:val="24"/>
          <w:szCs w:val="19"/>
        </w:rPr>
      </w:r>
    </w:p>
    <w:p>
      <w:pPr>
        <w:pStyle w:val="style197"/>
        <w:spacing w:after="0" w:before="0" w:line="360" w:lineRule="auto"/>
        <w:ind w:hanging="0" w:left="142" w:right="0"/>
        <w:jc w:val="both"/>
      </w:pPr>
      <w:r>
        <w:rPr>
          <w:rFonts w:ascii="Arial" w:cs="Arial" w:hAnsi="Arial"/>
          <w:b/>
          <w:bCs/>
          <w:lang w:val="es-ES"/>
        </w:rPr>
        <w:tab/>
      </w:r>
      <w:r>
        <w:rPr>
          <w:rFonts w:ascii="Arial" w:cs="Arial" w:hAnsi="Arial"/>
          <w:bCs/>
        </w:rPr>
        <w:t xml:space="preserve">Es importante señalar que antes de realizar cualquier transacción con los bienes de la nación que hayan sufrido cualquier modificación o variación por pérdidas, obsolescencias y deterioro primero se debe  desincorporar del inventario de Bienes Público previa autorización de la Comisión.  </w:t>
      </w:r>
      <w:r>
        <w:rPr>
          <w:rFonts w:ascii="Arial" w:cs="Arial" w:hAnsi="Arial"/>
          <w:bCs/>
          <w:color w:val="000000"/>
        </w:rPr>
        <w:t xml:space="preserve"> </w:t>
      </w:r>
    </w:p>
    <w:p>
      <w:pPr>
        <w:pStyle w:val="style197"/>
        <w:spacing w:after="0" w:before="0" w:line="360" w:lineRule="auto"/>
        <w:ind w:hanging="0" w:left="142" w:right="0"/>
        <w:jc w:val="both"/>
      </w:pPr>
      <w:r>
        <w:rPr>
          <w:rFonts w:ascii="Arial" w:cs="Arial" w:hAnsi="Arial"/>
          <w:bCs/>
          <w:color w:val="000000"/>
        </w:rPr>
      </w:r>
    </w:p>
    <w:p>
      <w:pPr>
        <w:pStyle w:val="style197"/>
        <w:spacing w:after="0" w:before="0" w:line="360" w:lineRule="auto"/>
        <w:ind w:hanging="0" w:left="142" w:right="0"/>
        <w:jc w:val="both"/>
      </w:pPr>
      <w:r>
        <w:rPr>
          <w:rFonts w:ascii="Arial" w:cs="Arial" w:hAnsi="Arial"/>
          <w:bCs/>
          <w:color w:val="000000"/>
        </w:rPr>
        <w:tab/>
        <w:t xml:space="preserve">Asimismo en artículo 28 de la referida </w:t>
      </w:r>
      <w:r>
        <w:rPr>
          <w:rFonts w:ascii="Arial" w:cs="Arial" w:hAnsi="Arial"/>
          <w:bCs/>
          <w:color w:val="000000"/>
          <w:sz w:val="36"/>
        </w:rPr>
        <w:t xml:space="preserve"> </w:t>
      </w:r>
      <w:r>
        <w:rPr>
          <w:rFonts w:ascii="Arial" w:cs="Arial" w:hAnsi="Arial"/>
          <w:bCs/>
          <w:color w:val="000000"/>
        </w:rPr>
        <w:t xml:space="preserve">Ley de Bienes Público  se señala la creación de la Comisión de Enajenación </w:t>
      </w:r>
      <w:r>
        <w:rPr>
          <w:rFonts w:ascii="Arial" w:cs="Arial" w:hAnsi="Arial"/>
        </w:rPr>
        <w:t>de Bienes Públicos, como órgano de la Superintendencia de Bienes Públicos facultado para autorizar la enajenación de los bienes públicos que sean propiedad, o que se encuentren adscritos a alguno de los órganos o entes que conforman el Poder Público Nacional, en todas sus instancias, la cual estará conformada por el Superintendente o la Superintendente Nacional de Bienes Públicos, quien presidirá la misma, y cuatro (4) miembros principales y sus respectivos suplentes, de libre elección y remoción del Presidente de la República.</w:t>
      </w:r>
    </w:p>
    <w:p>
      <w:pPr>
        <w:pStyle w:val="style197"/>
        <w:spacing w:after="0" w:before="0" w:line="360" w:lineRule="auto"/>
        <w:jc w:val="both"/>
      </w:pPr>
      <w:r>
        <w:rPr>
          <w:rFonts w:ascii="Arial" w:cs="Arial" w:hAnsi="Arial"/>
        </w:rPr>
        <w:tab/>
      </w:r>
    </w:p>
    <w:p>
      <w:pPr>
        <w:pStyle w:val="style197"/>
        <w:spacing w:after="0" w:before="0" w:line="360" w:lineRule="auto"/>
        <w:jc w:val="both"/>
      </w:pPr>
      <w:r>
        <w:rPr>
          <w:rFonts w:ascii="Arial" w:cs="Arial" w:hAnsi="Arial"/>
        </w:rPr>
        <w:tab/>
        <w:t>Actualmente los Organismos e instituciones del Sector Público se rigen bajo las normas General de Contabilidad del Sector Publico publicada en Gaceta Ofician n º 36100 el 4 de diciembre del 1996.</w:t>
      </w:r>
    </w:p>
    <w:p>
      <w:pPr>
        <w:pStyle w:val="style197"/>
        <w:spacing w:after="0" w:before="0" w:line="360" w:lineRule="auto"/>
        <w:jc w:val="both"/>
      </w:pPr>
      <w:r>
        <w:rPr>
          <w:rFonts w:ascii="Arial" w:cs="Arial" w:hAnsi="Arial"/>
        </w:rPr>
      </w:r>
    </w:p>
    <w:p>
      <w:pPr>
        <w:pStyle w:val="style197"/>
        <w:spacing w:after="0" w:before="0" w:line="360" w:lineRule="auto"/>
        <w:ind w:hanging="0" w:left="0" w:right="-2"/>
        <w:jc w:val="both"/>
      </w:pPr>
      <w:r>
        <w:rPr>
          <w:rFonts w:ascii="Arial" w:cs="Arial" w:hAnsi="Arial"/>
        </w:rPr>
        <w:tab/>
        <w:t>En su Artículo n º 1  definen como normas generales de contabilidad del sector público los supuestos fundamentales, conceptos básicos o postulados que tienen por propósito que la contabilidad de los organismos y entidades a que se refieren los numerales 1 al 6 del artículo 5° de la Ley Orgánica de la Contraloría General de la República, logre el objetivo de producir sistemática y estructuralmente información cuantitativa, expresada en unidades monetarias, veraz, útil y oportuna sobre las transacciones que realiza una entidad económica y de ciertos eventos económicos identificables y cuantificables que la afectan, todo ello con el objeto de facilitar el proceso de toma de decisiones en relación con dicha entidad económica.</w:t>
      </w:r>
    </w:p>
    <w:p>
      <w:pPr>
        <w:pStyle w:val="style197"/>
        <w:spacing w:after="0" w:before="0" w:line="360" w:lineRule="auto"/>
        <w:ind w:hanging="0" w:left="0" w:right="-2"/>
        <w:jc w:val="both"/>
      </w:pPr>
      <w:r>
        <w:rPr>
          <w:rFonts w:ascii="Arial" w:cs="Arial" w:hAnsi="Arial"/>
        </w:rPr>
      </w:r>
    </w:p>
    <w:p>
      <w:pPr>
        <w:pStyle w:val="style197"/>
        <w:spacing w:after="0" w:before="0" w:line="360" w:lineRule="auto"/>
        <w:ind w:hanging="0" w:left="0" w:right="-2"/>
        <w:jc w:val="both"/>
      </w:pPr>
      <w:r>
        <w:rPr>
          <w:rFonts w:ascii="Arial" w:cs="Arial" w:hAnsi="Arial"/>
        </w:rPr>
      </w:r>
    </w:p>
    <w:p>
      <w:pPr>
        <w:pStyle w:val="style197"/>
        <w:spacing w:after="0" w:before="0" w:line="360" w:lineRule="auto"/>
        <w:jc w:val="both"/>
      </w:pPr>
      <w:r>
        <w:rPr>
          <w:rFonts w:ascii="Arial" w:cs="Arial" w:hAnsi="Arial"/>
        </w:rPr>
      </w:r>
    </w:p>
    <w:p>
      <w:pPr>
        <w:pStyle w:val="style197"/>
        <w:spacing w:after="0" w:before="0" w:line="360" w:lineRule="auto"/>
        <w:jc w:val="both"/>
      </w:pPr>
      <w:r>
        <w:rPr>
          <w:rFonts w:ascii="Arial" w:cs="Arial" w:hAnsi="Arial"/>
          <w:b/>
        </w:rPr>
        <w:t>CAPITULO II Principios de Contabilidad del Sector Público</w:t>
      </w:r>
    </w:p>
    <w:p>
      <w:pPr>
        <w:pStyle w:val="style197"/>
        <w:spacing w:after="0" w:before="0" w:line="360" w:lineRule="auto"/>
        <w:jc w:val="both"/>
      </w:pPr>
      <w:r>
        <w:rPr>
          <w:rFonts w:ascii="Arial" w:cs="Arial" w:hAnsi="Arial"/>
        </w:rPr>
      </w:r>
    </w:p>
    <w:p>
      <w:pPr>
        <w:pStyle w:val="style197"/>
        <w:spacing w:after="0" w:before="0" w:line="360" w:lineRule="auto"/>
        <w:ind w:hanging="0" w:left="0" w:right="140"/>
        <w:jc w:val="both"/>
      </w:pPr>
      <w:r>
        <w:rPr>
          <w:rFonts w:ascii="Arial" w:cs="Arial" w:hAnsi="Arial"/>
          <w:b/>
        </w:rPr>
        <w:t>Artículo 4°</w:t>
      </w:r>
      <w:r>
        <w:rPr>
          <w:rFonts w:ascii="Arial" w:cs="Arial" w:hAnsi="Arial"/>
        </w:rPr>
        <w:t>.- Los sistemas de contabilidad del sector público deberán sujetarse a los siguientes principios:</w:t>
      </w:r>
    </w:p>
    <w:p>
      <w:pPr>
        <w:pStyle w:val="style197"/>
        <w:numPr>
          <w:ilvl w:val="1"/>
          <w:numId w:val="8"/>
        </w:numPr>
        <w:spacing w:after="0" w:before="0" w:line="360" w:lineRule="auto"/>
        <w:ind w:hanging="0" w:left="0" w:right="140"/>
        <w:jc w:val="both"/>
      </w:pPr>
      <w:r>
        <w:rPr>
          <w:rFonts w:ascii="Arial" w:cs="Arial" w:hAnsi="Arial"/>
          <w:b/>
        </w:rPr>
        <w:t>ENTIDAD</w:t>
      </w:r>
      <w:r>
        <w:rPr>
          <w:rFonts w:ascii="Arial" w:cs="Arial" w:hAnsi="Arial"/>
        </w:rPr>
        <w:t>: Debe definirse claramente la entidad contable, la cual está constituida por la unidad económica identificable, con o sin personalidad jurídica y con presupuesto propio, creada para cumplir determinadas metas y objetivos, conforme al ordenamiento jurídico que la origina.</w:t>
      </w:r>
    </w:p>
    <w:p>
      <w:pPr>
        <w:pStyle w:val="style197"/>
        <w:numPr>
          <w:ilvl w:val="1"/>
          <w:numId w:val="8"/>
        </w:numPr>
        <w:spacing w:after="0" w:before="0" w:line="360" w:lineRule="auto"/>
        <w:ind w:hanging="0" w:left="0" w:right="140"/>
        <w:jc w:val="both"/>
      </w:pPr>
      <w:r>
        <w:rPr>
          <w:rFonts w:ascii="Arial" w:cs="Arial" w:hAnsi="Arial"/>
          <w:b/>
        </w:rPr>
        <w:t>CONTINUIDAD</w:t>
      </w:r>
      <w:r>
        <w:rPr>
          <w:rFonts w:ascii="Arial" w:cs="Arial" w:hAnsi="Arial"/>
        </w:rPr>
        <w:t xml:space="preserve">: Se presume que toda entidad contable realiza una actividad continua con proyección de futuro, excepto que su instrumento jurídico de creación limite su existencia a un plazo determinado o la extienda solamente, por el tiempo que requiera, al cumplimiento de un objetivo específico. </w:t>
      </w:r>
    </w:p>
    <w:p>
      <w:pPr>
        <w:pStyle w:val="style197"/>
        <w:numPr>
          <w:ilvl w:val="0"/>
          <w:numId w:val="8"/>
        </w:numPr>
        <w:spacing w:after="0" w:before="0" w:line="360" w:lineRule="auto"/>
        <w:ind w:hanging="0" w:left="0" w:right="-2"/>
        <w:jc w:val="both"/>
      </w:pPr>
      <w:r>
        <w:rPr>
          <w:rFonts w:ascii="Arial" w:cs="Arial" w:hAnsi="Arial"/>
          <w:b/>
        </w:rPr>
        <w:t>REGISTRO</w:t>
      </w:r>
      <w:r>
        <w:rPr>
          <w:rFonts w:ascii="Arial" w:cs="Arial" w:hAnsi="Arial"/>
        </w:rPr>
        <w:t>: Los hechos contables deben reconocerse y registrarse oportunamente, de una sola vez, en orden cronológico, consecutivo, sin que existan vacíos u omisiones en la información y en moneda de curso legal, conforme a los sistemas, métodos y procedimientos que se estimen adecuados, a fin de garantizar la coherencia de la información.</w:t>
      </w:r>
    </w:p>
    <w:p>
      <w:pPr>
        <w:pStyle w:val="style197"/>
        <w:numPr>
          <w:ilvl w:val="0"/>
          <w:numId w:val="8"/>
        </w:numPr>
        <w:spacing w:after="0" w:before="0" w:line="360" w:lineRule="auto"/>
        <w:ind w:hanging="0" w:left="0" w:right="-2"/>
        <w:jc w:val="both"/>
      </w:pPr>
      <w:r>
        <w:rPr>
          <w:rFonts w:ascii="Arial" w:cs="Arial" w:hAnsi="Arial"/>
          <w:b/>
        </w:rPr>
        <w:t>PERIODO CONTABLE</w:t>
      </w:r>
      <w:r>
        <w:rPr>
          <w:rFonts w:ascii="Arial" w:cs="Arial" w:hAnsi="Arial"/>
        </w:rPr>
        <w:t xml:space="preserve">: La situación financiera y los resultados de las operaciones de los entes deben presentarse en forma periódica y por lapsos iguales a un año coincidente con el ejercicio fiscal, salvo el primer período que pudiera tener una duración menor, a los efectos de hacer posible la comparación de los datos de un ejercicio con otro. La información contable deberá indicar claramente el período a que se refiere. </w:t>
      </w:r>
    </w:p>
    <w:p>
      <w:pPr>
        <w:pStyle w:val="style197"/>
        <w:numPr>
          <w:ilvl w:val="0"/>
          <w:numId w:val="8"/>
        </w:numPr>
        <w:spacing w:after="0" w:before="0" w:line="360" w:lineRule="auto"/>
        <w:ind w:hanging="0" w:left="0" w:right="-2"/>
        <w:jc w:val="both"/>
      </w:pPr>
      <w:r>
        <w:rPr>
          <w:rFonts w:ascii="Arial" w:cs="Arial" w:hAnsi="Arial"/>
          <w:b/>
        </w:rPr>
        <w:t>REVELACION SUFICIENTE</w:t>
      </w:r>
      <w:r>
        <w:rPr>
          <w:rFonts w:ascii="Arial" w:cs="Arial" w:hAnsi="Arial"/>
        </w:rPr>
        <w:t xml:space="preserve">: Los estados financieros deben contener en forma clara y comprensible toda la información necesaria que exprese los resultados y la situación económica financiera del ente, de manera tal que facilite a los usuarios la toma de decisiones pertinentes, igualmente, deben revelarse las políticas contables más importantes seguidas por el ente. </w:t>
      </w:r>
    </w:p>
    <w:p>
      <w:pPr>
        <w:pStyle w:val="style197"/>
        <w:numPr>
          <w:ilvl w:val="0"/>
          <w:numId w:val="8"/>
        </w:numPr>
        <w:spacing w:after="0" w:before="0" w:line="360" w:lineRule="auto"/>
        <w:ind w:hanging="0" w:left="0" w:right="-2"/>
        <w:jc w:val="both"/>
      </w:pPr>
      <w:r>
        <w:rPr>
          <w:rFonts w:ascii="Arial" w:cs="Arial" w:hAnsi="Arial"/>
          <w:b/>
        </w:rPr>
        <w:t>IMPORTANCIA RELATIVA</w:t>
      </w:r>
      <w:r>
        <w:rPr>
          <w:rFonts w:ascii="Arial" w:cs="Arial" w:hAnsi="Arial"/>
        </w:rPr>
        <w:t xml:space="preserve">: La información procesada y presentada por la contabilidad incluirá aquellos aspectos cuya revelación sea importante. Una partida contable tendrá importancia relativa cuando un cambio en su presentación, evaluación, descripción o en cualquiera de sus elementos pudiera modificar el análisis o la toma de decisiones basadas en los estados financieros. La aplicación de este principio no podrá implicar en ningún caso la transgresión de normas legales. </w:t>
      </w:r>
    </w:p>
    <w:p>
      <w:pPr>
        <w:pStyle w:val="style197"/>
        <w:numPr>
          <w:ilvl w:val="0"/>
          <w:numId w:val="8"/>
        </w:numPr>
        <w:spacing w:after="0" w:before="0" w:line="360" w:lineRule="auto"/>
        <w:ind w:hanging="0" w:left="0" w:right="-2"/>
        <w:jc w:val="both"/>
      </w:pPr>
      <w:r>
        <w:rPr>
          <w:rFonts w:ascii="Arial" w:cs="Arial" w:hAnsi="Arial"/>
          <w:b/>
        </w:rPr>
        <w:t>PRUDENCIA</w:t>
      </w:r>
      <w:r>
        <w:rPr>
          <w:rFonts w:ascii="Arial" w:cs="Arial" w:hAnsi="Arial"/>
        </w:rPr>
        <w:t xml:space="preserve">: Al efectuar el registro de una transacción o hecho financiero se debe adoptar la alternativa que ofrezca resultados más prudentes o conservadores. Se deben contabilizar los ingresos y gastos efectivamente realizados, así como también los gastos que supongan riesgos previsibles o pérdidas eventuales. </w:t>
      </w:r>
    </w:p>
    <w:p>
      <w:pPr>
        <w:pStyle w:val="style197"/>
        <w:numPr>
          <w:ilvl w:val="1"/>
          <w:numId w:val="8"/>
        </w:numPr>
        <w:spacing w:after="0" w:before="0" w:line="360" w:lineRule="auto"/>
        <w:ind w:hanging="0" w:left="0" w:right="-2"/>
        <w:jc w:val="both"/>
      </w:pPr>
      <w:r>
        <w:rPr>
          <w:rFonts w:ascii="Arial" w:cs="Arial" w:hAnsi="Arial"/>
          <w:b/>
        </w:rPr>
        <w:t>UNIFORMIDAD</w:t>
      </w:r>
      <w:r>
        <w:rPr>
          <w:rFonts w:ascii="Arial" w:cs="Arial" w:hAnsi="Arial"/>
        </w:rPr>
        <w:t>: El registro contable y los estados financieros deben elaborarse mediante la aplicación en el tiempo de los mismos principios, políticas, normas y procedimientos de contabilidad, a los fines de que la información sea comparable. Todo cambio de importancia será revelado mediante notas a los estados financieros que expongan la naturaleza y razones del mismo y cuantifiquen sus efectos.</w:t>
      </w:r>
    </w:p>
    <w:p>
      <w:pPr>
        <w:pStyle w:val="style197"/>
        <w:numPr>
          <w:ilvl w:val="1"/>
          <w:numId w:val="8"/>
        </w:numPr>
        <w:spacing w:after="0" w:before="0" w:line="360" w:lineRule="auto"/>
        <w:ind w:hanging="0" w:left="0" w:right="-2"/>
        <w:jc w:val="both"/>
      </w:pPr>
      <w:r>
        <w:rPr>
          <w:rFonts w:ascii="Arial" w:cs="Arial" w:hAnsi="Arial"/>
          <w:b/>
        </w:rPr>
        <w:t>PRECIO DE ADQUISICION</w:t>
      </w:r>
      <w:r>
        <w:rPr>
          <w:rFonts w:ascii="Arial" w:cs="Arial" w:hAnsi="Arial"/>
        </w:rPr>
        <w:t xml:space="preserve">: Los bienes, derechos y obligaciones se deben registrar al valor original de adquisición, producción, construcción o intercambio, representado por la suma de efectivo pactada o su equivalente, como si se hubiesen adquirido de contado y pagado en efectivo, salvo cuando se autoricen, por los organismos competentes o por disposición legal, otros métodos de valuación alternativos, en cuyo caso deberá revelarse el método de valuación adoptado. Las cifras de los estados financieros representarán valores históricos o modificaciones de ellos sistemáticamente obtenidos. </w:t>
      </w:r>
    </w:p>
    <w:p>
      <w:pPr>
        <w:pStyle w:val="style197"/>
        <w:numPr>
          <w:ilvl w:val="1"/>
          <w:numId w:val="8"/>
        </w:numPr>
        <w:spacing w:after="0" w:before="0" w:line="360" w:lineRule="auto"/>
        <w:ind w:hanging="0" w:left="0" w:right="140"/>
        <w:jc w:val="both"/>
      </w:pPr>
      <w:r>
        <w:rPr>
          <w:rFonts w:ascii="Arial" w:cs="Arial" w:hAnsi="Arial"/>
          <w:b/>
        </w:rPr>
        <w:t>CAUSADO Y DEVENGADO</w:t>
      </w:r>
      <w:r>
        <w:rPr>
          <w:rFonts w:ascii="Arial" w:cs="Arial" w:hAnsi="Arial"/>
        </w:rPr>
        <w:t xml:space="preserve">: Los gastos e ingresos serán reconocidos para su registro en el momento en que se causen o se devenguen respectivamente, haya o no movimiento de efectivo. Un gasto se considera causado al hacerse exigible el pago de la obligación correspondiente y un ingreso se considera devengado cuando se adquiere el derecho a percibir una determinada cantidad de recursos. </w:t>
      </w:r>
    </w:p>
    <w:p>
      <w:pPr>
        <w:pStyle w:val="style197"/>
        <w:numPr>
          <w:ilvl w:val="1"/>
          <w:numId w:val="8"/>
        </w:numPr>
        <w:spacing w:after="0" w:before="0" w:line="360" w:lineRule="auto"/>
        <w:ind w:hanging="0" w:left="0" w:right="140"/>
        <w:jc w:val="both"/>
      </w:pPr>
      <w:r>
        <w:rPr>
          <w:rFonts w:ascii="Arial" w:cs="Arial" w:hAnsi="Arial"/>
          <w:b/>
        </w:rPr>
        <w:t>UNIDAD Y UNIVERSALIDAD</w:t>
      </w:r>
      <w:r>
        <w:rPr>
          <w:rFonts w:ascii="Arial" w:cs="Arial" w:hAnsi="Arial"/>
        </w:rPr>
        <w:t>: La contabilidad fiscal o pública constituirá un sistema único e integral que cubra todas las operaciones financieras de los entes públicos. Se podrán constituir subsistemas de contabilidad para algunas actividades o proyectos, siempre y cuando estén debidamente integrados con el sistema principal.</w:t>
      </w:r>
    </w:p>
    <w:p>
      <w:pPr>
        <w:pStyle w:val="style197"/>
        <w:numPr>
          <w:ilvl w:val="1"/>
          <w:numId w:val="8"/>
        </w:numPr>
        <w:spacing w:after="0" w:before="0" w:line="360" w:lineRule="auto"/>
        <w:ind w:hanging="0" w:left="0" w:right="140"/>
        <w:jc w:val="both"/>
      </w:pPr>
      <w:r>
        <w:rPr>
          <w:rFonts w:ascii="Arial" w:cs="Arial" w:eastAsia="Arial" w:hAnsi="Arial"/>
        </w:rPr>
        <w:t xml:space="preserve"> </w:t>
      </w:r>
      <w:r>
        <w:rPr>
          <w:rFonts w:ascii="Arial" w:cs="Arial" w:hAnsi="Arial"/>
          <w:b/>
        </w:rPr>
        <w:t>DUALIDAD ECONOMICA</w:t>
      </w:r>
      <w:r>
        <w:rPr>
          <w:rFonts w:ascii="Arial" w:cs="Arial" w:hAnsi="Arial"/>
        </w:rPr>
        <w:t xml:space="preserve">: Constituirá la representación contable de los recursos de los que dispone el ente público para la realización de sus fines y de las fuentes que originaron dichos recursos. </w:t>
      </w:r>
    </w:p>
    <w:p>
      <w:pPr>
        <w:pStyle w:val="style197"/>
        <w:numPr>
          <w:ilvl w:val="1"/>
          <w:numId w:val="8"/>
        </w:numPr>
        <w:spacing w:after="0" w:before="0" w:line="360" w:lineRule="auto"/>
        <w:ind w:hanging="0" w:left="0" w:right="140"/>
        <w:jc w:val="both"/>
      </w:pPr>
      <w:r>
        <w:rPr>
          <w:rFonts w:ascii="Arial" w:cs="Arial" w:hAnsi="Arial"/>
          <w:b/>
        </w:rPr>
        <w:t>REGISTRO E IMPUTACION PRESUPUESTARIA</w:t>
      </w:r>
      <w:r>
        <w:rPr>
          <w:rFonts w:ascii="Arial" w:cs="Arial" w:hAnsi="Arial"/>
        </w:rPr>
        <w:t xml:space="preserve">: La contabilidad registrará, de acuerdo con el Plan de Cuentas que se prescriba y las normas que al efecto se dicten, la obtención de los ingresos y la ejecución de los gastos autorizados en el presupuesto del ente público, los cuales deberán imputarse a las correspondientes partidas presupuestarias, de conformidad con las normas y criterios que establezca la Oficina Central de Presupuesto (OCEPRE). Las transacciones presupuestarias de gastos deberán registrarse en la contabilidad por el sistema de partida doble en todas sus etapas, es decir, autorización del gasto, establecimiento del compromiso, reconocimiento de la obligación o gasto causado, ordenación o solicitud de pago y extinción de la obligación. Asimismo, las transacciones relativas a los ingresos deberán registrarse en sus etapas, devengado y recaudado. La contabilidad controlará e informará permanentemente sobre los resultados de la ejecución, comparativamente con las asignaciones presupuestarias. </w:t>
      </w:r>
    </w:p>
    <w:p>
      <w:pPr>
        <w:pStyle w:val="style197"/>
        <w:numPr>
          <w:ilvl w:val="1"/>
          <w:numId w:val="8"/>
        </w:numPr>
        <w:spacing w:after="0" w:before="0" w:line="360" w:lineRule="auto"/>
        <w:ind w:hanging="0" w:left="0" w:right="140"/>
        <w:jc w:val="both"/>
      </w:pPr>
      <w:r>
        <w:rPr>
          <w:rFonts w:ascii="Arial" w:cs="Arial" w:hAnsi="Arial"/>
          <w:b/>
        </w:rPr>
        <w:t>CORRELACION DE INGRESOS Y GASTOS</w:t>
      </w:r>
      <w:r>
        <w:rPr>
          <w:rFonts w:ascii="Arial" w:cs="Arial" w:hAnsi="Arial"/>
        </w:rPr>
        <w:t xml:space="preserve">: El sistema de contabilidad debe permitir evidenciar la relación entre los gastos realizados y los ingresos necesarios para su financiamiento dentro de un ejercicio. El resultado económico patrimonial del ejercicio estará constituido por la diferencia entre los ingresos y los gastos realizados. </w:t>
      </w:r>
    </w:p>
    <w:p>
      <w:pPr>
        <w:pStyle w:val="style197"/>
        <w:numPr>
          <w:ilvl w:val="1"/>
          <w:numId w:val="8"/>
        </w:numPr>
        <w:spacing w:after="0" w:before="0" w:line="360" w:lineRule="auto"/>
        <w:ind w:firstLine="32" w:left="0" w:right="140"/>
        <w:jc w:val="both"/>
      </w:pPr>
      <w:r>
        <w:rPr>
          <w:rFonts w:ascii="Arial" w:cs="Arial" w:hAnsi="Arial"/>
          <w:b/>
        </w:rPr>
        <w:t>PRINCIPIOS CONTABLES SUPLETORIOS</w:t>
      </w:r>
      <w:r>
        <w:rPr>
          <w:rFonts w:ascii="Arial" w:cs="Arial" w:hAnsi="Arial"/>
        </w:rPr>
        <w:t>: En caso de situaciones no previstas en los anteriores principios, se tomará como marco de referencia los Principios de Contabilidad de Aceptación General emitidos por la Federación de Colegios de Contadores Públicos de Venezuela.</w:t>
      </w:r>
    </w:p>
    <w:p>
      <w:pPr>
        <w:pStyle w:val="style197"/>
        <w:spacing w:after="0" w:before="0" w:line="360" w:lineRule="auto"/>
        <w:jc w:val="both"/>
      </w:pPr>
      <w:r>
        <w:rPr>
          <w:rFonts w:ascii="Arial" w:cs="Arial" w:hAnsi="Arial"/>
        </w:rPr>
      </w:r>
    </w:p>
    <w:p>
      <w:pPr>
        <w:pStyle w:val="style197"/>
        <w:spacing w:after="0" w:before="0" w:line="360" w:lineRule="auto"/>
        <w:jc w:val="both"/>
      </w:pPr>
      <w:r>
        <w:rPr>
          <w:rFonts w:ascii="Arial" w:cs="Arial" w:hAnsi="Arial"/>
          <w:b/>
        </w:rPr>
        <w:t>De los requisitos de la Información Contable</w:t>
      </w:r>
    </w:p>
    <w:p>
      <w:pPr>
        <w:pStyle w:val="style197"/>
        <w:spacing w:after="0" w:before="0" w:line="360" w:lineRule="auto"/>
        <w:jc w:val="center"/>
      </w:pPr>
      <w:r>
        <w:rPr>
          <w:rFonts w:ascii="Arial" w:cs="Arial" w:hAnsi="Arial"/>
          <w:b/>
        </w:rPr>
      </w:r>
    </w:p>
    <w:p>
      <w:pPr>
        <w:pStyle w:val="style197"/>
        <w:spacing w:after="0" w:before="0" w:line="360" w:lineRule="auto"/>
        <w:ind w:hanging="0" w:left="0" w:right="140"/>
        <w:jc w:val="both"/>
      </w:pPr>
      <w:r>
        <w:rPr>
          <w:rFonts w:ascii="Arial" w:cs="Arial" w:eastAsia="Arial" w:hAnsi="Arial"/>
        </w:rPr>
        <w:t xml:space="preserve"> </w:t>
      </w:r>
      <w:r>
        <w:rPr>
          <w:rFonts w:ascii="Arial" w:cs="Arial" w:hAnsi="Arial"/>
          <w:b/>
        </w:rPr>
        <w:t>Artículo 6°.-</w:t>
      </w:r>
      <w:r>
        <w:rPr>
          <w:rFonts w:ascii="Arial" w:cs="Arial" w:hAnsi="Arial"/>
        </w:rPr>
        <w:t xml:space="preserve"> La información contenida en los estados financieros periódicos que se elaboren deberá cumplir los requisitos que se indican a continuación: </w:t>
      </w:r>
    </w:p>
    <w:p>
      <w:pPr>
        <w:pStyle w:val="style197"/>
        <w:numPr>
          <w:ilvl w:val="1"/>
          <w:numId w:val="43"/>
        </w:numPr>
        <w:spacing w:after="0" w:before="0" w:line="360" w:lineRule="auto"/>
        <w:ind w:hanging="0" w:left="0" w:right="140"/>
        <w:jc w:val="both"/>
      </w:pPr>
      <w:r>
        <w:rPr>
          <w:rFonts w:ascii="Arial" w:cs="Arial" w:hAnsi="Arial"/>
          <w:b/>
        </w:rPr>
        <w:t>Identificación:</w:t>
      </w:r>
      <w:r>
        <w:rPr>
          <w:rFonts w:ascii="Arial" w:cs="Arial" w:hAnsi="Arial"/>
        </w:rPr>
        <w:t xml:space="preserve"> La información contable se refiere a entes públicos perfectamente definidos en cuanto a su actividad económica, a momentos o lapsos temporales identificados y a transacciones específicas de carácter económico y financiero. </w:t>
      </w:r>
    </w:p>
    <w:p>
      <w:pPr>
        <w:pStyle w:val="style197"/>
        <w:numPr>
          <w:ilvl w:val="1"/>
          <w:numId w:val="43"/>
        </w:numPr>
        <w:spacing w:after="0" w:before="0" w:line="360" w:lineRule="auto"/>
        <w:ind w:hanging="0" w:left="0" w:right="140"/>
        <w:jc w:val="both"/>
      </w:pPr>
      <w:r>
        <w:rPr>
          <w:rFonts w:ascii="Arial" w:cs="Arial" w:hAnsi="Arial"/>
          <w:b/>
        </w:rPr>
        <w:t>Oportunidad:</w:t>
      </w:r>
      <w:r>
        <w:rPr>
          <w:rFonts w:ascii="Arial" w:cs="Arial" w:hAnsi="Arial"/>
        </w:rPr>
        <w:t xml:space="preserve"> La información contable debe ser del conocimiento de los usuarios oportunamente y en las circunstancias que determine la normativa legal y reglamentaria, a los fines de adoptar las decisiones que se estimen convenientes. </w:t>
      </w:r>
    </w:p>
    <w:p>
      <w:pPr>
        <w:pStyle w:val="style197"/>
        <w:numPr>
          <w:ilvl w:val="1"/>
          <w:numId w:val="43"/>
        </w:numPr>
        <w:spacing w:after="0" w:before="0" w:line="360" w:lineRule="auto"/>
        <w:ind w:hanging="0" w:left="0" w:right="140"/>
        <w:jc w:val="both"/>
      </w:pPr>
      <w:r>
        <w:rPr>
          <w:rFonts w:ascii="Arial" w:cs="Arial" w:hAnsi="Arial"/>
          <w:b/>
        </w:rPr>
        <w:t>Claridad:</w:t>
      </w:r>
      <w:r>
        <w:rPr>
          <w:rFonts w:ascii="Arial" w:cs="Arial" w:hAnsi="Arial"/>
        </w:rPr>
        <w:t xml:space="preserve"> La información contable debe ser presentada en forma clara y sencilla a los fines de facilitar su utilización por parte de los diferentes destinatarios. </w:t>
      </w:r>
    </w:p>
    <w:p>
      <w:pPr>
        <w:pStyle w:val="style197"/>
        <w:numPr>
          <w:ilvl w:val="1"/>
          <w:numId w:val="43"/>
        </w:numPr>
        <w:spacing w:after="0" w:before="0" w:line="360" w:lineRule="auto"/>
        <w:ind w:hanging="0" w:left="0" w:right="140"/>
        <w:jc w:val="both"/>
      </w:pPr>
      <w:r>
        <w:rPr>
          <w:rFonts w:ascii="Arial" w:cs="Arial" w:eastAsia="Arial" w:hAnsi="Arial"/>
        </w:rPr>
        <w:t xml:space="preserve"> </w:t>
      </w:r>
      <w:r>
        <w:rPr>
          <w:rFonts w:ascii="Arial" w:cs="Arial" w:hAnsi="Arial"/>
          <w:b/>
        </w:rPr>
        <w:t>Relevancia o Pertinencia:</w:t>
      </w:r>
      <w:r>
        <w:rPr>
          <w:rFonts w:ascii="Arial" w:cs="Arial" w:hAnsi="Arial"/>
        </w:rPr>
        <w:t xml:space="preserve"> La información contable debe ser completa por lo que es necesario incluir todos los datos pertinentes e informaciones adicionales que puedan incidir en la toma de decisiones del ente público. </w:t>
      </w:r>
    </w:p>
    <w:p>
      <w:pPr>
        <w:pStyle w:val="style197"/>
        <w:numPr>
          <w:ilvl w:val="1"/>
          <w:numId w:val="43"/>
        </w:numPr>
        <w:spacing w:after="0" w:before="0" w:line="360" w:lineRule="auto"/>
        <w:ind w:hanging="0" w:left="0" w:right="140"/>
        <w:jc w:val="both"/>
      </w:pPr>
      <w:r>
        <w:rPr>
          <w:rFonts w:ascii="Arial" w:cs="Arial" w:hAnsi="Arial"/>
          <w:b/>
        </w:rPr>
        <w:t>Economicidad:</w:t>
      </w:r>
      <w:r>
        <w:rPr>
          <w:rFonts w:ascii="Arial" w:cs="Arial" w:hAnsi="Arial"/>
        </w:rPr>
        <w:t xml:space="preserve"> La información contable que se proporcione a los destinatarios debe ser procesada bajo el criterio de costo beneficio en cuanto al mayor o menor nivel de detalle. </w:t>
      </w:r>
    </w:p>
    <w:p>
      <w:pPr>
        <w:pStyle w:val="style197"/>
        <w:numPr>
          <w:ilvl w:val="1"/>
          <w:numId w:val="43"/>
        </w:numPr>
        <w:spacing w:after="0" w:before="0" w:line="360" w:lineRule="auto"/>
        <w:ind w:hanging="0" w:left="0" w:right="140"/>
        <w:jc w:val="both"/>
      </w:pPr>
      <w:r>
        <w:rPr>
          <w:rFonts w:ascii="Arial" w:cs="Arial" w:hAnsi="Arial"/>
          <w:b/>
        </w:rPr>
        <w:t>Objetividad:</w:t>
      </w:r>
      <w:r>
        <w:rPr>
          <w:rFonts w:ascii="Arial" w:cs="Arial" w:hAnsi="Arial"/>
        </w:rPr>
        <w:t xml:space="preserve"> La información contable debe procesarse utilizando métodos y procedimientos que impidan al máximo el uso de criterios subjetivos </w:t>
      </w:r>
    </w:p>
    <w:p>
      <w:pPr>
        <w:pStyle w:val="style197"/>
        <w:numPr>
          <w:ilvl w:val="1"/>
          <w:numId w:val="43"/>
        </w:numPr>
        <w:spacing w:after="0" w:before="0" w:line="360" w:lineRule="auto"/>
        <w:ind w:hanging="0" w:left="0" w:right="140"/>
        <w:jc w:val="both"/>
      </w:pPr>
      <w:r>
        <w:rPr>
          <w:rFonts w:ascii="Arial" w:cs="Arial" w:hAnsi="Arial"/>
          <w:b/>
        </w:rPr>
        <w:t>Verificabilidad:</w:t>
      </w:r>
      <w:r>
        <w:rPr>
          <w:rFonts w:ascii="Arial" w:cs="Arial" w:hAnsi="Arial"/>
        </w:rPr>
        <w:t xml:space="preserve"> El sistema de contabilidad debe generar información susceptible de control y revisión a nivel interno o externo.</w:t>
      </w:r>
    </w:p>
    <w:p>
      <w:pPr>
        <w:pStyle w:val="style197"/>
        <w:numPr>
          <w:ilvl w:val="1"/>
          <w:numId w:val="43"/>
        </w:numPr>
        <w:spacing w:after="0" w:before="0" w:line="360" w:lineRule="auto"/>
        <w:ind w:hanging="0" w:left="0" w:right="140"/>
        <w:jc w:val="both"/>
      </w:pPr>
      <w:r>
        <w:rPr>
          <w:rFonts w:ascii="Arial" w:cs="Arial" w:hAnsi="Arial"/>
          <w:b/>
        </w:rPr>
        <w:t>Imparcialidad:</w:t>
      </w:r>
      <w:r>
        <w:rPr>
          <w:rFonts w:ascii="Arial" w:cs="Arial" w:hAnsi="Arial"/>
        </w:rPr>
        <w:t xml:space="preserve"> La información contenida en los estados financieros debe registrarse con criterio neutral e imparcial a fin de no distorsionar o tergiversar los datos, indistintamente de su destinatario. </w:t>
      </w:r>
    </w:p>
    <w:p>
      <w:pPr>
        <w:pStyle w:val="style197"/>
        <w:numPr>
          <w:ilvl w:val="1"/>
          <w:numId w:val="43"/>
        </w:numPr>
        <w:spacing w:after="0" w:before="0" w:line="360" w:lineRule="auto"/>
        <w:ind w:hanging="0" w:left="0" w:right="140"/>
        <w:jc w:val="both"/>
      </w:pPr>
      <w:r>
        <w:rPr>
          <w:rFonts w:ascii="Arial" w:cs="Arial" w:hAnsi="Arial"/>
          <w:b/>
        </w:rPr>
        <w:t>Utilidad:</w:t>
      </w:r>
      <w:r>
        <w:rPr>
          <w:rFonts w:ascii="Arial" w:cs="Arial" w:hAnsi="Arial"/>
        </w:rPr>
        <w:t xml:space="preserve"> La información producida por la contabilidad debe ser eficaz y eficiente, su contenido debe ser significativo, relevante, veraz y comparable, de modo tal que sirva para satisfacer razonablemente las necesidades de los diferentes usuarios. </w:t>
      </w:r>
    </w:p>
    <w:p>
      <w:pPr>
        <w:pStyle w:val="style197"/>
        <w:numPr>
          <w:ilvl w:val="1"/>
          <w:numId w:val="43"/>
        </w:numPr>
        <w:spacing w:after="0" w:before="0" w:line="360" w:lineRule="auto"/>
        <w:ind w:hanging="0" w:left="0" w:right="140"/>
        <w:jc w:val="both"/>
      </w:pPr>
      <w:r>
        <w:rPr>
          <w:rFonts w:ascii="Arial" w:cs="Arial" w:hAnsi="Arial"/>
          <w:b/>
        </w:rPr>
        <w:t>Confiabilidad:</w:t>
      </w:r>
      <w:r>
        <w:rPr>
          <w:rFonts w:ascii="Arial" w:cs="Arial" w:hAnsi="Arial"/>
        </w:rPr>
        <w:t xml:space="preserve"> La información contable debe reunir requisitos de certidumbre tal que le otorgue, frente a los usuarios, el carácter de creíble y válida para adoptar decisiones pertinentes.</w:t>
      </w:r>
    </w:p>
    <w:p>
      <w:pPr>
        <w:pStyle w:val="style197"/>
        <w:spacing w:after="0" w:before="0" w:line="360" w:lineRule="auto"/>
        <w:ind w:hanging="0" w:left="0" w:right="140"/>
        <w:jc w:val="both"/>
      </w:pPr>
      <w:r>
        <w:rPr>
          <w:rFonts w:ascii="Arial" w:cs="Arial" w:hAnsi="Arial"/>
        </w:rPr>
      </w:r>
    </w:p>
    <w:p>
      <w:pPr>
        <w:pStyle w:val="style197"/>
        <w:spacing w:after="0" w:before="0" w:line="360" w:lineRule="auto"/>
        <w:ind w:hanging="0" w:left="0" w:right="140"/>
        <w:jc w:val="both"/>
      </w:pPr>
      <w:r>
        <w:rPr>
          <w:rFonts w:ascii="Arial" w:cs="Arial" w:hAnsi="Arial"/>
          <w:b/>
        </w:rPr>
        <w:t>CAPITULO IV De los Sistemas de Contabilidad Fiscal</w:t>
      </w:r>
    </w:p>
    <w:p>
      <w:pPr>
        <w:pStyle w:val="style197"/>
        <w:spacing w:after="0" w:before="0" w:line="360" w:lineRule="auto"/>
        <w:ind w:hanging="0" w:left="0" w:right="140"/>
        <w:jc w:val="center"/>
      </w:pPr>
      <w:r>
        <w:rPr>
          <w:rFonts w:ascii="Arial" w:cs="Arial" w:hAnsi="Arial"/>
          <w:b/>
        </w:rPr>
      </w:r>
    </w:p>
    <w:p>
      <w:pPr>
        <w:pStyle w:val="style197"/>
        <w:spacing w:after="0" w:before="0" w:line="360" w:lineRule="auto"/>
        <w:ind w:hanging="0" w:left="0" w:right="140"/>
        <w:jc w:val="both"/>
      </w:pPr>
      <w:r>
        <w:rPr>
          <w:rFonts w:ascii="Arial" w:cs="Arial" w:hAnsi="Arial"/>
          <w:b/>
        </w:rPr>
        <w:t>Artículo 10</w:t>
      </w:r>
      <w:r>
        <w:rPr>
          <w:rFonts w:ascii="Arial" w:cs="Arial" w:hAnsi="Arial"/>
        </w:rPr>
        <w:t>.- Los registros en la contabilidad fiscal deben estar respaldados por los documentos de soporte que determine la normativa legal y reglamentaria, así como por las instrucciones dictadas por los órganos competentes, como consecuencia de los sistemas de contabilidad que se prescriban.</w:t>
      </w:r>
    </w:p>
    <w:p>
      <w:pPr>
        <w:pStyle w:val="style197"/>
        <w:spacing w:after="0" w:before="0" w:line="360" w:lineRule="auto"/>
        <w:ind w:hanging="0" w:left="0" w:right="140"/>
        <w:jc w:val="both"/>
      </w:pPr>
      <w:r>
        <w:rPr>
          <w:rFonts w:ascii="Arial" w:cs="Arial" w:hAnsi="Arial"/>
        </w:rPr>
      </w:r>
    </w:p>
    <w:p>
      <w:pPr>
        <w:pStyle w:val="style197"/>
        <w:spacing w:after="0" w:before="0" w:line="360" w:lineRule="auto"/>
        <w:ind w:hanging="0" w:left="0" w:right="140"/>
        <w:jc w:val="both"/>
      </w:pPr>
      <w:r>
        <w:rPr>
          <w:rFonts w:ascii="Arial" w:cs="Arial" w:hAnsi="Arial"/>
          <w:b/>
        </w:rPr>
        <w:t>Artículo 15</w:t>
      </w:r>
      <w:r>
        <w:rPr>
          <w:rFonts w:ascii="Arial" w:cs="Arial" w:hAnsi="Arial"/>
        </w:rPr>
        <w:t>.- A los fines de la centralización de la contabilidad de todas las dependencias que administren, custodien o manejen fondos o bienes nacionales, prevista en el artículo 75 de la Ley Orgánica de la Contraloría General de la República, los estados financieros deberán presentar los activos, pasivos, patrimonio, ingresos y gastos de los entes públicos, y a los efectos de la presentación de los estados financieros consolidados, el Ejecutivo Nacional, por órgano del Ministerio de Hacienda, efectuará las eliminaciones de las transacciones recíprocas entre ellos.</w:t>
      </w:r>
    </w:p>
    <w:p>
      <w:pPr>
        <w:pStyle w:val="style0"/>
        <w:spacing w:after="280" w:before="280" w:line="360" w:lineRule="auto"/>
        <w:jc w:val="both"/>
      </w:pPr>
      <w:r>
        <w:rPr>
          <w:rFonts w:ascii="Arial" w:cs="Arial" w:hAnsi="Arial"/>
          <w:sz w:val="24"/>
        </w:rPr>
        <w:tab/>
        <w:t xml:space="preserve">De acuerdo con lo establecido en la Ley Orgánica de la Administración Financiera del Sector Público (2010), el Sistema de Contabilidad Pública está fundamentado en las normas generales de contabilidad, dictadas por la Contraloría General de la República y en las normas técnicas prescritas por la Oficina Nacional de Contabilidad Pública (ONCOP), La adaptación de las NICSP a la contabilidad pública de Venezuela promoverá una reforma al Sistema de Administración Financiera de la República, en el sentido de que afectará las normas, principios y procedimientos contables. </w:t>
      </w:r>
    </w:p>
    <w:p>
      <w:pPr>
        <w:pStyle w:val="style0"/>
        <w:spacing w:after="280" w:before="280" w:line="360" w:lineRule="auto"/>
        <w:jc w:val="both"/>
      </w:pPr>
      <w:r>
        <w:rPr>
          <w:rFonts w:ascii="Arial" w:cs="Arial" w:hAnsi="Arial"/>
          <w:color w:val="000000"/>
          <w:sz w:val="24"/>
          <w:szCs w:val="24"/>
          <w:shd w:fill="FFFFFF" w:val="clear"/>
        </w:rPr>
        <w:tab/>
        <w:t xml:space="preserve">El IUTY por ser de una Institución del Sector Público, la Norma que se debe aplicar son Norma Internacionales del Sector Publico (NICSP)  </w:t>
      </w:r>
      <w:r>
        <w:rPr>
          <w:rFonts w:ascii="Arial" w:cs="Arial" w:hAnsi="Arial"/>
          <w:color w:val="000000"/>
          <w:sz w:val="24"/>
          <w:szCs w:val="24"/>
        </w:rPr>
        <w:t>están orientadas a estandarizar la preparación, presentación y tratamiento de la información financiera del sector público.</w:t>
      </w:r>
    </w:p>
    <w:p>
      <w:pPr>
        <w:pStyle w:val="style0"/>
        <w:spacing w:after="280" w:before="280" w:line="360" w:lineRule="auto"/>
        <w:jc w:val="both"/>
      </w:pPr>
      <w:r>
        <w:rPr>
          <w:rFonts w:ascii="Arial" w:cs="Arial" w:hAnsi="Arial"/>
          <w:color w:val="000000"/>
          <w:sz w:val="24"/>
          <w:szCs w:val="24"/>
        </w:rPr>
        <w:tab/>
        <w:t>En el ámbito internacional, la Federación Internacional de Contadores (IFAC) ha desarrollado a través de la Junta de Normas Contables Internacionales para el Sector Público, las 27 normas que actualmente existen como referencia, cuya implementación busca mejorar la calidad de la información y armonizar su presentación a nivel mundial.</w:t>
        <w:br/>
        <w:br/>
        <w:tab/>
        <w:t>En Venezuela, le corresponde a la Oficina Nacional de Contabilidad Pública (ONCOP), dictar las normas técnicas de contabilidad y los procedimientos específicos que considere necesario para el adecuado funcionamiento del Sistema de Contabilidad Pública, por lo tanto ha dado inicio al estudio y análisis de las NICSP y su aplicabilidad en el ámbito venezolano.</w:t>
      </w:r>
    </w:p>
    <w:p>
      <w:pPr>
        <w:pStyle w:val="style0"/>
        <w:spacing w:after="280" w:before="280" w:line="360" w:lineRule="auto"/>
        <w:jc w:val="both"/>
      </w:pPr>
      <w:r>
        <w:rPr>
          <w:rFonts w:ascii="Arial" w:cs="Arial" w:hAnsi="Arial"/>
          <w:color w:val="000000"/>
          <w:sz w:val="24"/>
          <w:szCs w:val="24"/>
          <w:shd w:fill="FFFFFF" w:val="clear"/>
        </w:rPr>
        <w:tab/>
        <w:t>De hecho NICSP nace debido a la gran complejidad de prácticas contables de los entes de gobiernos y otras entidades del sector público para la presentación de su</w:t>
      </w:r>
      <w:r>
        <w:rPr>
          <w:rStyle w:val="style147"/>
          <w:rFonts w:ascii="Arial" w:hAnsi="Arial"/>
          <w:color w:val="000000"/>
          <w:sz w:val="24"/>
          <w:szCs w:val="24"/>
          <w:shd w:fill="FFFFFF" w:val="clear"/>
        </w:rPr>
        <w:t xml:space="preserve"> </w:t>
      </w:r>
      <w:hyperlink r:id="rId17">
        <w:r>
          <w:rPr>
            <w:rStyle w:val="style148"/>
            <w:rStyle w:val="style148"/>
            <w:rFonts w:ascii="Arial" w:hAnsi="Arial"/>
            <w:sz w:val="24"/>
            <w:szCs w:val="24"/>
            <w:u w:val="none"/>
          </w:rPr>
          <w:t>información</w:t>
        </w:r>
      </w:hyperlink>
      <w:r>
        <w:rPr>
          <w:rStyle w:val="style147"/>
          <w:rFonts w:ascii="Arial" w:hAnsi="Arial"/>
          <w:color w:val="000000"/>
          <w:sz w:val="24"/>
          <w:szCs w:val="24"/>
          <w:shd w:fill="FFFFFF" w:val="clear"/>
        </w:rPr>
        <w:t xml:space="preserve"> </w:t>
      </w:r>
      <w:r>
        <w:rPr>
          <w:rFonts w:ascii="Arial" w:cs="Arial" w:hAnsi="Arial"/>
          <w:color w:val="000000"/>
          <w:sz w:val="24"/>
          <w:szCs w:val="24"/>
          <w:shd w:fill="FFFFFF" w:val="clear"/>
        </w:rPr>
        <w:t>financiera, la IFAC (Consejo de la Federación</w:t>
      </w:r>
      <w:r>
        <w:rPr>
          <w:rStyle w:val="style147"/>
          <w:rFonts w:ascii="Arial" w:hAnsi="Arial"/>
          <w:color w:val="000000"/>
          <w:sz w:val="24"/>
          <w:szCs w:val="24"/>
          <w:shd w:fill="FFFFFF" w:val="clear"/>
        </w:rPr>
        <w:t xml:space="preserve"> </w:t>
      </w:r>
      <w:r>
        <w:rPr>
          <w:rFonts w:ascii="Arial" w:cs="Arial" w:hAnsi="Arial"/>
          <w:color w:val="000000"/>
          <w:sz w:val="24"/>
          <w:szCs w:val="24"/>
        </w:rPr>
        <w:t>Internacional</w:t>
      </w:r>
      <w:r>
        <w:rPr>
          <w:rStyle w:val="style147"/>
          <w:rFonts w:ascii="Arial" w:hAnsi="Arial"/>
          <w:color w:val="000000"/>
          <w:sz w:val="24"/>
          <w:szCs w:val="24"/>
          <w:shd w:fill="FFFFFF" w:val="clear"/>
        </w:rPr>
        <w:t xml:space="preserve"> </w:t>
      </w:r>
      <w:r>
        <w:rPr>
          <w:rFonts w:ascii="Arial" w:cs="Arial" w:hAnsi="Arial"/>
          <w:color w:val="000000"/>
          <w:sz w:val="24"/>
          <w:szCs w:val="24"/>
          <w:shd w:fill="FFFFFF" w:val="clear"/>
        </w:rPr>
        <w:t>de Contadores) por medio de su comité del Sector Publico ha considerado estas necesidades como prioritaria para detallar y hacer más fácil la información contable y así la  comparación de la información financiera entre gobiernos de diversos países del mundo, con transparencia y confiabilidad.</w:t>
      </w:r>
    </w:p>
    <w:p>
      <w:pPr>
        <w:pStyle w:val="style0"/>
        <w:spacing w:after="280" w:before="280" w:line="360" w:lineRule="auto"/>
        <w:jc w:val="both"/>
      </w:pPr>
      <w:r>
        <w:rPr>
          <w:rFonts w:ascii="Arial" w:cs="Arial" w:eastAsia="Arial" w:hAnsi="Arial"/>
          <w:color w:val="000000"/>
          <w:sz w:val="24"/>
          <w:szCs w:val="24"/>
          <w:shd w:fill="FFFFFF" w:val="clear"/>
        </w:rPr>
        <w:t xml:space="preserve">  </w:t>
      </w:r>
      <w:r>
        <w:rPr>
          <w:rFonts w:ascii="Arial" w:cs="Arial" w:hAnsi="Arial"/>
          <w:sz w:val="24"/>
          <w:szCs w:val="24"/>
        </w:rPr>
        <w:tab/>
        <w:t>Con respecto al concepto de la  NICSP  la división de Análisis Contable en su boletín nº 1 de fecha 2012 expresa que:</w:t>
      </w:r>
    </w:p>
    <w:p>
      <w:pPr>
        <w:pStyle w:val="style0"/>
        <w:tabs>
          <w:tab w:leader="none" w:pos="8222" w:val="left"/>
        </w:tabs>
        <w:spacing w:after="280" w:before="280" w:line="360" w:lineRule="auto"/>
        <w:ind w:hanging="0" w:left="0" w:right="-2"/>
        <w:jc w:val="both"/>
      </w:pPr>
      <w:r>
        <w:rPr>
          <w:rFonts w:ascii="Arial" w:cs="Arial" w:eastAsia="Arial" w:hAnsi="Arial"/>
          <w:sz w:val="24"/>
          <w:szCs w:val="24"/>
        </w:rPr>
        <w:t xml:space="preserve"> </w:t>
      </w:r>
      <w:r>
        <w:rPr>
          <w:rFonts w:ascii="Arial" w:cs="Arial" w:hAnsi="Arial"/>
          <w:sz w:val="24"/>
          <w:szCs w:val="24"/>
        </w:rPr>
        <w:t>Son un conjunto de normas tanto para el registro de hechos económicos como para la presentación de Estados Financieros, emitidas por el International Public Sector Accounting Standards Board (IPSASB), el cual forma parte de la Federación Internacional de Contadores (IFAC). (p1)</w:t>
      </w:r>
    </w:p>
    <w:p>
      <w:pPr>
        <w:pStyle w:val="style0"/>
        <w:tabs>
          <w:tab w:leader="none" w:pos="8222" w:val="left"/>
        </w:tabs>
        <w:spacing w:after="280" w:before="280" w:line="360" w:lineRule="auto"/>
        <w:ind w:firstLine="851" w:left="0" w:right="0"/>
        <w:jc w:val="both"/>
      </w:pPr>
      <w:r>
        <w:rPr>
          <w:rFonts w:ascii="Arial" w:cs="Arial" w:hAnsi="Arial"/>
          <w:sz w:val="24"/>
          <w:szCs w:val="24"/>
        </w:rPr>
        <w:t>Al mismo tiempo señala que el objetivo principal de las NICSP:</w:t>
      </w:r>
    </w:p>
    <w:p>
      <w:pPr>
        <w:pStyle w:val="style0"/>
        <w:tabs>
          <w:tab w:leader="none" w:pos="8222" w:val="left"/>
        </w:tabs>
        <w:spacing w:after="280" w:before="280" w:line="360" w:lineRule="auto"/>
        <w:ind w:hanging="0" w:left="0" w:right="-2"/>
        <w:jc w:val="both"/>
      </w:pPr>
      <w:r>
        <w:rPr>
          <w:rFonts w:ascii="Arial" w:cs="Arial" w:hAnsi="Arial"/>
          <w:sz w:val="24"/>
          <w:szCs w:val="24"/>
        </w:rPr>
        <w:t xml:space="preserve">Es suministrar a las entidades del sector público información útil para la toma de decisiones y contribuir a la transparencia y rendición de cuentas de los recursos asignados, incrementando tanto la calidad como el detalle de la información financiera presentada por las entidades del sector público de los distintos países. </w:t>
      </w:r>
    </w:p>
    <w:p>
      <w:pPr>
        <w:pStyle w:val="style0"/>
        <w:tabs>
          <w:tab w:leader="none" w:pos="8222" w:val="left"/>
        </w:tabs>
        <w:spacing w:after="280" w:before="280" w:line="360" w:lineRule="auto"/>
        <w:ind w:firstLine="851" w:left="0" w:right="0"/>
        <w:jc w:val="both"/>
      </w:pPr>
      <w:r>
        <w:rPr>
          <w:rFonts w:ascii="Arial" w:cs="Arial" w:hAnsi="Arial"/>
          <w:sz w:val="24"/>
          <w:szCs w:val="24"/>
        </w:rPr>
        <w:t>Este boletín también indica  que en la actualidad existen más de 30 países adoptando las normas, lo que constituye un paso necesario para la globalización.</w:t>
      </w:r>
    </w:p>
    <w:p>
      <w:pPr>
        <w:pStyle w:val="style0"/>
        <w:tabs>
          <w:tab w:leader="none" w:pos="8222" w:val="left"/>
        </w:tabs>
        <w:spacing w:after="280" w:before="280" w:line="360" w:lineRule="auto"/>
        <w:ind w:firstLine="851" w:left="0" w:right="0"/>
        <w:jc w:val="both"/>
      </w:pPr>
      <w:r>
        <w:rPr>
          <w:rFonts w:ascii="Arial" w:cs="Arial" w:eastAsia="Arial" w:hAnsi="Arial"/>
          <w:sz w:val="24"/>
          <w:szCs w:val="24"/>
        </w:rPr>
        <w:t xml:space="preserve"> </w:t>
      </w:r>
      <w:r>
        <w:rPr>
          <w:rFonts w:ascii="Arial" w:cs="Arial" w:hAnsi="Arial"/>
          <w:sz w:val="24"/>
          <w:szCs w:val="24"/>
        </w:rPr>
        <w:t>Relación  de la norma con el proyecto de investigación es que a través de esta se tendrá una visión clara y precisa en  todos los procedimiento y aplicación de la misma en el proceso de desincorporación y permuta de bienes nacionales del Instituto universitario de Tecnología de Yaracuy</w:t>
      </w:r>
    </w:p>
    <w:p>
      <w:pPr>
        <w:pStyle w:val="style0"/>
        <w:autoSpaceDE w:val="false"/>
        <w:spacing w:after="0" w:before="0" w:line="360" w:lineRule="auto"/>
        <w:jc w:val="both"/>
      </w:pPr>
      <w:r>
        <w:rPr>
          <w:rFonts w:ascii="Arial" w:cs="Arial" w:hAnsi="Arial"/>
          <w:color w:val="000000"/>
          <w:sz w:val="24"/>
          <w:szCs w:val="24"/>
        </w:rPr>
        <w:tab/>
        <w:t>Por su parte la  Constitución Bolivariana de Venezuela en su Capítulo IX hace referencia sobre los artículos que corresponde  De los Derechos Ambientales:</w:t>
      </w:r>
    </w:p>
    <w:p>
      <w:pPr>
        <w:pStyle w:val="style0"/>
        <w:tabs>
          <w:tab w:leader="none" w:pos="8222" w:val="left"/>
        </w:tabs>
        <w:spacing w:after="280" w:before="280" w:line="360" w:lineRule="auto"/>
        <w:ind w:hanging="0" w:left="0" w:right="-2"/>
        <w:jc w:val="both"/>
      </w:pPr>
      <w:r>
        <w:rPr>
          <w:rFonts w:ascii="Arial" w:cs="Arial" w:eastAsia="Times New Roman" w:hAnsi="Arial"/>
          <w:b/>
          <w:bCs/>
          <w:color w:val="000000"/>
          <w:sz w:val="24"/>
          <w:szCs w:val="24"/>
          <w:lang w:eastAsia="es-ES"/>
        </w:rPr>
        <w:t>Artículo 127</w:t>
      </w:r>
      <w:r>
        <w:rPr>
          <w:rFonts w:ascii="Arial" w:cs="Arial" w:eastAsia="Times New Roman" w:hAnsi="Arial"/>
          <w:bCs/>
          <w:color w:val="000000"/>
          <w:sz w:val="24"/>
          <w:szCs w:val="24"/>
          <w:lang w:eastAsia="es-ES"/>
        </w:rPr>
        <w:t>.</w:t>
      </w:r>
      <w:r>
        <w:rPr>
          <w:rFonts w:ascii="Arial" w:cs="Arial" w:eastAsia="Times New Roman" w:hAnsi="Arial"/>
          <w:color w:val="000000"/>
          <w:sz w:val="24"/>
          <w:szCs w:val="24"/>
          <w:lang w:eastAsia="es-ES"/>
        </w:rPr>
        <w:t xml:space="preserve"> Señala que es un derecho y un deber de cada generación proteger y mantener el ambiente en beneficio de sí misma y del mundo futuro. Toda persona tiene derecho individual y colectivamente a disfrutar de una vida y de un ambiente seguro, sano y ecológicamente equilibrado. El Estado protegerá el ambiente, la diversidad biológica, los recursos genéticos, los procesos ecológicos, los parques nacionales y monumentos naturales y demás áreas de especial importancia ecológica. El genoma de los seres vivos no podrá ser patentado, y la ley que se refiera a los principios bioéticos regulará la materia.</w:t>
      </w:r>
    </w:p>
    <w:p>
      <w:pPr>
        <w:pStyle w:val="style0"/>
        <w:autoSpaceDE w:val="false"/>
        <w:spacing w:after="0" w:before="0" w:line="360" w:lineRule="auto"/>
        <w:ind w:hanging="0" w:left="0" w:right="-2"/>
        <w:jc w:val="both"/>
      </w:pPr>
      <w:r>
        <w:rPr>
          <w:rFonts w:ascii="Arial" w:cs="Arial" w:eastAsia="Times New Roman" w:hAnsi="Arial"/>
          <w:color w:val="000000"/>
          <w:sz w:val="24"/>
          <w:szCs w:val="24"/>
          <w:lang w:eastAsia="es-ES"/>
        </w:rPr>
        <w:tab/>
        <w:t>Es una obligación fundamental del Estado, con la activa participación de la sociedad, garantizar que la población se desenvuelva en un ambiente libre de contaminación, en donde el aire, el agua, los suelos, las costas, el clima, la capa de ozono, las especies vivas, sean especialmente protegidos, de conformidad con la ley</w:t>
      </w:r>
      <w:r>
        <w:rPr>
          <w:rFonts w:ascii="Arial" w:cs="Arial" w:eastAsia="Times New Roman" w:hAnsi="Arial"/>
          <w:color w:val="333333"/>
          <w:sz w:val="24"/>
          <w:szCs w:val="24"/>
          <w:lang w:eastAsia="es-ES"/>
        </w:rPr>
        <w:t>.</w:t>
      </w:r>
    </w:p>
    <w:p>
      <w:pPr>
        <w:pStyle w:val="style0"/>
        <w:autoSpaceDE w:val="false"/>
        <w:spacing w:after="0" w:before="0" w:line="360" w:lineRule="auto"/>
        <w:ind w:hanging="0" w:left="1134" w:right="1134"/>
        <w:jc w:val="both"/>
      </w:pPr>
      <w:r>
        <w:rPr>
          <w:rFonts w:ascii="Arial" w:cs="Arial" w:eastAsia="Times New Roman" w:hAnsi="Arial"/>
          <w:color w:val="333333"/>
          <w:sz w:val="24"/>
          <w:szCs w:val="24"/>
          <w:lang w:eastAsia="es-ES"/>
        </w:rPr>
      </w:r>
    </w:p>
    <w:p>
      <w:pPr>
        <w:pStyle w:val="style0"/>
        <w:autoSpaceDE w:val="false"/>
        <w:spacing w:after="0" w:before="0" w:line="360" w:lineRule="auto"/>
        <w:jc w:val="both"/>
      </w:pPr>
      <w:r>
        <w:rPr>
          <w:rFonts w:ascii="Arial" w:cs="Arial" w:eastAsia="Times New Roman" w:hAnsi="Arial"/>
          <w:color w:val="000000"/>
          <w:sz w:val="24"/>
          <w:szCs w:val="24"/>
          <w:lang w:eastAsia="es-ES"/>
        </w:rPr>
        <w:tab/>
        <w:t xml:space="preserve">El artículo anterior hace referencia  los deberes  que tenemos cada uno de los ciudadanos sobre  la protección del medio ambiente como el suelo, el agua y el aire  de la ecología así como de las especies vivas en riesgo de extinción </w:t>
      </w:r>
    </w:p>
    <w:p>
      <w:pPr>
        <w:pStyle w:val="style0"/>
        <w:autoSpaceDE w:val="false"/>
        <w:spacing w:after="0" w:before="0" w:line="360" w:lineRule="auto"/>
        <w:jc w:val="both"/>
      </w:pPr>
      <w:r>
        <w:rPr>
          <w:rFonts w:ascii="Arial" w:cs="Arial" w:eastAsia="Times New Roman" w:hAnsi="Arial"/>
          <w:color w:val="000000"/>
          <w:sz w:val="24"/>
          <w:szCs w:val="24"/>
          <w:lang w:eastAsia="es-ES"/>
        </w:rPr>
      </w:r>
    </w:p>
    <w:p>
      <w:pPr>
        <w:pStyle w:val="style0"/>
        <w:autoSpaceDE w:val="false"/>
        <w:spacing w:after="0" w:before="0" w:line="360" w:lineRule="auto"/>
        <w:jc w:val="both"/>
      </w:pPr>
      <w:r>
        <w:rPr>
          <w:rFonts w:ascii="Arial" w:cs="Arial" w:eastAsia="Times New Roman" w:hAnsi="Arial"/>
          <w:color w:val="000000"/>
          <w:sz w:val="24"/>
          <w:szCs w:val="24"/>
          <w:lang w:eastAsia="es-ES"/>
        </w:rPr>
        <w:tab/>
        <w:t xml:space="preserve">Por su parte el Artículo 128 establece que: El Estado desarrollará una política de ordenación del territorio atendiendo a las realidades ecológicas, geográficas, poblacionales, sociales, culturales, económicas, políticas, de acuerdo con las premisas del desarrollo sustentable, que incluya la información, consulta y participación ciudadana. Una ley orgánica desarrollará los principios y criterios para este ordenamiento. </w:t>
      </w:r>
    </w:p>
    <w:p>
      <w:pPr>
        <w:pStyle w:val="style0"/>
        <w:autoSpaceDE w:val="false"/>
        <w:spacing w:after="0" w:before="0" w:line="360" w:lineRule="auto"/>
        <w:jc w:val="both"/>
      </w:pPr>
      <w:r>
        <w:rPr>
          <w:rFonts w:ascii="Arial" w:cs="Arial" w:eastAsia="Times New Roman" w:hAnsi="Arial"/>
          <w:color w:val="000000"/>
          <w:sz w:val="24"/>
          <w:szCs w:val="24"/>
          <w:lang w:eastAsia="es-ES"/>
        </w:rPr>
        <w:tab/>
        <w:t>El artículo ante señalado hace reseña que es potestad del estado establecer las políticas  y los ordenamientos en cuanto a la realidad ecológica, geográfica todo de acuerdo a un proyecto sustentable en beneficio de toda la sociedad que hace vida en nuestro país así como la protección de las especies vivías.</w:t>
      </w:r>
    </w:p>
    <w:p>
      <w:pPr>
        <w:pStyle w:val="style0"/>
        <w:autoSpaceDE w:val="false"/>
        <w:spacing w:after="0" w:before="0" w:line="360" w:lineRule="auto"/>
        <w:jc w:val="both"/>
      </w:pPr>
      <w:r>
        <w:rPr>
          <w:rFonts w:ascii="Arial" w:cs="Arial" w:eastAsia="Times New Roman" w:hAnsi="Arial"/>
          <w:color w:val="000000"/>
          <w:sz w:val="24"/>
          <w:szCs w:val="24"/>
          <w:lang w:eastAsia="es-ES"/>
        </w:rPr>
      </w:r>
    </w:p>
    <w:p>
      <w:pPr>
        <w:pStyle w:val="style0"/>
        <w:autoSpaceDE w:val="false"/>
        <w:spacing w:after="0" w:before="0" w:line="360" w:lineRule="auto"/>
        <w:jc w:val="both"/>
      </w:pPr>
      <w:r>
        <w:rPr>
          <w:rFonts w:ascii="Arial" w:cs="Arial" w:eastAsia="Times New Roman" w:hAnsi="Arial"/>
          <w:color w:val="000000"/>
          <w:sz w:val="24"/>
          <w:szCs w:val="24"/>
          <w:lang w:eastAsia="es-ES"/>
        </w:rPr>
        <w:tab/>
        <w:t>En lo que respecta el artículo 129 de la Constitución Bolivariana de Venezuela  contiene:  Todas las actividades susceptibles de generar daños a los ecosistemas deben ser previamente acompañadas de estudios de impacto ambiental y socio cultural. El Estado impedirá la entrada al país de desechos tóxicos y peligrosos, así como la fabricación y uso de armas nucleares, químicas y biológicas. Una ley especial regulará el uso, manejo, transporte y almacenamiento de las sustancias tóxicas y peligrosas</w:t>
      </w:r>
    </w:p>
    <w:p>
      <w:pPr>
        <w:pStyle w:val="style0"/>
        <w:autoSpaceDE w:val="false"/>
        <w:spacing w:after="0" w:before="0" w:line="360" w:lineRule="auto"/>
        <w:jc w:val="both"/>
      </w:pPr>
      <w:r>
        <w:rPr>
          <w:rFonts w:ascii="Arial" w:cs="Arial" w:eastAsia="Times New Roman" w:hAnsi="Arial"/>
          <w:color w:val="000000"/>
          <w:sz w:val="24"/>
          <w:szCs w:val="24"/>
          <w:lang w:eastAsia="es-ES"/>
        </w:rPr>
        <w:tab/>
      </w:r>
    </w:p>
    <w:p>
      <w:pPr>
        <w:pStyle w:val="style0"/>
        <w:autoSpaceDE w:val="false"/>
        <w:spacing w:after="0" w:before="0" w:line="360" w:lineRule="auto"/>
        <w:jc w:val="both"/>
      </w:pPr>
      <w:r>
        <w:rPr>
          <w:rFonts w:ascii="Arial" w:cs="Arial" w:eastAsia="Times New Roman" w:hAnsi="Arial"/>
          <w:color w:val="000000"/>
          <w:sz w:val="24"/>
          <w:szCs w:val="24"/>
          <w:lang w:eastAsia="es-ES"/>
        </w:rPr>
        <w:tab/>
        <w:t>En los contratos que la República celebre con personas naturales o jurídicas, nacionales o extranjeras, o en los permisos que se otorguen, que afecten los recursos naturales, se considerará incluida aun cuando no estuviera expresa, la obligación de conservar el equilibrio ecológico, de permitir el acceso a la tecnología y la transferencia de la misma en condiciones mutuamente convenidas y de restablecer el ambiente a su estado natural si éste resultara alterado, en los términos que fije la ley</w:t>
      </w:r>
    </w:p>
    <w:p>
      <w:pPr>
        <w:pStyle w:val="style0"/>
        <w:autoSpaceDE w:val="false"/>
        <w:spacing w:after="0" w:before="0" w:line="360" w:lineRule="auto"/>
        <w:jc w:val="both"/>
      </w:pPr>
      <w:r>
        <w:rPr>
          <w:rFonts w:ascii="Arial" w:cs="Arial" w:eastAsia="Times New Roman" w:hAnsi="Arial"/>
          <w:color w:val="000000"/>
          <w:sz w:val="24"/>
          <w:szCs w:val="24"/>
          <w:lang w:eastAsia="es-ES"/>
        </w:rPr>
      </w:r>
    </w:p>
    <w:p>
      <w:pPr>
        <w:pStyle w:val="style0"/>
        <w:autoSpaceDE w:val="false"/>
        <w:spacing w:after="0" w:before="0" w:line="360" w:lineRule="auto"/>
        <w:jc w:val="both"/>
      </w:pPr>
      <w:r>
        <w:rPr>
          <w:rFonts w:ascii="Arial" w:cs="Arial" w:eastAsia="Times New Roman" w:hAnsi="Arial"/>
          <w:color w:val="000000"/>
          <w:sz w:val="24"/>
          <w:szCs w:val="24"/>
          <w:lang w:eastAsia="es-ES"/>
        </w:rPr>
        <w:tab/>
        <w:t>Este artículo  mencionado  trata sobre  la prevención y protección del ecosistema de daños tóxicos y de fabricación de armas nucleares entre otros.</w:t>
      </w:r>
    </w:p>
    <w:p>
      <w:pPr>
        <w:pStyle w:val="style0"/>
        <w:autoSpaceDE w:val="false"/>
        <w:spacing w:after="0" w:before="0" w:line="360" w:lineRule="auto"/>
        <w:jc w:val="both"/>
      </w:pPr>
      <w:r>
        <w:rPr>
          <w:rFonts w:ascii="Arial" w:cs="Arial" w:eastAsia="Times New Roman" w:hAnsi="Arial"/>
          <w:color w:val="000000"/>
          <w:sz w:val="24"/>
          <w:szCs w:val="24"/>
          <w:lang w:eastAsia="es-ES"/>
        </w:rPr>
      </w:r>
    </w:p>
    <w:p>
      <w:pPr>
        <w:pStyle w:val="style0"/>
        <w:autoSpaceDE w:val="false"/>
        <w:spacing w:after="0" w:before="0" w:line="360" w:lineRule="auto"/>
        <w:jc w:val="both"/>
      </w:pPr>
      <w:r>
        <w:rPr>
          <w:rFonts w:ascii="Arial" w:cs="Arial" w:eastAsia="Times New Roman" w:hAnsi="Arial"/>
          <w:color w:val="000000"/>
          <w:sz w:val="24"/>
          <w:szCs w:val="24"/>
          <w:lang w:eastAsia="es-ES"/>
        </w:rPr>
        <w:tab/>
        <w:t xml:space="preserve"> A continuación se expondrán los artículos más relevantes </w:t>
      </w:r>
      <w:r>
        <w:rPr>
          <w:rFonts w:ascii="Arial" w:cs="Arial" w:hAnsi="Arial"/>
          <w:bCs/>
          <w:iCs/>
          <w:color w:val="000000"/>
          <w:sz w:val="24"/>
          <w:szCs w:val="24"/>
        </w:rPr>
        <w:t>Ley de Residuos y Desechos  Sólidos   que están relacionados con la investigación:</w:t>
      </w:r>
    </w:p>
    <w:p>
      <w:pPr>
        <w:pStyle w:val="style0"/>
        <w:autoSpaceDE w:val="false"/>
        <w:spacing w:after="0" w:before="0" w:line="360" w:lineRule="auto"/>
        <w:jc w:val="both"/>
      </w:pPr>
      <w:r>
        <w:rPr>
          <w:rFonts w:ascii="Arial" w:cs="Arial" w:eastAsia="Arial" w:hAnsi="Arial"/>
          <w:color w:val="000000"/>
          <w:sz w:val="24"/>
          <w:szCs w:val="24"/>
          <w:lang w:eastAsia="es-ES"/>
        </w:rPr>
        <w:t xml:space="preserve"> </w:t>
      </w:r>
      <w:r>
        <w:rPr>
          <w:rFonts w:ascii="Arial" w:cs="Arial" w:eastAsia="Times New Roman" w:hAnsi="Arial"/>
          <w:color w:val="000000"/>
          <w:sz w:val="24"/>
          <w:szCs w:val="24"/>
          <w:lang w:eastAsia="es-ES"/>
        </w:rPr>
        <w:t>La Ley de Residuo y Desecho sólidos en su Titulo I de la Disposiciones Generales establece:</w:t>
      </w:r>
    </w:p>
    <w:p>
      <w:pPr>
        <w:pStyle w:val="style0"/>
        <w:autoSpaceDE w:val="false"/>
        <w:spacing w:after="0" w:before="0" w:line="360" w:lineRule="auto"/>
        <w:jc w:val="both"/>
      </w:pPr>
      <w:r>
        <w:rPr>
          <w:rFonts w:ascii="Arial" w:cs="Arial" w:eastAsia="Times New Roman" w:hAnsi="Arial"/>
          <w:color w:val="000000"/>
          <w:sz w:val="24"/>
          <w:szCs w:val="24"/>
          <w:lang w:eastAsia="es-ES"/>
        </w:rPr>
      </w:r>
    </w:p>
    <w:p>
      <w:pPr>
        <w:pStyle w:val="style0"/>
        <w:tabs>
          <w:tab w:leader="none" w:pos="8222" w:val="left"/>
        </w:tabs>
        <w:autoSpaceDE w:val="false"/>
        <w:spacing w:after="0" w:before="0" w:line="360" w:lineRule="auto"/>
        <w:ind w:hanging="0" w:left="0" w:right="-2"/>
        <w:jc w:val="both"/>
      </w:pPr>
      <w:r>
        <w:rPr>
          <w:rFonts w:ascii="Arial" w:cs="Arial" w:hAnsi="Arial"/>
          <w:b/>
          <w:color w:val="000000"/>
          <w:sz w:val="24"/>
          <w:szCs w:val="24"/>
        </w:rPr>
        <w:t>Artículo 1</w:t>
      </w:r>
      <w:r>
        <w:rPr>
          <w:rFonts w:ascii="Arial" w:cs="Arial" w:hAnsi="Arial"/>
          <w:color w:val="000000"/>
          <w:sz w:val="24"/>
          <w:szCs w:val="24"/>
        </w:rPr>
        <w:t>. La presente Ley tiene por objeto el establecimiento y aplicación de un régimen jurídico a la producción y gestión responsable de los residuos y desechos sólidos, cuyo contenido normativo y utilidad práctica deberá generar la reducción de los desperdicios al mínimo, y evitará situaciones de riesgo para la salud humana y calidad ambiental.</w:t>
      </w:r>
    </w:p>
    <w:p>
      <w:pPr>
        <w:pStyle w:val="style0"/>
        <w:tabs>
          <w:tab w:leader="none" w:pos="8222" w:val="left"/>
        </w:tabs>
        <w:autoSpaceDE w:val="false"/>
        <w:spacing w:after="0" w:before="0" w:line="360" w:lineRule="auto"/>
        <w:ind w:firstLine="851" w:left="0" w:right="0"/>
        <w:jc w:val="both"/>
      </w:pPr>
      <w:r>
        <w:rPr>
          <w:rFonts w:ascii="Arial" w:cs="Arial" w:hAnsi="Arial"/>
          <w:color w:val="000000"/>
          <w:sz w:val="24"/>
          <w:szCs w:val="24"/>
        </w:rPr>
      </w:r>
    </w:p>
    <w:p>
      <w:pPr>
        <w:pStyle w:val="style0"/>
        <w:tabs>
          <w:tab w:leader="none" w:pos="8222" w:val="left"/>
        </w:tabs>
        <w:autoSpaceDE w:val="false"/>
        <w:spacing w:after="0" w:before="0" w:line="360" w:lineRule="auto"/>
        <w:ind w:firstLine="851" w:left="0" w:right="0"/>
        <w:jc w:val="both"/>
      </w:pPr>
      <w:r>
        <w:rPr>
          <w:rFonts w:ascii="Arial" w:cs="Arial" w:hAnsi="Arial"/>
          <w:color w:val="000000"/>
          <w:sz w:val="24"/>
          <w:szCs w:val="24"/>
        </w:rPr>
        <w:t>Se establece igualmente en esta Ley en el artículo 2 los intereses generales del objeto de los desechos:</w:t>
      </w:r>
    </w:p>
    <w:p>
      <w:pPr>
        <w:pStyle w:val="style0"/>
        <w:tabs>
          <w:tab w:leader="none" w:pos="8222" w:val="left"/>
        </w:tabs>
        <w:autoSpaceDE w:val="false"/>
        <w:spacing w:after="0" w:before="0" w:line="360" w:lineRule="auto"/>
        <w:ind w:hanging="0" w:left="1134" w:right="1134"/>
        <w:jc w:val="both"/>
      </w:pPr>
      <w:r>
        <w:rPr>
          <w:rFonts w:ascii="Arial" w:cs="Arial" w:eastAsia="Arial" w:hAnsi="Arial"/>
          <w:color w:val="000000"/>
          <w:sz w:val="24"/>
          <w:szCs w:val="24"/>
        </w:rPr>
        <w:t xml:space="preserve"> </w:t>
      </w:r>
    </w:p>
    <w:p>
      <w:pPr>
        <w:pStyle w:val="style0"/>
        <w:tabs>
          <w:tab w:leader="none" w:pos="8534" w:val="left"/>
        </w:tabs>
        <w:autoSpaceDE w:val="false"/>
        <w:spacing w:after="0" w:before="0" w:line="360" w:lineRule="auto"/>
        <w:ind w:hanging="0" w:left="737" w:right="-2"/>
        <w:jc w:val="both"/>
      </w:pPr>
      <w:r>
        <w:rPr>
          <w:rFonts w:ascii="Arial" w:cs="Arial" w:hAnsi="Arial"/>
          <w:color w:val="000000"/>
          <w:sz w:val="24"/>
          <w:szCs w:val="24"/>
        </w:rPr>
        <w:t xml:space="preserve">1. Garantizar que los residuos y desechos sólidos se gestionen sin poner en peligro la salud y el ambiente, mejorando la calidad de vida de los ciudadanos. </w:t>
      </w:r>
    </w:p>
    <w:p>
      <w:pPr>
        <w:pStyle w:val="style0"/>
        <w:tabs>
          <w:tab w:leader="none" w:pos="8534" w:val="left"/>
        </w:tabs>
        <w:autoSpaceDE w:val="false"/>
        <w:spacing w:after="0" w:before="0" w:line="360" w:lineRule="auto"/>
        <w:ind w:hanging="0" w:left="737" w:right="-2"/>
        <w:jc w:val="both"/>
      </w:pPr>
      <w:r>
        <w:rPr>
          <w:rFonts w:ascii="Arial" w:cs="Arial" w:hAnsi="Arial"/>
          <w:color w:val="000000"/>
          <w:sz w:val="24"/>
          <w:szCs w:val="24"/>
        </w:rPr>
        <w:t xml:space="preserve">2. Dar prioridad a las actuaciones tendentes a prevenir y reducir la cantidad de residuos y desechos sólidos, así como evitar el peligro que puedan causar a la salud y al ambiente. </w:t>
      </w:r>
    </w:p>
    <w:p>
      <w:pPr>
        <w:pStyle w:val="style0"/>
        <w:tabs>
          <w:tab w:leader="none" w:pos="8534" w:val="left"/>
        </w:tabs>
        <w:autoSpaceDE w:val="false"/>
        <w:spacing w:after="0" w:before="0" w:line="360" w:lineRule="auto"/>
        <w:ind w:hanging="0" w:left="737" w:right="-2"/>
        <w:jc w:val="both"/>
      </w:pPr>
      <w:r>
        <w:rPr>
          <w:rFonts w:ascii="Arial" w:cs="Arial" w:hAnsi="Arial"/>
          <w:color w:val="000000"/>
          <w:sz w:val="24"/>
          <w:szCs w:val="24"/>
        </w:rPr>
        <w:t>3. Promover la implementación de instrumentos de planificación, inspección y control, que favorezcan la seguridad y eficiencia de las actividades de gestión del manejo de los residuos y desechos sólidos.</w:t>
      </w:r>
    </w:p>
    <w:p>
      <w:pPr>
        <w:pStyle w:val="style0"/>
        <w:tabs>
          <w:tab w:leader="none" w:pos="8534" w:val="left"/>
        </w:tabs>
        <w:autoSpaceDE w:val="false"/>
        <w:spacing w:after="0" w:before="0" w:line="360" w:lineRule="auto"/>
        <w:ind w:hanging="0" w:left="737" w:right="-2"/>
        <w:jc w:val="both"/>
      </w:pPr>
      <w:r>
        <w:rPr>
          <w:rFonts w:ascii="Arial" w:cs="Arial" w:eastAsia="Arial" w:hAnsi="Arial"/>
          <w:color w:val="000000"/>
          <w:sz w:val="24"/>
          <w:szCs w:val="24"/>
        </w:rPr>
        <w:t xml:space="preserve"> </w:t>
      </w:r>
      <w:r>
        <w:rPr>
          <w:rFonts w:ascii="Arial" w:cs="Arial" w:hAnsi="Arial"/>
          <w:color w:val="000000"/>
          <w:sz w:val="24"/>
          <w:szCs w:val="24"/>
        </w:rPr>
        <w:t>4. Asegurar a los ciudadanos el acceso a la información sobre la acción pública en materia de gestión de los residuos y desechos sólidos, promoviendo su participación en el desarrollo de las acciones previstas.</w:t>
      </w:r>
    </w:p>
    <w:p>
      <w:pPr>
        <w:pStyle w:val="style0"/>
        <w:tabs>
          <w:tab w:leader="none" w:pos="8534" w:val="left"/>
        </w:tabs>
        <w:autoSpaceDE w:val="false"/>
        <w:spacing w:after="0" w:before="0" w:line="360" w:lineRule="auto"/>
        <w:ind w:hanging="0" w:left="737" w:right="-2"/>
        <w:jc w:val="both"/>
      </w:pPr>
      <w:r>
        <w:rPr>
          <w:rFonts w:ascii="Arial" w:cs="Arial" w:eastAsia="Arial" w:hAnsi="Arial"/>
          <w:color w:val="000000"/>
          <w:sz w:val="24"/>
          <w:szCs w:val="24"/>
        </w:rPr>
        <w:t xml:space="preserve"> </w:t>
      </w:r>
      <w:r>
        <w:rPr>
          <w:rFonts w:ascii="Arial" w:cs="Arial" w:hAnsi="Arial"/>
          <w:color w:val="000000"/>
          <w:sz w:val="24"/>
          <w:szCs w:val="24"/>
        </w:rPr>
        <w:t>5. Mejorar el ambiente y la calidad de vida, con disposiciones eficientes en cuanto a la seguridad sanitaria.</w:t>
      </w:r>
    </w:p>
    <w:p>
      <w:pPr>
        <w:pStyle w:val="style0"/>
        <w:tabs>
          <w:tab w:leader="none" w:pos="7797" w:val="left"/>
        </w:tabs>
        <w:autoSpaceDE w:val="false"/>
        <w:spacing w:after="0" w:before="0" w:line="360" w:lineRule="auto"/>
        <w:ind w:hanging="0" w:left="0" w:right="-2"/>
        <w:jc w:val="both"/>
      </w:pPr>
      <w:r>
        <w:rPr>
          <w:rFonts w:ascii="Arial" w:cs="Arial" w:eastAsia="Times New Roman" w:hAnsi="Arial"/>
          <w:color w:val="000000"/>
          <w:sz w:val="24"/>
          <w:szCs w:val="24"/>
          <w:lang w:eastAsia="es-ES"/>
        </w:rPr>
      </w:r>
    </w:p>
    <w:p>
      <w:pPr>
        <w:pStyle w:val="style0"/>
        <w:tabs>
          <w:tab w:leader="none" w:pos="567" w:val="left"/>
        </w:tabs>
        <w:autoSpaceDE w:val="false"/>
        <w:spacing w:after="0" w:before="0" w:line="360" w:lineRule="auto"/>
        <w:ind w:hanging="0" w:left="0" w:right="-2"/>
        <w:jc w:val="both"/>
      </w:pPr>
      <w:r>
        <w:rPr>
          <w:rFonts w:ascii="Arial" w:cs="Arial" w:hAnsi="Arial"/>
          <w:color w:val="000000"/>
          <w:sz w:val="24"/>
          <w:szCs w:val="24"/>
        </w:rPr>
        <w:tab/>
        <w:t>También el Artículo 5 manifiesta que: Se declara política nacional el control y reducción de la producción de residuos y desechos sólidos, así como la recuperación de materia y energía, a fin de proteger la salud y el ambiente contra los efectos nocivos que puedan derivarse del inadecuado manejo de los mismos</w:t>
      </w:r>
      <w:r>
        <w:rPr>
          <w:rFonts w:ascii="Arial" w:cs="Arial" w:hAnsi="Arial"/>
          <w:sz w:val="24"/>
          <w:szCs w:val="24"/>
        </w:rPr>
        <w:t>.</w:t>
      </w:r>
    </w:p>
    <w:p>
      <w:pPr>
        <w:pStyle w:val="style0"/>
        <w:tabs>
          <w:tab w:leader="none" w:pos="7797" w:val="left"/>
        </w:tabs>
        <w:autoSpaceDE w:val="false"/>
        <w:spacing w:after="0" w:before="0" w:line="360" w:lineRule="auto"/>
        <w:ind w:hanging="0" w:left="0" w:right="-2"/>
        <w:jc w:val="both"/>
      </w:pPr>
      <w:r>
        <w:rPr>
          <w:rFonts w:ascii="Arial" w:cs="Arial" w:hAnsi="Arial"/>
          <w:sz w:val="24"/>
          <w:szCs w:val="24"/>
        </w:rPr>
      </w:r>
    </w:p>
    <w:p>
      <w:pPr>
        <w:pStyle w:val="style0"/>
        <w:autoSpaceDE w:val="false"/>
        <w:spacing w:after="0" w:before="0" w:line="360" w:lineRule="auto"/>
        <w:jc w:val="both"/>
      </w:pPr>
      <w:r>
        <w:rPr>
          <w:rFonts w:ascii="Arial" w:cs="Arial" w:eastAsia="Arial" w:hAnsi="Arial"/>
          <w:color w:val="000000"/>
          <w:sz w:val="24"/>
          <w:szCs w:val="24"/>
          <w:lang w:eastAsia="es-ES"/>
        </w:rPr>
        <w:t xml:space="preserve"> </w:t>
      </w:r>
      <w:r>
        <w:rPr>
          <w:rFonts w:ascii="Arial" w:cs="Arial" w:eastAsia="Times New Roman" w:hAnsi="Arial"/>
          <w:color w:val="000000"/>
          <w:sz w:val="24"/>
          <w:szCs w:val="24"/>
          <w:lang w:eastAsia="es-ES"/>
        </w:rPr>
        <w:tab/>
        <w:t xml:space="preserve">Al respecto la Ley en su Titulo II  </w:t>
      </w:r>
      <w:r>
        <w:rPr>
          <w:rFonts w:ascii="Arial" w:cs="Arial" w:hAnsi="Arial"/>
          <w:color w:val="000000"/>
          <w:sz w:val="24"/>
          <w:szCs w:val="24"/>
        </w:rPr>
        <w:t xml:space="preserve">De la Competencias. Capítulo I De las Competencias del Poder Público Nacional establece en su artículo 12: Es competencia del Poder Público Nacional, a través de los órganos competentes, ejercer las atribuciones que a continuación se mencionan, relacionadas con la gestión integral de los residuos y desechos sólidos: </w:t>
      </w:r>
    </w:p>
    <w:p>
      <w:pPr>
        <w:pStyle w:val="style0"/>
        <w:tabs>
          <w:tab w:leader="none" w:pos="8959" w:val="left"/>
        </w:tabs>
        <w:autoSpaceDE w:val="false"/>
        <w:spacing w:after="0" w:before="0" w:line="360" w:lineRule="auto"/>
        <w:ind w:hanging="0" w:left="737" w:right="-2"/>
        <w:jc w:val="both"/>
      </w:pPr>
      <w:r>
        <w:rPr>
          <w:rFonts w:ascii="Arial" w:cs="Arial" w:hAnsi="Arial"/>
          <w:color w:val="000000"/>
          <w:sz w:val="24"/>
          <w:szCs w:val="24"/>
        </w:rPr>
        <w:t xml:space="preserve">1. Desarrollar políticas, estrategias generales y planes sectoriales en la materia, atendiendo a los objetivos económicos y sociales del país en sus diversas regiones. </w:t>
      </w:r>
    </w:p>
    <w:p>
      <w:pPr>
        <w:pStyle w:val="style0"/>
        <w:tabs>
          <w:tab w:leader="none" w:pos="7825" w:val="left"/>
        </w:tabs>
        <w:autoSpaceDE w:val="false"/>
        <w:spacing w:after="0" w:before="0" w:line="360" w:lineRule="auto"/>
        <w:ind w:hanging="0" w:left="737" w:right="-2"/>
        <w:jc w:val="both"/>
      </w:pPr>
      <w:r>
        <w:rPr>
          <w:rFonts w:ascii="Arial" w:cs="Arial" w:hAnsi="Arial"/>
          <w:color w:val="000000"/>
          <w:sz w:val="24"/>
          <w:szCs w:val="24"/>
        </w:rPr>
        <w:t xml:space="preserve">2. Diseñar y promover políticas de financiamiento, que permitan coadyuvar, en el cumplimiento de las metas de calidad y eficiencia en los servicios que han sido establecidos para la gestión integral. </w:t>
      </w:r>
    </w:p>
    <w:p>
      <w:pPr>
        <w:pStyle w:val="style0"/>
        <w:tabs>
          <w:tab w:leader="none" w:pos="7825" w:val="left"/>
        </w:tabs>
        <w:autoSpaceDE w:val="false"/>
        <w:spacing w:after="0" w:before="0" w:line="360" w:lineRule="auto"/>
        <w:ind w:hanging="0" w:left="737" w:right="-2"/>
        <w:jc w:val="both"/>
      </w:pPr>
      <w:r>
        <w:rPr>
          <w:rFonts w:ascii="Arial" w:cs="Arial" w:hAnsi="Arial"/>
          <w:color w:val="000000"/>
          <w:sz w:val="24"/>
          <w:szCs w:val="24"/>
        </w:rPr>
        <w:t xml:space="preserve">3. Otorgar asistencia técnica a los gobiernos regionales y locales para una mejor gestión de los servicios. </w:t>
      </w:r>
    </w:p>
    <w:p>
      <w:pPr>
        <w:pStyle w:val="style0"/>
        <w:tabs>
          <w:tab w:leader="none" w:pos="7825" w:val="left"/>
        </w:tabs>
        <w:autoSpaceDE w:val="false"/>
        <w:spacing w:after="0" w:before="0" w:line="360" w:lineRule="auto"/>
        <w:ind w:hanging="0" w:left="737" w:right="-2"/>
        <w:jc w:val="both"/>
      </w:pPr>
      <w:r>
        <w:rPr>
          <w:rFonts w:ascii="Arial" w:cs="Arial" w:hAnsi="Arial"/>
          <w:color w:val="000000"/>
          <w:sz w:val="24"/>
          <w:szCs w:val="24"/>
        </w:rPr>
        <w:t>4. Promover y asegurar la participación comunitaria para el manejo integral de los residuos y desechos sólidos.</w:t>
      </w:r>
    </w:p>
    <w:p>
      <w:pPr>
        <w:pStyle w:val="style0"/>
        <w:tabs>
          <w:tab w:leader="none" w:pos="7825" w:val="left"/>
        </w:tabs>
        <w:autoSpaceDE w:val="false"/>
        <w:spacing w:after="0" w:before="0" w:line="360" w:lineRule="auto"/>
        <w:ind w:hanging="0" w:left="737" w:right="-2"/>
        <w:jc w:val="both"/>
      </w:pPr>
      <w:r>
        <w:rPr>
          <w:rFonts w:ascii="Arial" w:cs="Arial" w:eastAsia="Arial" w:hAnsi="Arial"/>
          <w:color w:val="000000"/>
          <w:sz w:val="24"/>
          <w:szCs w:val="24"/>
        </w:rPr>
        <w:t xml:space="preserve"> </w:t>
      </w:r>
      <w:r>
        <w:rPr>
          <w:rFonts w:ascii="Arial" w:cs="Arial" w:hAnsi="Arial"/>
          <w:color w:val="000000"/>
          <w:sz w:val="24"/>
          <w:szCs w:val="24"/>
        </w:rPr>
        <w:t xml:space="preserve">5. Promover la participación del sector privado en la gestión de los servicios. </w:t>
      </w:r>
    </w:p>
    <w:p>
      <w:pPr>
        <w:pStyle w:val="style0"/>
        <w:tabs>
          <w:tab w:leader="none" w:pos="7825" w:val="left"/>
        </w:tabs>
        <w:autoSpaceDE w:val="false"/>
        <w:spacing w:after="0" w:before="0" w:line="360" w:lineRule="auto"/>
        <w:ind w:hanging="0" w:left="737" w:right="-2"/>
        <w:jc w:val="both"/>
      </w:pPr>
      <w:r>
        <w:rPr>
          <w:rFonts w:ascii="Arial" w:cs="Arial" w:hAnsi="Arial"/>
          <w:color w:val="000000"/>
          <w:sz w:val="24"/>
          <w:szCs w:val="24"/>
        </w:rPr>
        <w:t>6. Prevenir y sancionar las conductas lesivas al ambiente y a la salud de los prestadores y generadores de residuos y desechos sólidos.</w:t>
      </w:r>
    </w:p>
    <w:p>
      <w:pPr>
        <w:pStyle w:val="style0"/>
        <w:tabs>
          <w:tab w:leader="none" w:pos="7825" w:val="left"/>
        </w:tabs>
        <w:autoSpaceDE w:val="false"/>
        <w:spacing w:after="0" w:before="0" w:line="360" w:lineRule="auto"/>
        <w:ind w:hanging="0" w:left="737" w:right="-2"/>
        <w:jc w:val="both"/>
      </w:pPr>
      <w:r>
        <w:rPr>
          <w:rFonts w:ascii="Arial" w:cs="Arial" w:eastAsia="Arial" w:hAnsi="Arial"/>
          <w:color w:val="000000"/>
          <w:sz w:val="24"/>
          <w:szCs w:val="24"/>
        </w:rPr>
        <w:t xml:space="preserve"> </w:t>
      </w:r>
      <w:r>
        <w:rPr>
          <w:rFonts w:ascii="Arial" w:cs="Arial" w:hAnsi="Arial"/>
          <w:color w:val="000000"/>
          <w:sz w:val="24"/>
          <w:szCs w:val="24"/>
        </w:rPr>
        <w:t xml:space="preserve">7. Verificar y difundir el cumplimiento del Plan Nacional de Gestión Integral de los Residuos y Desechos Sólidos. </w:t>
      </w:r>
    </w:p>
    <w:p>
      <w:pPr>
        <w:pStyle w:val="style0"/>
        <w:tabs>
          <w:tab w:leader="none" w:pos="7825" w:val="left"/>
        </w:tabs>
        <w:autoSpaceDE w:val="false"/>
        <w:spacing w:after="0" w:before="0" w:line="360" w:lineRule="auto"/>
        <w:ind w:hanging="0" w:left="737" w:right="-2"/>
        <w:jc w:val="both"/>
      </w:pPr>
      <w:r>
        <w:rPr>
          <w:rFonts w:ascii="Arial" w:cs="Arial" w:hAnsi="Arial"/>
          <w:color w:val="000000"/>
          <w:sz w:val="24"/>
          <w:szCs w:val="24"/>
        </w:rPr>
        <w:t>8. Coordinar y velar por el cumplimiento de los planes de los diferentes niveles de gobierno en la materia.</w:t>
      </w:r>
    </w:p>
    <w:p>
      <w:pPr>
        <w:pStyle w:val="style0"/>
        <w:tabs>
          <w:tab w:leader="none" w:pos="7825" w:val="left"/>
        </w:tabs>
        <w:autoSpaceDE w:val="false"/>
        <w:spacing w:after="0" w:before="0" w:line="360" w:lineRule="auto"/>
        <w:ind w:hanging="0" w:left="737" w:right="-2"/>
        <w:jc w:val="both"/>
      </w:pPr>
      <w:r>
        <w:rPr>
          <w:rFonts w:ascii="Arial" w:cs="Arial" w:eastAsia="Arial" w:hAnsi="Arial"/>
          <w:color w:val="000000"/>
          <w:sz w:val="24"/>
          <w:szCs w:val="24"/>
        </w:rPr>
        <w:t xml:space="preserve"> </w:t>
      </w:r>
      <w:r>
        <w:rPr>
          <w:rFonts w:ascii="Arial" w:cs="Arial" w:hAnsi="Arial"/>
          <w:color w:val="000000"/>
          <w:sz w:val="24"/>
          <w:szCs w:val="24"/>
        </w:rPr>
        <w:t>9. Desarrollar e implementar programas de educación en el manejo sanitario y ambientalmente seguro de los residuos y desechos sólidos.</w:t>
      </w:r>
    </w:p>
    <w:p>
      <w:pPr>
        <w:pStyle w:val="style0"/>
        <w:tabs>
          <w:tab w:leader="none" w:pos="7825" w:val="left"/>
        </w:tabs>
        <w:autoSpaceDE w:val="false"/>
        <w:spacing w:after="0" w:before="0" w:line="360" w:lineRule="auto"/>
        <w:ind w:hanging="0" w:left="737" w:right="-2"/>
        <w:jc w:val="both"/>
      </w:pPr>
      <w:r>
        <w:rPr>
          <w:rFonts w:ascii="Arial" w:cs="Arial" w:eastAsia="Arial" w:hAnsi="Arial"/>
          <w:color w:val="000000"/>
          <w:sz w:val="24"/>
          <w:szCs w:val="24"/>
        </w:rPr>
        <w:t xml:space="preserve"> </w:t>
      </w:r>
      <w:r>
        <w:rPr>
          <w:rFonts w:ascii="Arial" w:cs="Arial" w:hAnsi="Arial"/>
          <w:color w:val="000000"/>
          <w:sz w:val="24"/>
          <w:szCs w:val="24"/>
        </w:rPr>
        <w:t xml:space="preserve">10. Velar y controlar el cumplimiento de las disposiciones contenidas en esta Ley, su Reglamento y demás normas que rijan la materia. </w:t>
      </w:r>
    </w:p>
    <w:p>
      <w:pPr>
        <w:pStyle w:val="style0"/>
        <w:tabs>
          <w:tab w:leader="none" w:pos="7825" w:val="left"/>
        </w:tabs>
        <w:autoSpaceDE w:val="false"/>
        <w:spacing w:after="0" w:before="0" w:line="360" w:lineRule="auto"/>
        <w:ind w:hanging="0" w:left="737" w:right="-2"/>
        <w:jc w:val="both"/>
      </w:pPr>
      <w:r>
        <w:rPr>
          <w:rFonts w:ascii="Arial" w:cs="Arial" w:hAnsi="Arial"/>
          <w:color w:val="000000"/>
          <w:sz w:val="24"/>
          <w:szCs w:val="24"/>
        </w:rPr>
        <w:t xml:space="preserve">11. Fomentar la creación de formas asociativas entre municipios para la gestión integral de los residuos y desechos sólidos. </w:t>
      </w:r>
    </w:p>
    <w:p>
      <w:pPr>
        <w:pStyle w:val="style0"/>
        <w:tabs>
          <w:tab w:leader="none" w:pos="7825" w:val="left"/>
        </w:tabs>
        <w:autoSpaceDE w:val="false"/>
        <w:spacing w:after="0" w:before="0" w:line="360" w:lineRule="auto"/>
        <w:ind w:hanging="0" w:left="737" w:right="-2"/>
        <w:jc w:val="both"/>
      </w:pPr>
      <w:r>
        <w:rPr>
          <w:rFonts w:ascii="Arial" w:cs="Arial" w:hAnsi="Arial"/>
          <w:color w:val="000000"/>
          <w:sz w:val="24"/>
          <w:szCs w:val="24"/>
        </w:rPr>
        <w:t xml:space="preserve">12. Crear incentivos que promuevan la gestión integral de los residuos y desechos sólidos, y la participación ciudadana en el sector. </w:t>
      </w:r>
    </w:p>
    <w:p>
      <w:pPr>
        <w:pStyle w:val="style0"/>
        <w:tabs>
          <w:tab w:leader="none" w:pos="7825" w:val="left"/>
        </w:tabs>
        <w:autoSpaceDE w:val="false"/>
        <w:spacing w:after="0" w:before="0" w:line="360" w:lineRule="auto"/>
        <w:ind w:hanging="0" w:left="737" w:right="-2"/>
        <w:jc w:val="both"/>
      </w:pPr>
      <w:r>
        <w:rPr>
          <w:rFonts w:ascii="Arial" w:cs="Arial" w:hAnsi="Arial"/>
          <w:color w:val="000000"/>
          <w:sz w:val="24"/>
          <w:szCs w:val="24"/>
        </w:rPr>
        <w:t xml:space="preserve">13. Cumplir y hacer cumplir las disposiciones previstas en la presente Ley. </w:t>
      </w:r>
    </w:p>
    <w:p>
      <w:pPr>
        <w:pStyle w:val="style0"/>
        <w:tabs>
          <w:tab w:leader="none" w:pos="7825" w:val="left"/>
        </w:tabs>
        <w:autoSpaceDE w:val="false"/>
        <w:spacing w:after="0" w:before="0" w:line="360" w:lineRule="auto"/>
        <w:ind w:hanging="0" w:left="737" w:right="-2"/>
        <w:jc w:val="both"/>
      </w:pPr>
      <w:r>
        <w:rPr>
          <w:rFonts w:ascii="Arial" w:cs="Arial" w:hAnsi="Arial"/>
          <w:color w:val="000000"/>
          <w:sz w:val="24"/>
          <w:szCs w:val="24"/>
        </w:rPr>
        <w:t>14. Ejercer la vigilancia y control de las disposiciones contenidas en la presente Ley, en el Decreto de Guardería Ambiental, vigente, y demás leyes con competencia en la materia.</w:t>
      </w:r>
    </w:p>
    <w:p>
      <w:pPr>
        <w:pStyle w:val="style0"/>
        <w:tabs>
          <w:tab w:leader="none" w:pos="8222" w:val="left"/>
        </w:tabs>
        <w:autoSpaceDE w:val="false"/>
        <w:spacing w:after="0" w:before="0" w:line="360" w:lineRule="auto"/>
        <w:ind w:hanging="0" w:left="1134" w:right="1134"/>
        <w:jc w:val="both"/>
      </w:pPr>
      <w:r>
        <w:rPr>
          <w:rFonts w:ascii="Arial" w:cs="Arial" w:hAnsi="Arial"/>
          <w:color w:val="000000"/>
          <w:sz w:val="24"/>
          <w:szCs w:val="24"/>
        </w:rPr>
      </w:r>
    </w:p>
    <w:p>
      <w:pPr>
        <w:pStyle w:val="style0"/>
        <w:autoSpaceDE w:val="false"/>
        <w:spacing w:after="0" w:before="0" w:line="360" w:lineRule="auto"/>
        <w:jc w:val="both"/>
      </w:pPr>
      <w:r>
        <w:rPr>
          <w:rFonts w:ascii="Arial" w:cs="Arial" w:eastAsia="Arial" w:hAnsi="Arial"/>
          <w:b/>
          <w:bCs/>
          <w:color w:val="000000"/>
          <w:sz w:val="24"/>
          <w:szCs w:val="24"/>
        </w:rPr>
        <w:t xml:space="preserve"> </w:t>
      </w:r>
      <w:r>
        <w:rPr>
          <w:rFonts w:ascii="Arial" w:cs="Arial" w:hAnsi="Arial"/>
          <w:b/>
          <w:bCs/>
          <w:color w:val="000000"/>
          <w:sz w:val="24"/>
          <w:szCs w:val="24"/>
        </w:rPr>
        <w:tab/>
      </w:r>
      <w:r>
        <w:rPr>
          <w:rFonts w:ascii="Arial" w:cs="Arial" w:hAnsi="Arial"/>
          <w:bCs/>
          <w:color w:val="000000"/>
          <w:sz w:val="24"/>
          <w:szCs w:val="24"/>
        </w:rPr>
        <w:t xml:space="preserve">También la ley establece en el  </w:t>
      </w:r>
      <w:r>
        <w:rPr>
          <w:rFonts w:ascii="Arial" w:cs="Arial" w:hAnsi="Arial"/>
          <w:iCs/>
          <w:color w:val="000000"/>
          <w:sz w:val="24"/>
          <w:szCs w:val="24"/>
        </w:rPr>
        <w:t xml:space="preserve">Título V: De la Participación Ciudadana invocando en el artículo 84: </w:t>
      </w:r>
      <w:r>
        <w:rPr>
          <w:rFonts w:ascii="Arial" w:cs="Arial" w:hAnsi="Arial"/>
          <w:color w:val="000000"/>
          <w:sz w:val="24"/>
          <w:szCs w:val="24"/>
        </w:rPr>
        <w:t xml:space="preserve">Toda persona natural o jurídica, pública o privada, concurrirá en el ámbito de sus competencias y dentro del límite de su responsabilidad, a participar en la definición, ejecución, gestión, control y evaluación de la gestión integral de los residuos y desechos sólidos. </w:t>
      </w:r>
    </w:p>
    <w:p>
      <w:pPr>
        <w:pStyle w:val="style0"/>
        <w:autoSpaceDE w:val="false"/>
        <w:spacing w:after="0" w:before="0" w:line="360" w:lineRule="auto"/>
        <w:ind w:hanging="0" w:left="1134" w:right="1134"/>
        <w:jc w:val="both"/>
      </w:pPr>
      <w:r>
        <w:rPr>
          <w:rFonts w:ascii="Arial" w:cs="Arial" w:hAnsi="Arial"/>
          <w:color w:val="000000"/>
          <w:sz w:val="24"/>
          <w:szCs w:val="24"/>
        </w:rPr>
      </w:r>
    </w:p>
    <w:p>
      <w:pPr>
        <w:pStyle w:val="style0"/>
        <w:autoSpaceDE w:val="false"/>
        <w:spacing w:after="0" w:before="0" w:line="360" w:lineRule="auto"/>
        <w:jc w:val="both"/>
      </w:pPr>
      <w:r>
        <w:rPr>
          <w:rFonts w:ascii="Arial" w:cs="Arial" w:hAnsi="Arial"/>
          <w:color w:val="000000"/>
          <w:sz w:val="24"/>
          <w:szCs w:val="24"/>
        </w:rPr>
        <w:tab/>
        <w:t xml:space="preserve">Seguidamente el Artículo 85 señala que los organismos competentes deberán convocar públicamente a la comunidad organizada para: </w:t>
      </w:r>
    </w:p>
    <w:p>
      <w:pPr>
        <w:pStyle w:val="style0"/>
        <w:autoSpaceDE w:val="false"/>
        <w:spacing w:after="158" w:before="0" w:line="360" w:lineRule="auto"/>
        <w:ind w:hanging="0" w:left="1134" w:right="1134"/>
        <w:jc w:val="both"/>
      </w:pPr>
      <w:r>
        <w:rPr>
          <w:rFonts w:ascii="Arial" w:cs="Arial" w:hAnsi="Arial"/>
          <w:color w:val="000000"/>
          <w:sz w:val="24"/>
          <w:szCs w:val="24"/>
        </w:rPr>
      </w:r>
    </w:p>
    <w:p>
      <w:pPr>
        <w:pStyle w:val="style0"/>
        <w:autoSpaceDE w:val="false"/>
        <w:spacing w:after="158" w:before="0" w:line="360" w:lineRule="auto"/>
        <w:ind w:hanging="0" w:left="737" w:right="-2"/>
        <w:jc w:val="both"/>
      </w:pPr>
      <w:r>
        <w:rPr>
          <w:rFonts w:ascii="Arial" w:cs="Arial" w:hAnsi="Arial"/>
          <w:color w:val="000000"/>
          <w:sz w:val="24"/>
          <w:szCs w:val="24"/>
        </w:rPr>
        <w:t xml:space="preserve">1. Conocer y tratar sobre asuntos relacionados con el estado, mejoramiento y expansión de los servicios. </w:t>
      </w:r>
    </w:p>
    <w:p>
      <w:pPr>
        <w:pStyle w:val="style0"/>
        <w:autoSpaceDE w:val="false"/>
        <w:spacing w:after="158" w:before="0" w:line="360" w:lineRule="auto"/>
        <w:ind w:hanging="0" w:left="737" w:right="-2"/>
        <w:jc w:val="both"/>
      </w:pPr>
      <w:r>
        <w:rPr>
          <w:rFonts w:ascii="Arial" w:cs="Arial" w:hAnsi="Arial"/>
          <w:color w:val="000000"/>
          <w:sz w:val="24"/>
          <w:szCs w:val="24"/>
        </w:rPr>
        <w:t xml:space="preserve">2. Conocer y tratar sobre aspectos relativos al sistema tarifario y modificaciones o ajustes de los servicios. </w:t>
      </w:r>
    </w:p>
    <w:p>
      <w:pPr>
        <w:pStyle w:val="style0"/>
        <w:autoSpaceDE w:val="false"/>
        <w:spacing w:after="0" w:before="0" w:line="360" w:lineRule="auto"/>
        <w:ind w:hanging="0" w:left="737" w:right="-2"/>
        <w:jc w:val="both"/>
      </w:pPr>
      <w:r>
        <w:rPr>
          <w:rFonts w:ascii="Arial" w:cs="Arial" w:hAnsi="Arial"/>
          <w:color w:val="000000"/>
          <w:sz w:val="24"/>
          <w:szCs w:val="24"/>
        </w:rPr>
        <w:t xml:space="preserve">3. Conocer y tratar, a petición de cualquiera de las partes, los conflictos entre prestadores de servicios, distritos metropolitanos, municipios, mancomunidades y suscriptores del servicio. </w:t>
      </w:r>
    </w:p>
    <w:p>
      <w:pPr>
        <w:pStyle w:val="style0"/>
        <w:autoSpaceDE w:val="false"/>
        <w:spacing w:after="0" w:before="0" w:line="360" w:lineRule="auto"/>
        <w:ind w:hanging="0" w:left="737" w:right="-2"/>
        <w:jc w:val="both"/>
      </w:pPr>
      <w:r>
        <w:rPr>
          <w:rFonts w:ascii="Arial" w:cs="Arial" w:hAnsi="Arial"/>
          <w:color w:val="000000"/>
          <w:sz w:val="24"/>
          <w:szCs w:val="24"/>
        </w:rPr>
        <w:t xml:space="preserve">4. Conocer y tratar requerimientos de la comunidad organizada en el área de los residuos y desechos sólidos. </w:t>
      </w:r>
    </w:p>
    <w:p>
      <w:pPr>
        <w:pStyle w:val="style0"/>
        <w:autoSpaceDE w:val="false"/>
        <w:spacing w:after="0" w:before="0" w:line="360" w:lineRule="auto"/>
        <w:ind w:hanging="0" w:left="0" w:right="-2"/>
        <w:jc w:val="both"/>
      </w:pPr>
      <w:r>
        <w:rPr>
          <w:rFonts w:ascii="Arial" w:cs="Arial" w:hAnsi="Arial"/>
          <w:color w:val="000000"/>
          <w:sz w:val="24"/>
          <w:szCs w:val="24"/>
        </w:rPr>
      </w:r>
    </w:p>
    <w:p>
      <w:pPr>
        <w:pStyle w:val="style0"/>
        <w:autoSpaceDE w:val="false"/>
        <w:spacing w:after="0" w:before="0" w:line="360" w:lineRule="auto"/>
        <w:ind w:hanging="0" w:left="0" w:right="-2"/>
        <w:jc w:val="both"/>
      </w:pPr>
      <w:r>
        <w:rPr>
          <w:rFonts w:ascii="Arial" w:cs="Arial" w:hAnsi="Arial"/>
          <w:color w:val="000000"/>
          <w:sz w:val="24"/>
          <w:szCs w:val="24"/>
        </w:rPr>
        <w:tab/>
        <w:t xml:space="preserve">Los artículos previamente citados dejan evidencia fehaciente de la necesidad de formular las estrategias financieras – operacionales, de tal manera que pueda apoyar en el proceso de desincorporación de los bienes nacionales en estado de obsolescencia, deterioro y corrosión del IUTY. </w:t>
      </w:r>
    </w:p>
    <w:p>
      <w:pPr>
        <w:pStyle w:val="style0"/>
        <w:pageBreakBefore/>
        <w:autoSpaceDE w:val="false"/>
        <w:spacing w:after="0" w:before="0" w:line="360" w:lineRule="auto"/>
        <w:ind w:hanging="0" w:left="0" w:right="-2"/>
        <w:jc w:val="both"/>
      </w:pPr>
      <w:r>
        <w:rPr>
          <w:rFonts w:ascii="Arial" w:cs="Arial" w:hAnsi="Arial"/>
          <w:b/>
          <w:bCs/>
          <w:color w:val="000000"/>
          <w:sz w:val="24"/>
          <w:szCs w:val="24"/>
        </w:rPr>
        <w:t>Definición de Términos</w:t>
      </w:r>
    </w:p>
    <w:p>
      <w:pPr>
        <w:pStyle w:val="style0"/>
        <w:autoSpaceDE w:val="false"/>
        <w:spacing w:after="0" w:before="0" w:line="360" w:lineRule="auto"/>
        <w:jc w:val="both"/>
      </w:pPr>
      <w:r>
        <w:rPr>
          <w:rFonts w:ascii="Arial" w:cs="Arial" w:hAnsi="Arial"/>
          <w:color w:val="000000"/>
          <w:sz w:val="24"/>
          <w:szCs w:val="24"/>
        </w:rPr>
      </w:r>
    </w:p>
    <w:p>
      <w:pPr>
        <w:pStyle w:val="style0"/>
        <w:autoSpaceDE w:val="false"/>
        <w:spacing w:after="0" w:before="0" w:line="360" w:lineRule="auto"/>
        <w:jc w:val="both"/>
      </w:pPr>
      <w:r>
        <w:rPr>
          <w:rFonts w:ascii="Arial" w:cs="Arial" w:hAnsi="Arial"/>
          <w:b/>
          <w:color w:val="000000"/>
          <w:sz w:val="24"/>
          <w:szCs w:val="24"/>
        </w:rPr>
        <w:t>Basura</w:t>
      </w:r>
      <w:r>
        <w:rPr>
          <w:rFonts w:ascii="Arial" w:cs="Arial" w:hAnsi="Arial"/>
          <w:color w:val="000000"/>
          <w:sz w:val="24"/>
          <w:szCs w:val="24"/>
        </w:rPr>
        <w:t>: es todo material considerado como desecho y que se necesita eliminar.</w:t>
      </w:r>
    </w:p>
    <w:p>
      <w:pPr>
        <w:pStyle w:val="style0"/>
        <w:autoSpaceDE w:val="false"/>
        <w:spacing w:after="0" w:before="0" w:line="240" w:lineRule="auto"/>
        <w:jc w:val="both"/>
      </w:pPr>
      <w:r>
        <w:rPr>
          <w:rFonts w:ascii="Arial" w:cs="Arial" w:hAnsi="Arial"/>
          <w:color w:val="000000"/>
          <w:sz w:val="24"/>
          <w:szCs w:val="24"/>
        </w:rPr>
      </w:r>
    </w:p>
    <w:p>
      <w:pPr>
        <w:pStyle w:val="style0"/>
        <w:spacing w:line="360" w:lineRule="auto"/>
        <w:jc w:val="both"/>
      </w:pPr>
      <w:r>
        <w:rPr>
          <w:rFonts w:ascii="Arial" w:cs="Arial" w:hAnsi="Arial"/>
          <w:b/>
          <w:bCs/>
          <w:color w:val="000000"/>
          <w:sz w:val="24"/>
          <w:szCs w:val="24"/>
          <w:shd w:fill="FFFFFF" w:val="clear"/>
        </w:rPr>
        <w:t xml:space="preserve">Corrosión: </w:t>
      </w:r>
      <w:r>
        <w:rPr>
          <w:rStyle w:val="style147"/>
          <w:rFonts w:ascii="Arial" w:hAnsi="Arial"/>
          <w:color w:val="000000"/>
          <w:sz w:val="24"/>
          <w:szCs w:val="24"/>
          <w:shd w:fill="FFFFFF" w:val="clear"/>
        </w:rPr>
        <w:t>se</w:t>
      </w:r>
      <w:r>
        <w:rPr>
          <w:rFonts w:ascii="Arial" w:cs="Arial" w:hAnsi="Arial"/>
          <w:color w:val="000000"/>
          <w:sz w:val="24"/>
          <w:szCs w:val="24"/>
          <w:shd w:fill="FFFFFF" w:val="clear"/>
        </w:rPr>
        <w:t xml:space="preserve"> define como el deterioro de un material a consecuencia de un</w:t>
      </w:r>
      <w:r>
        <w:rPr>
          <w:rStyle w:val="style147"/>
          <w:rFonts w:ascii="Arial" w:hAnsi="Arial"/>
          <w:color w:val="000000"/>
          <w:sz w:val="24"/>
          <w:szCs w:val="24"/>
          <w:shd w:fill="FFFFFF" w:val="clear"/>
        </w:rPr>
        <w:t xml:space="preserve"> </w:t>
      </w:r>
      <w:hyperlink r:id="rId18">
        <w:r>
          <w:rPr>
            <w:rStyle w:val="style148"/>
            <w:rStyle w:val="style148"/>
            <w:rFonts w:ascii="Arial" w:hAnsi="Arial"/>
            <w:sz w:val="24"/>
            <w:szCs w:val="24"/>
            <w:u w:val="none"/>
            <w:shd w:fill="FFFFFF" w:val="clear"/>
          </w:rPr>
          <w:t>ataque electroquímico</w:t>
        </w:r>
      </w:hyperlink>
      <w:r>
        <w:rPr>
          <w:rStyle w:val="style147"/>
          <w:rFonts w:ascii="Arial" w:hAnsi="Arial"/>
          <w:color w:val="000000"/>
          <w:sz w:val="24"/>
          <w:szCs w:val="24"/>
          <w:shd w:fill="FFFFFF" w:val="clear"/>
        </w:rPr>
        <w:t xml:space="preserve"> </w:t>
      </w:r>
      <w:r>
        <w:rPr>
          <w:rFonts w:ascii="Arial" w:cs="Arial" w:hAnsi="Arial"/>
          <w:color w:val="000000"/>
          <w:sz w:val="24"/>
          <w:szCs w:val="24"/>
          <w:shd w:fill="FFFFFF" w:val="clear"/>
        </w:rPr>
        <w:t>por su entorno. El proceso de corrosión es natural y espontáneo</w:t>
      </w:r>
      <w:r>
        <w:rPr>
          <w:rFonts w:ascii="Arial" w:cs="Arial" w:hAnsi="Arial"/>
          <w:color w:val="252525"/>
          <w:sz w:val="24"/>
          <w:szCs w:val="24"/>
          <w:shd w:fill="FFFFFF" w:val="clear"/>
        </w:rPr>
        <w:t>.</w:t>
      </w:r>
    </w:p>
    <w:p>
      <w:pPr>
        <w:pStyle w:val="style0"/>
        <w:autoSpaceDE w:val="false"/>
        <w:spacing w:after="0" w:before="0" w:line="360" w:lineRule="auto"/>
        <w:jc w:val="both"/>
      </w:pPr>
      <w:r>
        <w:rPr>
          <w:rFonts w:ascii="Arial" w:cs="Arial" w:hAnsi="Arial"/>
          <w:b/>
          <w:color w:val="000000"/>
          <w:sz w:val="24"/>
          <w:szCs w:val="24"/>
        </w:rPr>
        <w:t>Cultura Ambiental</w:t>
      </w:r>
      <w:r>
        <w:rPr>
          <w:rFonts w:ascii="Arial" w:cs="Arial" w:hAnsi="Arial"/>
          <w:color w:val="000000"/>
          <w:sz w:val="24"/>
          <w:szCs w:val="24"/>
        </w:rPr>
        <w:t>: postura ante la vida que nos permite cuidar y preservar el medio ambiente</w:t>
      </w:r>
    </w:p>
    <w:p>
      <w:pPr>
        <w:pStyle w:val="style0"/>
        <w:autoSpaceDE w:val="false"/>
        <w:spacing w:after="0" w:before="0" w:line="360" w:lineRule="auto"/>
        <w:jc w:val="both"/>
      </w:pPr>
      <w:r>
        <w:rPr>
          <w:rFonts w:ascii="Arial" w:cs="Arial" w:hAnsi="Arial"/>
          <w:sz w:val="24"/>
          <w:szCs w:val="24"/>
        </w:rPr>
      </w:r>
    </w:p>
    <w:p>
      <w:pPr>
        <w:pStyle w:val="style0"/>
        <w:autoSpaceDE w:val="false"/>
        <w:spacing w:after="0" w:before="0" w:line="360" w:lineRule="auto"/>
        <w:jc w:val="both"/>
      </w:pPr>
      <w:r>
        <w:rPr>
          <w:rFonts w:ascii="Arial" w:cs="Arial" w:hAnsi="Arial"/>
          <w:b/>
          <w:sz w:val="24"/>
          <w:szCs w:val="24"/>
        </w:rPr>
        <w:t>Depreciación</w:t>
      </w:r>
      <w:r>
        <w:rPr>
          <w:rFonts w:ascii="Arial" w:cs="Arial" w:hAnsi="Arial"/>
          <w:sz w:val="24"/>
          <w:szCs w:val="24"/>
        </w:rPr>
        <w:t>: es el costo de un activo, u otro importe que lo haya sustituido, menos su valor residual</w:t>
      </w:r>
      <w:r>
        <w:rPr>
          <w:rFonts w:ascii="Arial" w:cs="Arial" w:hAnsi="Arial"/>
          <w:color w:val="000000"/>
          <w:sz w:val="24"/>
          <w:szCs w:val="24"/>
        </w:rPr>
        <w:t xml:space="preserve"> </w:t>
      </w:r>
    </w:p>
    <w:p>
      <w:pPr>
        <w:pStyle w:val="style199"/>
        <w:autoSpaceDE w:val="false"/>
        <w:spacing w:after="0" w:before="0" w:line="240" w:lineRule="auto"/>
        <w:ind w:hanging="0" w:left="0" w:right="0"/>
        <w:jc w:val="both"/>
      </w:pPr>
      <w:r>
        <w:rPr>
          <w:rFonts w:ascii="Arial" w:cs="Arial" w:hAnsi="Arial"/>
          <w:color w:val="000000"/>
          <w:sz w:val="24"/>
          <w:szCs w:val="24"/>
        </w:rPr>
      </w:r>
    </w:p>
    <w:p>
      <w:pPr>
        <w:pStyle w:val="style0"/>
        <w:autoSpaceDE w:val="false"/>
        <w:spacing w:after="0" w:before="0" w:line="360" w:lineRule="auto"/>
        <w:jc w:val="both"/>
      </w:pPr>
      <w:r>
        <w:rPr>
          <w:rFonts w:ascii="Arial" w:cs="Arial" w:hAnsi="Arial"/>
          <w:b/>
          <w:color w:val="000000"/>
          <w:sz w:val="24"/>
          <w:szCs w:val="24"/>
        </w:rPr>
        <w:t>Desechos</w:t>
      </w:r>
      <w:r>
        <w:rPr>
          <w:rFonts w:ascii="Arial" w:cs="Arial" w:hAnsi="Arial"/>
          <w:color w:val="000000"/>
          <w:sz w:val="24"/>
          <w:szCs w:val="24"/>
        </w:rPr>
        <w:t>: son desperdicios o sobrantes de las actividades humanas. Se clasifica en gases, líquidos y sólidos; y por su origen, en orgánicos e inorgánicos.</w:t>
      </w:r>
    </w:p>
    <w:p>
      <w:pPr>
        <w:pStyle w:val="style0"/>
        <w:autoSpaceDE w:val="false"/>
        <w:spacing w:after="0" w:before="0" w:line="240" w:lineRule="auto"/>
        <w:jc w:val="both"/>
      </w:pPr>
      <w:r>
        <w:rPr>
          <w:rFonts w:ascii="Arial" w:cs="Arial" w:hAnsi="Arial"/>
          <w:color w:val="000000"/>
          <w:sz w:val="24"/>
          <w:szCs w:val="24"/>
        </w:rPr>
      </w:r>
    </w:p>
    <w:p>
      <w:pPr>
        <w:pStyle w:val="style0"/>
        <w:autoSpaceDE w:val="false"/>
        <w:spacing w:after="0" w:before="0" w:line="360" w:lineRule="auto"/>
        <w:jc w:val="both"/>
      </w:pPr>
      <w:r>
        <w:rPr>
          <w:rFonts w:ascii="Arial" w:cs="Arial" w:hAnsi="Arial"/>
          <w:b/>
          <w:color w:val="000000"/>
          <w:sz w:val="24"/>
          <w:szCs w:val="24"/>
          <w:shd w:fill="FFFFFF" w:val="clear"/>
        </w:rPr>
        <w:t>Donación:</w:t>
      </w:r>
      <w:r>
        <w:rPr>
          <w:rFonts w:ascii="Arial" w:cs="Arial" w:hAnsi="Arial"/>
          <w:color w:val="000000"/>
          <w:sz w:val="24"/>
          <w:szCs w:val="24"/>
          <w:shd w:fill="FFFFFF" w:val="clear"/>
        </w:rPr>
        <w:t xml:space="preserve"> es una acción que consiste en una liberalidad voluntaria entre personas vivas, siendo</w:t>
      </w:r>
      <w:r>
        <w:rPr>
          <w:rStyle w:val="style147"/>
          <w:rFonts w:ascii="Arial" w:hAnsi="Arial"/>
          <w:color w:val="000000"/>
          <w:sz w:val="24"/>
          <w:szCs w:val="24"/>
          <w:shd w:fill="FFFFFF" w:val="clear"/>
        </w:rPr>
        <w:t xml:space="preserve"> </w:t>
      </w:r>
      <w:hyperlink r:id="rId19">
        <w:r>
          <w:rPr>
            <w:rStyle w:val="style148"/>
            <w:rStyle w:val="style148"/>
            <w:rFonts w:ascii="Arial" w:hAnsi="Arial"/>
            <w:sz w:val="24"/>
            <w:szCs w:val="24"/>
            <w:u w:val="none"/>
          </w:rPr>
          <w:t>imprescindible</w:t>
        </w:r>
      </w:hyperlink>
      <w:r>
        <w:rPr>
          <w:rStyle w:val="style147"/>
          <w:rFonts w:ascii="Arial" w:hAnsi="Arial"/>
          <w:color w:val="000000"/>
          <w:sz w:val="24"/>
          <w:szCs w:val="24"/>
          <w:shd w:fill="FFFFFF" w:val="clear"/>
        </w:rPr>
        <w:t xml:space="preserve"> </w:t>
      </w:r>
      <w:r>
        <w:rPr>
          <w:rFonts w:ascii="Arial" w:cs="Arial" w:hAnsi="Arial"/>
          <w:color w:val="000000"/>
          <w:sz w:val="24"/>
          <w:szCs w:val="24"/>
          <w:shd w:fill="FFFFFF" w:val="clear"/>
        </w:rPr>
        <w:t xml:space="preserve">para que exista la </w:t>
      </w:r>
      <w:hyperlink r:id="rId20">
        <w:r>
          <w:rPr>
            <w:rStyle w:val="style148"/>
            <w:rStyle w:val="style148"/>
            <w:rFonts w:ascii="Arial" w:hAnsi="Arial"/>
            <w:sz w:val="24"/>
            <w:szCs w:val="24"/>
            <w:u w:val="none"/>
          </w:rPr>
          <w:t>participación</w:t>
        </w:r>
      </w:hyperlink>
      <w:r>
        <w:rPr>
          <w:rStyle w:val="style147"/>
          <w:rFonts w:ascii="Arial" w:hAnsi="Arial"/>
          <w:color w:val="000000"/>
          <w:sz w:val="24"/>
          <w:szCs w:val="24"/>
          <w:shd w:fill="FFFFFF" w:val="clear"/>
        </w:rPr>
        <w:t xml:space="preserve"> </w:t>
      </w:r>
      <w:r>
        <w:rPr>
          <w:rFonts w:ascii="Arial" w:cs="Arial" w:hAnsi="Arial"/>
          <w:color w:val="000000"/>
          <w:sz w:val="24"/>
          <w:szCs w:val="24"/>
          <w:shd w:fill="FFFFFF" w:val="clear"/>
        </w:rPr>
        <w:t>de dos partes, una que será la que realiza la disposición gratuita de uno o varios de los bienes que son de su propiedad o en su defecto de los cuales por cualquier título se encuentra facultado para disponer, el donante; y la otra parte, llamada donatario, que tendrá la facultad de aceptar la misma o rechazarla, sin necesidad de entregar ningún tipo de contraprestación, salvo que se aclare que la donación se hace con cargo. En algunos ordenamientos jurídicos, la mencionada acción se encuentra regulada a través de un contrato.</w:t>
      </w:r>
      <w:r>
        <w:rPr>
          <w:rFonts w:ascii="Arial" w:cs="Arial" w:hAnsi="Arial"/>
          <w:color w:val="000000"/>
          <w:sz w:val="24"/>
          <w:szCs w:val="24"/>
        </w:rPr>
        <w:t xml:space="preserve">  </w:t>
      </w:r>
    </w:p>
    <w:p>
      <w:pPr>
        <w:pStyle w:val="style199"/>
        <w:autoSpaceDE w:val="false"/>
        <w:spacing w:after="0" w:before="0" w:line="360" w:lineRule="auto"/>
        <w:ind w:hanging="0" w:left="0" w:right="0"/>
        <w:jc w:val="both"/>
      </w:pPr>
      <w:r>
        <w:rPr>
          <w:rFonts w:ascii="Arial" w:cs="Arial" w:hAnsi="Arial"/>
          <w:color w:val="000000"/>
          <w:sz w:val="24"/>
          <w:szCs w:val="24"/>
        </w:rPr>
      </w:r>
    </w:p>
    <w:p>
      <w:pPr>
        <w:pStyle w:val="style0"/>
        <w:autoSpaceDE w:val="false"/>
        <w:spacing w:after="0" w:before="0" w:line="360" w:lineRule="auto"/>
        <w:jc w:val="both"/>
      </w:pPr>
      <w:r>
        <w:rPr>
          <w:rFonts w:ascii="Arial" w:cs="Arial" w:hAnsi="Arial"/>
          <w:b/>
          <w:color w:val="000000"/>
          <w:sz w:val="24"/>
          <w:szCs w:val="24"/>
        </w:rPr>
        <w:t>Empresa</w:t>
      </w:r>
      <w:r>
        <w:rPr>
          <w:rFonts w:ascii="Arial" w:cs="Arial" w:hAnsi="Arial"/>
          <w:color w:val="000000"/>
          <w:sz w:val="24"/>
          <w:szCs w:val="24"/>
        </w:rPr>
        <w:t>: es la unidad económico-social con fines de lucro, en la que el capital, el trabajo y la dirección se coordinan para llevar a cabo una producción socialmente útil, de acuerdo con las exigencias del bien común.</w:t>
      </w:r>
    </w:p>
    <w:p>
      <w:pPr>
        <w:pStyle w:val="style0"/>
        <w:spacing w:after="280" w:before="280" w:line="360" w:lineRule="auto"/>
        <w:jc w:val="both"/>
      </w:pPr>
      <w:r>
        <w:rPr>
          <w:rFonts w:ascii="Arial" w:cs="Arial" w:hAnsi="Arial"/>
          <w:b/>
          <w:sz w:val="24"/>
          <w:szCs w:val="24"/>
        </w:rPr>
        <w:t>Importe en libros</w:t>
      </w:r>
      <w:r>
        <w:rPr>
          <w:rFonts w:ascii="Arial" w:cs="Arial" w:hAnsi="Arial"/>
          <w:sz w:val="24"/>
          <w:szCs w:val="24"/>
        </w:rPr>
        <w:t>: es el importe por el que se reconoce un activo, una vez deducidas la depreciación acumulada y las pérdidas por deterioro del valor acumuladas. Clase de propiedades, planta y equipo</w:t>
      </w:r>
    </w:p>
    <w:p>
      <w:pPr>
        <w:pStyle w:val="style0"/>
        <w:autoSpaceDE w:val="false"/>
        <w:spacing w:after="0" w:before="0" w:line="360" w:lineRule="auto"/>
        <w:jc w:val="both"/>
      </w:pPr>
      <w:r>
        <w:rPr>
          <w:rFonts w:ascii="Arial" w:cs="Arial" w:hAnsi="Arial"/>
          <w:b/>
          <w:bCs/>
          <w:color w:val="000000"/>
          <w:sz w:val="24"/>
          <w:szCs w:val="24"/>
        </w:rPr>
        <w:t xml:space="preserve">Enajenación: </w:t>
      </w:r>
      <w:r>
        <w:rPr>
          <w:rFonts w:ascii="Arial" w:cs="Arial" w:hAnsi="Arial"/>
          <w:color w:val="000000"/>
          <w:sz w:val="24"/>
          <w:szCs w:val="24"/>
        </w:rPr>
        <w:t xml:space="preserve">Acto jurídico mediante el cual una persona o entidad le confiere el uso o derecho de un bien a otra. Es un acto común para pagar grandes deudas: se traspasan los bienes o se retienen las utilidades ocasionadas por su utilización.  </w:t>
      </w:r>
    </w:p>
    <w:p>
      <w:pPr>
        <w:pStyle w:val="style0"/>
        <w:autoSpaceDE w:val="false"/>
        <w:spacing w:after="0" w:before="0" w:line="240" w:lineRule="auto"/>
        <w:jc w:val="both"/>
      </w:pPr>
      <w:r>
        <w:rPr>
          <w:rFonts w:ascii="Arial" w:cs="Arial" w:hAnsi="Arial"/>
          <w:color w:val="000000"/>
          <w:sz w:val="24"/>
          <w:szCs w:val="24"/>
        </w:rPr>
      </w:r>
    </w:p>
    <w:p>
      <w:pPr>
        <w:pStyle w:val="style0"/>
        <w:autoSpaceDE w:val="false"/>
        <w:spacing w:after="0" w:before="0" w:line="360" w:lineRule="auto"/>
        <w:jc w:val="both"/>
      </w:pPr>
      <w:r>
        <w:rPr>
          <w:rFonts w:ascii="Arial" w:cs="Arial" w:hAnsi="Arial"/>
          <w:b/>
          <w:color w:val="000000"/>
          <w:sz w:val="24"/>
          <w:szCs w:val="24"/>
        </w:rPr>
        <w:t>Ergonómico</w:t>
      </w:r>
      <w:r>
        <w:rPr>
          <w:rFonts w:ascii="Arial" w:cs="Arial" w:hAnsi="Arial"/>
          <w:color w:val="000000"/>
          <w:sz w:val="24"/>
          <w:szCs w:val="24"/>
        </w:rPr>
        <w:t xml:space="preserve">: es un arte que busca que los humanos y la tecnología trabajen en completa armonía, diseñando y manteniendo los productos, contribuyen al diseño y evaluación de tareas, trabajos, productos, ambientes y sistemas en orden de hacerlos compatibles con las necesidades, habilidades y limitaciones de las personas </w:t>
      </w:r>
    </w:p>
    <w:p>
      <w:pPr>
        <w:pStyle w:val="style0"/>
        <w:autoSpaceDE w:val="false"/>
        <w:spacing w:after="0" w:before="0" w:line="240" w:lineRule="auto"/>
        <w:jc w:val="both"/>
      </w:pPr>
      <w:r>
        <w:rPr>
          <w:rFonts w:ascii="Arial" w:cs="Arial" w:hAnsi="Arial"/>
          <w:color w:val="000000"/>
          <w:sz w:val="24"/>
          <w:szCs w:val="24"/>
        </w:rPr>
      </w:r>
    </w:p>
    <w:p>
      <w:pPr>
        <w:pStyle w:val="style0"/>
        <w:autoSpaceDE w:val="false"/>
        <w:spacing w:after="0" w:before="0" w:line="360" w:lineRule="auto"/>
        <w:jc w:val="both"/>
      </w:pPr>
      <w:r>
        <w:rPr>
          <w:rFonts w:ascii="Arial" w:cs="Arial" w:hAnsi="Arial"/>
          <w:b/>
          <w:color w:val="000000"/>
          <w:sz w:val="24"/>
          <w:szCs w:val="24"/>
        </w:rPr>
        <w:t>Estrategia</w:t>
      </w:r>
      <w:r>
        <w:rPr>
          <w:rFonts w:ascii="Arial" w:cs="Arial" w:hAnsi="Arial"/>
          <w:color w:val="000000"/>
          <w:sz w:val="24"/>
          <w:szCs w:val="24"/>
        </w:rPr>
        <w:t xml:space="preserve">: un conjunto de acciones y políticas para lograr los objetivos amplios. </w:t>
      </w:r>
    </w:p>
    <w:p>
      <w:pPr>
        <w:pStyle w:val="style199"/>
        <w:autoSpaceDE w:val="false"/>
        <w:spacing w:after="0" w:before="0" w:line="240" w:lineRule="auto"/>
        <w:ind w:hanging="0" w:left="0" w:right="0"/>
        <w:jc w:val="both"/>
      </w:pPr>
      <w:r>
        <w:rPr>
          <w:rFonts w:ascii="Arial" w:cs="Arial" w:hAnsi="Arial"/>
          <w:color w:val="000000"/>
          <w:sz w:val="24"/>
          <w:szCs w:val="24"/>
        </w:rPr>
      </w:r>
    </w:p>
    <w:p>
      <w:pPr>
        <w:pStyle w:val="style0"/>
        <w:autoSpaceDE w:val="false"/>
        <w:spacing w:after="0" w:before="0" w:line="360" w:lineRule="auto"/>
        <w:jc w:val="both"/>
      </w:pPr>
      <w:r>
        <w:rPr>
          <w:rFonts w:ascii="Arial" w:cs="Arial" w:hAnsi="Arial"/>
          <w:b/>
          <w:color w:val="000000"/>
          <w:sz w:val="24"/>
          <w:szCs w:val="24"/>
        </w:rPr>
        <w:t>Gerente</w:t>
      </w:r>
      <w:r>
        <w:rPr>
          <w:rFonts w:ascii="Arial" w:cs="Arial" w:hAnsi="Arial"/>
          <w:color w:val="000000"/>
          <w:sz w:val="24"/>
          <w:szCs w:val="24"/>
        </w:rPr>
        <w:t xml:space="preserve">: es la persona encargada de cumplir distintas funciones de coordinar los recursos internos, representa a la compañía frente a terceros y controla las metas y objetivos. </w:t>
      </w:r>
    </w:p>
    <w:p>
      <w:pPr>
        <w:pStyle w:val="style0"/>
        <w:autoSpaceDE w:val="false"/>
        <w:spacing w:after="0" w:before="0" w:line="240" w:lineRule="auto"/>
        <w:jc w:val="both"/>
      </w:pPr>
      <w:r>
        <w:rPr>
          <w:rFonts w:ascii="Arial" w:cs="Arial" w:hAnsi="Arial"/>
          <w:color w:val="000000"/>
          <w:sz w:val="24"/>
          <w:szCs w:val="24"/>
        </w:rPr>
      </w:r>
    </w:p>
    <w:p>
      <w:pPr>
        <w:pStyle w:val="style0"/>
        <w:autoSpaceDE w:val="false"/>
        <w:spacing w:after="0" w:before="0" w:line="360" w:lineRule="auto"/>
        <w:jc w:val="both"/>
      </w:pPr>
      <w:r>
        <w:rPr>
          <w:rFonts w:ascii="Arial" w:cs="Arial" w:hAnsi="Arial"/>
          <w:b/>
          <w:color w:val="000000"/>
          <w:sz w:val="24"/>
          <w:szCs w:val="24"/>
        </w:rPr>
        <w:t>Gestión</w:t>
      </w:r>
      <w:r>
        <w:rPr>
          <w:rFonts w:ascii="Arial" w:cs="Arial" w:hAnsi="Arial"/>
          <w:color w:val="000000"/>
          <w:sz w:val="24"/>
          <w:szCs w:val="24"/>
        </w:rPr>
        <w:t>: dirigir las acciones que constituyan la puesta en marcha concreta de la política general de la empresa, es tomar decisiones orientadas a alcanzar los objetivos marcados.</w:t>
      </w:r>
    </w:p>
    <w:p>
      <w:pPr>
        <w:pStyle w:val="style0"/>
        <w:autoSpaceDE w:val="false"/>
        <w:spacing w:after="0" w:before="0" w:line="240" w:lineRule="auto"/>
        <w:jc w:val="both"/>
      </w:pPr>
      <w:r>
        <w:rPr>
          <w:rFonts w:ascii="Arial" w:cs="Arial" w:hAnsi="Arial"/>
          <w:color w:val="000000"/>
          <w:sz w:val="24"/>
          <w:szCs w:val="24"/>
        </w:rPr>
      </w:r>
    </w:p>
    <w:p>
      <w:pPr>
        <w:pStyle w:val="style0"/>
        <w:autoSpaceDE w:val="false"/>
        <w:spacing w:after="0" w:before="0" w:line="360" w:lineRule="auto"/>
        <w:jc w:val="both"/>
      </w:pPr>
      <w:r>
        <w:rPr>
          <w:rFonts w:ascii="Arial" w:cs="Arial" w:hAnsi="Arial"/>
          <w:b/>
          <w:color w:val="000000"/>
          <w:sz w:val="24"/>
          <w:szCs w:val="24"/>
        </w:rPr>
        <w:t>Gestión del Reciclaje</w:t>
      </w:r>
      <w:r>
        <w:rPr>
          <w:rFonts w:ascii="Arial" w:cs="Arial" w:hAnsi="Arial"/>
          <w:color w:val="000000"/>
          <w:sz w:val="24"/>
          <w:szCs w:val="24"/>
        </w:rPr>
        <w:t xml:space="preserve">: Es un proceso simple o complejo que sufre un material o producto para ser reincorporado a un ciclo de producción o de consumo, ya sea éste el mismo en que fue generado u otro diferente </w:t>
      </w:r>
    </w:p>
    <w:p>
      <w:pPr>
        <w:pStyle w:val="style0"/>
        <w:autoSpaceDE w:val="false"/>
        <w:spacing w:after="0" w:before="0" w:line="360" w:lineRule="auto"/>
        <w:jc w:val="both"/>
      </w:pPr>
      <w:r>
        <w:rPr>
          <w:rFonts w:ascii="Arial" w:cs="Arial" w:hAnsi="Arial"/>
          <w:b/>
          <w:color w:val="000000"/>
          <w:sz w:val="24"/>
          <w:szCs w:val="24"/>
        </w:rPr>
      </w:r>
    </w:p>
    <w:p>
      <w:pPr>
        <w:pStyle w:val="style0"/>
        <w:autoSpaceDE w:val="false"/>
        <w:spacing w:after="0" w:before="0" w:line="360" w:lineRule="auto"/>
        <w:jc w:val="both"/>
      </w:pPr>
      <w:r>
        <w:rPr>
          <w:rFonts w:ascii="Arial" w:cs="Arial" w:hAnsi="Arial"/>
          <w:b/>
          <w:color w:val="000000"/>
          <w:sz w:val="24"/>
          <w:szCs w:val="24"/>
        </w:rPr>
        <w:t>Medio Ambiente</w:t>
      </w:r>
      <w:r>
        <w:rPr>
          <w:rFonts w:ascii="Arial" w:cs="Arial" w:hAnsi="Arial"/>
          <w:color w:val="000000"/>
          <w:sz w:val="24"/>
          <w:szCs w:val="24"/>
        </w:rPr>
        <w:t>: sistema dado en donde interactuar necesariamente con los seres vivos.</w:t>
      </w:r>
    </w:p>
    <w:p>
      <w:pPr>
        <w:pStyle w:val="style0"/>
        <w:autoSpaceDE w:val="false"/>
        <w:spacing w:after="0" w:before="0" w:line="240" w:lineRule="auto"/>
        <w:jc w:val="both"/>
      </w:pPr>
      <w:r>
        <w:rPr>
          <w:rFonts w:ascii="Arial" w:cs="Arial" w:hAnsi="Arial"/>
          <w:color w:val="000000"/>
          <w:sz w:val="24"/>
          <w:szCs w:val="24"/>
        </w:rPr>
      </w:r>
    </w:p>
    <w:p>
      <w:pPr>
        <w:pStyle w:val="style0"/>
        <w:autoSpaceDE w:val="false"/>
        <w:spacing w:after="0" w:before="0" w:line="360" w:lineRule="auto"/>
        <w:jc w:val="both"/>
      </w:pPr>
      <w:r>
        <w:rPr>
          <w:rStyle w:val="style150"/>
          <w:rFonts w:ascii="Arial" w:cs="Arial" w:hAnsi="Arial"/>
          <w:color w:val="000000"/>
          <w:sz w:val="24"/>
          <w:szCs w:val="24"/>
        </w:rPr>
        <w:t>Obsolescencia</w:t>
      </w:r>
      <w:r>
        <w:rPr>
          <w:rStyle w:val="style150"/>
          <w:rFonts w:ascii="Arial" w:hAnsi="Arial"/>
          <w:color w:val="000000"/>
          <w:sz w:val="24"/>
          <w:szCs w:val="24"/>
        </w:rPr>
        <w:t xml:space="preserve">: </w:t>
      </w:r>
      <w:r>
        <w:rPr>
          <w:rStyle w:val="style150"/>
          <w:rFonts w:ascii="Arial" w:hAnsi="Arial"/>
          <w:b w:val="false"/>
          <w:color w:val="000000"/>
          <w:sz w:val="24"/>
          <w:szCs w:val="24"/>
        </w:rPr>
        <w:t xml:space="preserve"> </w:t>
      </w:r>
      <w:r>
        <w:rPr>
          <w:rFonts w:ascii="Arial" w:cs="Arial" w:hAnsi="Arial"/>
          <w:b/>
          <w:color w:val="000000"/>
          <w:sz w:val="24"/>
          <w:szCs w:val="24"/>
          <w:shd w:fill="FFFFFF" w:val="clear"/>
        </w:rPr>
        <w:t xml:space="preserve"> </w:t>
      </w:r>
      <w:r>
        <w:rPr>
          <w:rFonts w:ascii="Arial" w:cs="Arial" w:hAnsi="Arial"/>
          <w:color w:val="000000"/>
          <w:sz w:val="24"/>
          <w:szCs w:val="24"/>
          <w:shd w:fill="FFFFFF" w:val="clear"/>
        </w:rPr>
        <w:t>es la</w:t>
      </w:r>
      <w:r>
        <w:rPr>
          <w:rFonts w:ascii="Arial" w:cs="Arial" w:hAnsi="Arial"/>
          <w:b/>
          <w:color w:val="000000"/>
          <w:sz w:val="24"/>
          <w:szCs w:val="24"/>
          <w:shd w:fill="FFFFFF" w:val="clear"/>
        </w:rPr>
        <w:t xml:space="preserve"> </w:t>
      </w:r>
      <w:r>
        <w:rPr>
          <w:rStyle w:val="style150"/>
          <w:rFonts w:ascii="Arial" w:hAnsi="Arial"/>
          <w:b w:val="false"/>
          <w:color w:val="000000"/>
          <w:sz w:val="24"/>
          <w:szCs w:val="24"/>
        </w:rPr>
        <w:t>cualidad de obsoleto de un objeto</w:t>
      </w:r>
      <w:r>
        <w:rPr>
          <w:rFonts w:ascii="Arial" w:cs="Arial" w:hAnsi="Arial"/>
          <w:b/>
          <w:color w:val="000000"/>
          <w:sz w:val="24"/>
          <w:szCs w:val="24"/>
          <w:shd w:fill="FFFFFF" w:val="clear"/>
        </w:rPr>
        <w:t xml:space="preserve">, </w:t>
      </w:r>
      <w:r>
        <w:rPr>
          <w:rFonts w:ascii="Arial" w:cs="Arial" w:hAnsi="Arial"/>
          <w:color w:val="000000"/>
          <w:sz w:val="24"/>
          <w:szCs w:val="24"/>
          <w:shd w:fill="FFFFFF" w:val="clear"/>
        </w:rPr>
        <w:t>la cual surgirá a partir no de su mal</w:t>
      </w:r>
      <w:r>
        <w:rPr>
          <w:rStyle w:val="style147"/>
          <w:rFonts w:ascii="Arial" w:hAnsi="Arial"/>
          <w:color w:val="000000"/>
          <w:sz w:val="24"/>
          <w:szCs w:val="24"/>
          <w:shd w:fill="FFFFFF" w:val="clear"/>
        </w:rPr>
        <w:t xml:space="preserve"> </w:t>
      </w:r>
      <w:hyperlink r:id="rId21">
        <w:r>
          <w:rPr>
            <w:rStyle w:val="style148"/>
            <w:rStyle w:val="style148"/>
            <w:rFonts w:ascii="Arial" w:hAnsi="Arial"/>
            <w:sz w:val="24"/>
            <w:szCs w:val="24"/>
            <w:u w:val="none"/>
          </w:rPr>
          <w:t>funcionamiento</w:t>
        </w:r>
      </w:hyperlink>
      <w:r>
        <w:rPr>
          <w:rFonts w:ascii="Arial" w:cs="Arial" w:hAnsi="Arial"/>
          <w:color w:val="000000"/>
          <w:sz w:val="24"/>
          <w:szCs w:val="24"/>
        </w:rPr>
        <w:t xml:space="preserve"> </w:t>
      </w:r>
      <w:r>
        <w:rPr>
          <w:rFonts w:ascii="Arial" w:cs="Arial" w:hAnsi="Arial"/>
          <w:color w:val="000000"/>
          <w:sz w:val="24"/>
          <w:szCs w:val="24"/>
          <w:shd w:fill="FFFFFF" w:val="clear"/>
        </w:rPr>
        <w:t xml:space="preserve">sino porque su </w:t>
      </w:r>
      <w:r>
        <w:rPr>
          <w:rStyle w:val="style150"/>
          <w:rFonts w:ascii="Arial" w:hAnsi="Arial"/>
          <w:b w:val="false"/>
          <w:color w:val="000000"/>
          <w:sz w:val="24"/>
          <w:szCs w:val="24"/>
        </w:rPr>
        <w:t>utilidad se ha vuelto insuficiente o superada por otro objeto que de alguna manera lo reemplaza</w:t>
      </w:r>
    </w:p>
    <w:p>
      <w:pPr>
        <w:pStyle w:val="style0"/>
        <w:autoSpaceDE w:val="false"/>
        <w:spacing w:after="0" w:before="0" w:line="240" w:lineRule="auto"/>
        <w:jc w:val="both"/>
      </w:pPr>
      <w:r>
        <w:rPr>
          <w:rFonts w:ascii="Arial" w:cs="Arial" w:hAnsi="Arial"/>
          <w:color w:val="252525"/>
          <w:sz w:val="24"/>
          <w:szCs w:val="24"/>
        </w:rPr>
      </w:r>
    </w:p>
    <w:p>
      <w:pPr>
        <w:pStyle w:val="style0"/>
        <w:autoSpaceDE w:val="false"/>
        <w:spacing w:after="0" w:before="0" w:line="360" w:lineRule="auto"/>
        <w:jc w:val="both"/>
      </w:pPr>
      <w:r>
        <w:rPr>
          <w:rFonts w:ascii="Arial" w:cs="Arial" w:hAnsi="Arial"/>
          <w:b/>
          <w:bCs/>
          <w:color w:val="252525"/>
          <w:sz w:val="24"/>
          <w:szCs w:val="24"/>
        </w:rPr>
        <w:t>Permuta:</w:t>
      </w:r>
      <w:r>
        <w:rPr>
          <w:rStyle w:val="style147"/>
          <w:rFonts w:ascii="Arial" w:hAnsi="Arial"/>
          <w:color w:val="252525"/>
          <w:sz w:val="24"/>
          <w:szCs w:val="24"/>
        </w:rPr>
        <w:t xml:space="preserve"> </w:t>
      </w:r>
      <w:r>
        <w:rPr>
          <w:rFonts w:ascii="Arial" w:cs="Arial" w:hAnsi="Arial"/>
          <w:color w:val="252525"/>
          <w:sz w:val="24"/>
          <w:szCs w:val="24"/>
        </w:rPr>
        <w:t xml:space="preserve">es un </w:t>
      </w:r>
      <w:hyperlink r:id="rId22">
        <w:r>
          <w:rPr>
            <w:rStyle w:val="style148"/>
            <w:rStyle w:val="style148"/>
            <w:rFonts w:ascii="Arial" w:hAnsi="Arial"/>
            <w:color w:val="000000"/>
            <w:sz w:val="24"/>
            <w:szCs w:val="24"/>
            <w:u w:val="none"/>
          </w:rPr>
          <w:t>contrato</w:t>
        </w:r>
      </w:hyperlink>
      <w:r>
        <w:rPr>
          <w:rStyle w:val="style147"/>
          <w:rFonts w:ascii="Arial" w:hAnsi="Arial"/>
          <w:color w:val="252525"/>
          <w:sz w:val="24"/>
          <w:szCs w:val="24"/>
        </w:rPr>
        <w:t xml:space="preserve"> </w:t>
      </w:r>
      <w:r>
        <w:rPr>
          <w:rFonts w:ascii="Arial" w:cs="Arial" w:hAnsi="Arial"/>
          <w:color w:val="252525"/>
          <w:sz w:val="24"/>
          <w:szCs w:val="24"/>
        </w:rPr>
        <w:t>por el cual cada una de las partes se obliga a dar el derecho de propiedad (dominio) de una cosa para recibir el derecho de dominio sobre otra</w:t>
      </w:r>
    </w:p>
    <w:p>
      <w:pPr>
        <w:pStyle w:val="style199"/>
        <w:autoSpaceDE w:val="false"/>
        <w:spacing w:after="0" w:before="0" w:line="240" w:lineRule="auto"/>
        <w:ind w:hanging="0" w:left="0" w:right="0"/>
        <w:jc w:val="both"/>
      </w:pPr>
      <w:r>
        <w:rPr>
          <w:rFonts w:ascii="Arial" w:cs="Arial" w:hAnsi="Arial"/>
          <w:color w:val="000000"/>
          <w:sz w:val="24"/>
          <w:szCs w:val="24"/>
        </w:rPr>
      </w:r>
    </w:p>
    <w:p>
      <w:pPr>
        <w:pStyle w:val="style0"/>
        <w:spacing w:after="0" w:before="0" w:line="360" w:lineRule="auto"/>
        <w:jc w:val="both"/>
      </w:pPr>
      <w:r>
        <w:rPr>
          <w:rFonts w:ascii="Arial" w:cs="Arial" w:eastAsia="Times New Roman" w:hAnsi="Arial"/>
          <w:b/>
          <w:sz w:val="24"/>
          <w:szCs w:val="24"/>
          <w:lang w:eastAsia="es-VE" w:val="es-VE"/>
        </w:rPr>
        <w:t>Planes Estratégicos</w:t>
      </w:r>
      <w:r>
        <w:rPr>
          <w:rFonts w:ascii="Times New Roman" w:cs="Times New Roman" w:eastAsia="Times New Roman" w:hAnsi="Times New Roman"/>
          <w:sz w:val="24"/>
          <w:szCs w:val="24"/>
          <w:lang w:eastAsia="es-VE" w:val="es-VE"/>
        </w:rPr>
        <w:t xml:space="preserve">: </w:t>
      </w:r>
      <w:r>
        <w:rPr>
          <w:rFonts w:ascii="Arial" w:cs="Arial" w:eastAsia="Times New Roman" w:hAnsi="Arial"/>
          <w:sz w:val="24"/>
          <w:szCs w:val="24"/>
          <w:lang w:eastAsia="es-VE" w:val="es-VE"/>
        </w:rPr>
        <w:t xml:space="preserve">son planes a medio o largo plazo, y de ámbito global, en los que se integran de forma coherente los objetivos, la línea de actuación y las normas básicas de la organización. </w:t>
      </w:r>
    </w:p>
    <w:p>
      <w:pPr>
        <w:pStyle w:val="style0"/>
        <w:autoSpaceDE w:val="false"/>
        <w:spacing w:after="0" w:before="0" w:line="240" w:lineRule="auto"/>
        <w:jc w:val="both"/>
      </w:pPr>
      <w:r>
        <w:rPr>
          <w:rFonts w:ascii="Arial" w:cs="Arial" w:hAnsi="Arial"/>
          <w:color w:val="000000"/>
          <w:sz w:val="24"/>
          <w:szCs w:val="24"/>
        </w:rPr>
      </w:r>
    </w:p>
    <w:p>
      <w:pPr>
        <w:pStyle w:val="style0"/>
        <w:autoSpaceDE w:val="false"/>
        <w:spacing w:after="0" w:before="0" w:line="360" w:lineRule="auto"/>
        <w:jc w:val="both"/>
      </w:pPr>
      <w:r>
        <w:rPr>
          <w:rFonts w:ascii="Arial" w:cs="Arial" w:hAnsi="Arial"/>
          <w:b/>
          <w:color w:val="000000"/>
          <w:sz w:val="24"/>
          <w:szCs w:val="24"/>
        </w:rPr>
        <w:t>Política Empresarial</w:t>
      </w:r>
      <w:r>
        <w:rPr>
          <w:rFonts w:ascii="Arial" w:cs="Arial" w:hAnsi="Arial"/>
          <w:color w:val="000000"/>
          <w:sz w:val="24"/>
          <w:szCs w:val="24"/>
        </w:rPr>
        <w:t xml:space="preserve">: la actividad humana que tiende a gobernar o dirigir la acción del de la empresa, orientado hacia la toma de decisiones para la consecución de los objetivos de un grupo. </w:t>
      </w:r>
    </w:p>
    <w:p>
      <w:pPr>
        <w:pStyle w:val="style0"/>
        <w:spacing w:after="280" w:before="280" w:line="360" w:lineRule="auto"/>
        <w:jc w:val="both"/>
      </w:pPr>
      <w:r>
        <w:rPr>
          <w:rFonts w:ascii="Arial" w:cs="Arial" w:hAnsi="Arial"/>
          <w:b/>
          <w:sz w:val="24"/>
          <w:szCs w:val="24"/>
        </w:rPr>
        <w:t xml:space="preserve">Propiedades, planta y equipo (Property, plant, and equipment): </w:t>
      </w:r>
      <w:r>
        <w:rPr>
          <w:rFonts w:ascii="Arial" w:cs="Arial" w:hAnsi="Arial"/>
          <w:sz w:val="24"/>
          <w:szCs w:val="24"/>
        </w:rPr>
        <w:t xml:space="preserve"> son activos tangibles que: (a) Posee una entidad para su uso en la producción o suministro de bienes y servicios, para arrendarlos a terceros o para propósitos administrativos; y (b) se espera que serán utilizados durante más de un periodo contable. Importe recuperable </w:t>
      </w:r>
    </w:p>
    <w:p>
      <w:pPr>
        <w:pStyle w:val="style0"/>
        <w:autoSpaceDE w:val="false"/>
        <w:spacing w:after="0" w:before="0" w:line="360" w:lineRule="auto"/>
        <w:jc w:val="both"/>
      </w:pPr>
      <w:r>
        <w:rPr>
          <w:rFonts w:ascii="Arial" w:cs="Arial" w:hAnsi="Arial"/>
          <w:b/>
          <w:color w:val="000000"/>
          <w:sz w:val="24"/>
          <w:szCs w:val="24"/>
        </w:rPr>
        <w:t>Reutilización</w:t>
      </w:r>
      <w:r>
        <w:rPr>
          <w:rFonts w:ascii="Arial" w:cs="Arial" w:hAnsi="Arial"/>
          <w:color w:val="000000"/>
          <w:sz w:val="24"/>
          <w:szCs w:val="24"/>
        </w:rPr>
        <w:t>: es utilizar repetidamente o de diversas formas distintos productos consumibles. En otras palabras el no descartar aquellos materiales o artículos que pueden ser utilizados nuevamente ya que cuantos más objetos sean reutilizados, menos basura será producida y se gastarán menos recursos agotables.</w:t>
      </w:r>
    </w:p>
    <w:p>
      <w:pPr>
        <w:pStyle w:val="style0"/>
        <w:autoSpaceDE w:val="false"/>
        <w:spacing w:after="0" w:before="0" w:line="240" w:lineRule="auto"/>
        <w:jc w:val="both"/>
      </w:pPr>
      <w:r>
        <w:rPr>
          <w:rFonts w:ascii="Arial" w:cs="Arial" w:hAnsi="Arial"/>
          <w:color w:val="000000"/>
          <w:sz w:val="24"/>
          <w:szCs w:val="24"/>
        </w:rPr>
      </w:r>
    </w:p>
    <w:p>
      <w:pPr>
        <w:pStyle w:val="style0"/>
        <w:autoSpaceDE w:val="false"/>
        <w:spacing w:after="0" w:before="0" w:line="360" w:lineRule="auto"/>
        <w:jc w:val="both"/>
      </w:pPr>
      <w:r>
        <w:rPr>
          <w:rFonts w:ascii="Arial" w:cs="Arial" w:hAnsi="Arial"/>
          <w:b/>
          <w:color w:val="000000"/>
          <w:sz w:val="24"/>
          <w:szCs w:val="24"/>
        </w:rPr>
        <w:t>Responsabilidad Social</w:t>
      </w:r>
      <w:r>
        <w:rPr>
          <w:rFonts w:ascii="Arial" w:cs="Arial" w:hAnsi="Arial"/>
          <w:color w:val="000000"/>
          <w:sz w:val="24"/>
          <w:szCs w:val="24"/>
        </w:rPr>
        <w:t xml:space="preserve">: compromiso contraído por las acciones u omisiones de cualquier individuo o grupo que generen un impacto en la sociedad; pudiendo recaer éstas en una persona, organización, gobierno o empresa. Dichas acciones suelen traer consigo una valoración positiva o negativa por parte de la comunidad. </w:t>
      </w:r>
    </w:p>
    <w:p>
      <w:pPr>
        <w:pStyle w:val="style0"/>
        <w:spacing w:after="280" w:before="280" w:line="360" w:lineRule="auto"/>
        <w:jc w:val="both"/>
      </w:pPr>
      <w:r>
        <w:rPr>
          <w:rFonts w:ascii="Arial" w:cs="Arial" w:hAnsi="Arial"/>
          <w:b/>
          <w:sz w:val="24"/>
          <w:szCs w:val="24"/>
        </w:rPr>
        <w:t>Valor residual (Residual value) de un activo:</w:t>
      </w:r>
      <w:r>
        <w:rPr>
          <w:rFonts w:ascii="Arial" w:cs="Arial" w:hAnsi="Arial"/>
          <w:sz w:val="24"/>
          <w:szCs w:val="24"/>
        </w:rPr>
        <w:t xml:space="preserve"> es el importe estimado que una entidad podría obtener en el momento presente de la disposición del activo, después de deducir los costos estimados por dicha disposición, si el activo hubiera alcanzado ya la antigüedad y las demás condiciones esperadas al término de su vida útil. </w:t>
      </w:r>
    </w:p>
    <w:p>
      <w:pPr>
        <w:sectPr>
          <w:footerReference r:id="rId23" w:type="default"/>
          <w:type w:val="nextPage"/>
          <w:pgSz w:h="15840" w:w="12240"/>
          <w:pgMar w:bottom="2268" w:footer="709" w:gutter="0" w:header="0" w:left="2268" w:right="1752" w:top="2268"/>
          <w:pgNumType w:fmt="decimal"/>
          <w:formProt w:val="false"/>
          <w:textDirection w:val="lrTb"/>
          <w:docGrid w:charSpace="0" w:linePitch="360" w:type="default"/>
        </w:sectPr>
        <w:pStyle w:val="style0"/>
        <w:spacing w:after="280" w:before="280" w:line="360" w:lineRule="auto"/>
        <w:jc w:val="both"/>
      </w:pPr>
      <w:r>
        <w:rPr>
          <w:rFonts w:ascii="Arial" w:cs="Arial" w:hAnsi="Arial"/>
          <w:b/>
          <w:sz w:val="24"/>
          <w:szCs w:val="24"/>
        </w:rPr>
        <w:t>Vida útil (Useful life):</w:t>
      </w:r>
      <w:r>
        <w:rPr>
          <w:rFonts w:ascii="Arial" w:cs="Arial" w:hAnsi="Arial"/>
          <w:sz w:val="24"/>
          <w:szCs w:val="24"/>
        </w:rPr>
        <w:t xml:space="preserve"> es el periodo durante el cual se espera que un activo esté disponible para su uso por una entidad.</w:t>
      </w:r>
    </w:p>
    <w:p>
      <w:pPr>
        <w:pStyle w:val="style197"/>
        <w:spacing w:after="0" w:before="0" w:line="360" w:lineRule="auto"/>
        <w:jc w:val="center"/>
      </w:pPr>
      <w:r>
        <w:rPr>
          <w:rFonts w:ascii="Arial" w:cs="Arial" w:hAnsi="Arial"/>
        </w:rPr>
      </w:r>
    </w:p>
    <w:p>
      <w:pPr>
        <w:pStyle w:val="style197"/>
        <w:spacing w:after="0" w:before="0" w:line="360" w:lineRule="auto"/>
        <w:jc w:val="center"/>
      </w:pPr>
      <w:r>
        <w:rPr>
          <w:rFonts w:ascii="Arial" w:cs="Arial" w:hAnsi="Arial"/>
          <w:b/>
          <w:bCs/>
        </w:rPr>
        <w:t>CAPITULO III</w:t>
      </w:r>
    </w:p>
    <w:p>
      <w:pPr>
        <w:pStyle w:val="style197"/>
        <w:spacing w:after="0" w:before="0"/>
        <w:jc w:val="center"/>
      </w:pPr>
      <w:r>
        <w:rPr>
          <w:rFonts w:ascii="Arial" w:cs="Arial" w:hAnsi="Arial"/>
          <w:b/>
          <w:bCs/>
        </w:rPr>
      </w:r>
    </w:p>
    <w:p>
      <w:pPr>
        <w:pStyle w:val="style197"/>
        <w:spacing w:after="0" w:before="0"/>
        <w:jc w:val="center"/>
      </w:pPr>
      <w:r>
        <w:rPr>
          <w:rFonts w:ascii="Arial" w:cs="Arial" w:hAnsi="Arial"/>
          <w:b/>
          <w:bCs/>
        </w:rPr>
      </w:r>
    </w:p>
    <w:p>
      <w:pPr>
        <w:pStyle w:val="style197"/>
        <w:spacing w:after="0" w:before="0" w:line="360" w:lineRule="auto"/>
        <w:jc w:val="center"/>
      </w:pPr>
      <w:r>
        <w:rPr>
          <w:rFonts w:ascii="Arial" w:cs="Arial" w:hAnsi="Arial"/>
          <w:b/>
          <w:bCs/>
        </w:rPr>
        <w:t>MARCO METODOLOGICO</w:t>
      </w:r>
    </w:p>
    <w:p>
      <w:pPr>
        <w:pStyle w:val="style197"/>
        <w:spacing w:after="0" w:before="0" w:line="360" w:lineRule="auto"/>
        <w:jc w:val="center"/>
      </w:pPr>
      <w:r>
        <w:rPr>
          <w:rFonts w:ascii="Arial" w:cs="Arial" w:hAnsi="Arial"/>
          <w:b/>
          <w:bCs/>
        </w:rPr>
      </w:r>
    </w:p>
    <w:p>
      <w:pPr>
        <w:pStyle w:val="style197"/>
        <w:spacing w:after="0" w:before="0" w:line="360" w:lineRule="auto"/>
        <w:jc w:val="center"/>
      </w:pPr>
      <w:r>
        <w:rPr>
          <w:rFonts w:ascii="Arial" w:cs="Arial" w:hAnsi="Arial"/>
          <w:b/>
          <w:bCs/>
        </w:rPr>
      </w:r>
    </w:p>
    <w:p>
      <w:pPr>
        <w:pStyle w:val="style197"/>
        <w:spacing w:after="0" w:before="0" w:line="360" w:lineRule="auto"/>
        <w:jc w:val="both"/>
      </w:pPr>
      <w:r>
        <w:rPr>
          <w:rFonts w:ascii="Arial" w:cs="Arial" w:hAnsi="Arial"/>
          <w:bCs/>
        </w:rPr>
        <w:tab/>
        <w:t xml:space="preserve">En este capítulo se exaltan todos los aspectos relativos a la  metodología utilizada en el presente proyecto  incluye el tipo investigación, las técnicas, población, muestra, construcción y validación del instrumento finalizando con el procesamiento de los datos y todos los procedimientos que serán utilizados para realizar  la investigación. </w:t>
      </w:r>
    </w:p>
    <w:p>
      <w:pPr>
        <w:pStyle w:val="style197"/>
        <w:spacing w:after="0" w:before="0" w:line="360" w:lineRule="auto"/>
        <w:jc w:val="both"/>
      </w:pPr>
      <w:r>
        <w:rPr>
          <w:rFonts w:ascii="Arial" w:cs="Arial" w:hAnsi="Arial"/>
          <w:bCs/>
        </w:rPr>
        <w:tab/>
      </w:r>
    </w:p>
    <w:p>
      <w:pPr>
        <w:pStyle w:val="style197"/>
        <w:spacing w:after="0" w:before="0" w:line="360" w:lineRule="auto"/>
        <w:jc w:val="both"/>
      </w:pPr>
      <w:r>
        <w:rPr>
          <w:rFonts w:ascii="Arial" w:cs="Arial" w:hAnsi="Arial"/>
          <w:bCs/>
        </w:rPr>
        <w:tab/>
        <w:t>Es oportuno destacar que se han revisado varios autores que desarrollan los aspectos inherentes al marco metodológico, necesarios para realizar una investigación</w:t>
      </w:r>
    </w:p>
    <w:p>
      <w:pPr>
        <w:pStyle w:val="style197"/>
        <w:spacing w:after="0" w:before="0" w:line="360" w:lineRule="auto"/>
        <w:jc w:val="both"/>
      </w:pPr>
      <w:r>
        <w:rPr>
          <w:rFonts w:ascii="Arial" w:cs="Arial" w:hAnsi="Arial"/>
          <w:bCs/>
        </w:rPr>
      </w:r>
    </w:p>
    <w:p>
      <w:pPr>
        <w:pStyle w:val="style197"/>
        <w:spacing w:after="0" w:before="0" w:line="360" w:lineRule="auto"/>
      </w:pPr>
      <w:r>
        <w:rPr>
          <w:rFonts w:ascii="Arial" w:cs="Arial" w:hAnsi="Arial"/>
          <w:b/>
          <w:bCs/>
        </w:rPr>
        <w:t>Tipo de Investigación</w:t>
      </w:r>
    </w:p>
    <w:p>
      <w:pPr>
        <w:pStyle w:val="style0"/>
        <w:spacing w:line="360" w:lineRule="auto"/>
        <w:jc w:val="both"/>
      </w:pPr>
      <w:r>
        <w:rPr>
          <w:rFonts w:ascii="Arial" w:cs="Arial" w:eastAsia="Arial Unicode MS" w:hAnsi="Arial"/>
          <w:b/>
          <w:bCs/>
          <w:sz w:val="24"/>
          <w:szCs w:val="24"/>
        </w:rPr>
      </w:r>
    </w:p>
    <w:p>
      <w:pPr>
        <w:pStyle w:val="style0"/>
        <w:spacing w:line="360" w:lineRule="auto"/>
        <w:jc w:val="both"/>
      </w:pPr>
      <w:r>
        <w:rPr>
          <w:rFonts w:ascii="Arial" w:cs="Arial" w:hAnsi="Arial"/>
          <w:bCs/>
          <w:sz w:val="24"/>
          <w:szCs w:val="24"/>
        </w:rPr>
        <w:tab/>
        <w:t xml:space="preserve">La presente investigación trata sobre las Formulación de  </w:t>
      </w:r>
      <w:r>
        <w:rPr>
          <w:rFonts w:ascii="Arial" w:cs="Arial" w:hAnsi="Arial"/>
          <w:sz w:val="24"/>
          <w:szCs w:val="24"/>
        </w:rPr>
        <w:t>Estrategias Financieras - Operacionales para la Reutilización de Bienes Nacionales del Instituto Universitario de Tecnología de Yaracuy como Insumo para la Producción Automotriz y la Construcción Civil en Venezuela</w:t>
      </w:r>
      <w:r>
        <w:rPr>
          <w:rFonts w:ascii="Arial" w:cs="Arial" w:hAnsi="Arial"/>
          <w:bCs/>
          <w:sz w:val="24"/>
          <w:szCs w:val="24"/>
        </w:rPr>
        <w:t>.  Es importante señalar que el estudio a realizar se ubica en una investigación de campo con apoyo documental y de carácter  tipo exploratorio. De tal manera que se pueda recabar al máximo toda la información necesaria para el análisis del problema.</w:t>
      </w:r>
    </w:p>
    <w:p>
      <w:pPr>
        <w:pStyle w:val="style0"/>
        <w:spacing w:line="360" w:lineRule="auto"/>
        <w:ind w:firstLine="600" w:left="0" w:right="0"/>
        <w:jc w:val="both"/>
      </w:pPr>
      <w:r>
        <w:rPr>
          <w:rFonts w:ascii="Arial" w:cs="Arial" w:hAnsi="Arial"/>
          <w:bCs/>
          <w:sz w:val="24"/>
          <w:szCs w:val="24"/>
        </w:rPr>
      </w:r>
    </w:p>
    <w:p>
      <w:pPr>
        <w:pStyle w:val="style0"/>
        <w:spacing w:line="360" w:lineRule="auto"/>
        <w:jc w:val="both"/>
      </w:pPr>
      <w:r>
        <w:rPr>
          <w:rFonts w:ascii="Arial" w:cs="Arial" w:hAnsi="Arial"/>
          <w:bCs/>
          <w:sz w:val="24"/>
          <w:szCs w:val="24"/>
        </w:rPr>
        <w:tab/>
        <w:t>Según el Manual de la UPEL (2006). Define por Investigación de Campo:</w:t>
      </w:r>
    </w:p>
    <w:p>
      <w:pPr>
        <w:pStyle w:val="style0"/>
        <w:spacing w:line="240" w:lineRule="auto"/>
        <w:ind w:hanging="0" w:left="1134" w:right="902"/>
        <w:jc w:val="both"/>
      </w:pPr>
      <w:r>
        <w:rPr>
          <w:rFonts w:ascii="Arial" w:cs="Arial" w:hAnsi="Arial"/>
          <w:bCs/>
          <w:sz w:val="24"/>
          <w:szCs w:val="24"/>
        </w:rPr>
        <w:t xml:space="preserve">El análisis sistemático de problemas en la realidad, con el propósito bien sea de describirlos, interpretarlos, entender su naturaleza y factores constituyentes, explicar sus causas y efectos, o predecir su ocurrencia, haciendo uso de métodos característicos de cualquiera de los paradigmas o enfoques de investigación conocidos o en desarrollo. Los datos de interés son recogidos en forma directa de la realidad; en este sentido se trata de investigaciones a partir de datos originales o primarios. </w:t>
      </w:r>
    </w:p>
    <w:p>
      <w:pPr>
        <w:pStyle w:val="style0"/>
        <w:spacing w:line="240" w:lineRule="auto"/>
        <w:ind w:hanging="0" w:left="1134" w:right="902"/>
        <w:jc w:val="both"/>
      </w:pPr>
      <w:r>
        <w:rPr>
          <w:rFonts w:ascii="Arial" w:cs="Arial" w:hAnsi="Arial"/>
          <w:bCs/>
          <w:sz w:val="24"/>
          <w:szCs w:val="24"/>
        </w:rPr>
      </w:r>
    </w:p>
    <w:p>
      <w:pPr>
        <w:pStyle w:val="style0"/>
        <w:spacing w:line="360" w:lineRule="auto"/>
        <w:jc w:val="both"/>
      </w:pPr>
      <w:r>
        <w:rPr>
          <w:rFonts w:ascii="Arial" w:cs="Arial" w:hAnsi="Arial"/>
          <w:bCs/>
          <w:sz w:val="24"/>
          <w:szCs w:val="24"/>
        </w:rPr>
        <w:tab/>
        <w:t xml:space="preserve">Así  que la investigación de campo facilita obtener los datos en las condiciones reales lo más ajustados posible sin manipular o controlar las variables  que presenta los </w:t>
      </w:r>
      <w:r>
        <w:rPr>
          <w:rFonts w:ascii="Arial" w:cs="Arial" w:hAnsi="Arial"/>
          <w:color w:val="000000"/>
          <w:sz w:val="24"/>
          <w:szCs w:val="24"/>
        </w:rPr>
        <w:t xml:space="preserve"> bienes en estado de obsolescencia y deterioro del </w:t>
      </w:r>
      <w:r>
        <w:rPr>
          <w:rFonts w:ascii="Arial" w:cs="Arial" w:hAnsi="Arial"/>
          <w:bCs/>
          <w:sz w:val="24"/>
          <w:szCs w:val="24"/>
        </w:rPr>
        <w:t xml:space="preserve"> Instituto Universitario de Tecnología de Yaracuy</w:t>
      </w:r>
    </w:p>
    <w:p>
      <w:pPr>
        <w:pStyle w:val="style197"/>
        <w:spacing w:after="0" w:before="0"/>
        <w:ind w:firstLine="601" w:left="0" w:right="471"/>
        <w:jc w:val="both"/>
      </w:pPr>
      <w:r>
        <w:rPr>
          <w:rFonts w:ascii="Arial" w:cs="Arial" w:hAnsi="Arial"/>
          <w:bCs/>
        </w:rPr>
      </w:r>
    </w:p>
    <w:p>
      <w:pPr>
        <w:pStyle w:val="style0"/>
        <w:spacing w:line="360" w:lineRule="auto"/>
        <w:jc w:val="both"/>
      </w:pPr>
      <w:r>
        <w:rPr>
          <w:rFonts w:ascii="Arial" w:cs="Arial" w:eastAsia="Arial" w:hAnsi="Arial"/>
          <w:sz w:val="24"/>
          <w:szCs w:val="24"/>
        </w:rPr>
        <w:t xml:space="preserve"> </w:t>
      </w:r>
      <w:r>
        <w:rPr>
          <w:rFonts w:ascii="Arial" w:cs="Arial" w:hAnsi="Arial"/>
          <w:sz w:val="24"/>
          <w:szCs w:val="24"/>
        </w:rPr>
        <w:tab/>
        <w:t>Es un estudio documental dado a que este tipo de investigación  se estudiará los  problemas con el propósito de ampliar y profundizar el conocimiento de su naturaleza, con apoyo, principalmente, en trabajos previos, información y datos divulgados por medios impresos, audiovisuales o electrónicos.</w:t>
      </w:r>
    </w:p>
    <w:p>
      <w:pPr>
        <w:pStyle w:val="style0"/>
        <w:spacing w:line="360" w:lineRule="auto"/>
        <w:jc w:val="both"/>
      </w:pPr>
      <w:r>
        <w:rPr>
          <w:rFonts w:ascii="Arial" w:cs="Arial" w:hAnsi="Arial"/>
          <w:sz w:val="24"/>
          <w:szCs w:val="24"/>
        </w:rPr>
        <w:tab/>
        <w:t>Igualmente se determina como  Proyecto Factible, el cual consiste en la investigación, elaboración y desarrollo de una propuesta de un modelo operativo viable para solucionar problemas, requerimientos o necesidades de organizaciones o grupos sociales; puede referirse a la formulación de políticas, programas, tecnologías, métodos o procesos. Además por cumplir con la siguiente característica  el Proyecto debe tener apoyo en una investigación de tipo documental, de campo o un diseño que incluya ambas modalidades</w:t>
      </w:r>
    </w:p>
    <w:p>
      <w:pPr>
        <w:pStyle w:val="style0"/>
        <w:spacing w:line="360" w:lineRule="auto"/>
        <w:jc w:val="both"/>
      </w:pPr>
      <w:r>
        <w:rPr>
          <w:rFonts w:ascii="Arial" w:cs="Arial" w:hAnsi="Arial"/>
          <w:sz w:val="24"/>
          <w:szCs w:val="24"/>
        </w:rPr>
        <w:tab/>
        <w:t>Este proyecto consiste en buscar una solución en el  instituto Universitario de Tecnología de Yaracuy  con respecto a la acumulación de chatarras y a su desincorporación con el objeto de que lo mismos   puedan ser reutilizados como materia primara y ser transformado  en material para la construcción o autoparte de vehículos</w:t>
      </w:r>
    </w:p>
    <w:p>
      <w:pPr>
        <w:pStyle w:val="style197"/>
        <w:spacing w:after="0" w:before="0" w:line="360" w:lineRule="auto"/>
      </w:pPr>
      <w:r>
        <w:rPr>
          <w:rFonts w:ascii="Arial" w:cs="Arial" w:hAnsi="Arial"/>
          <w:b/>
        </w:rPr>
      </w:r>
    </w:p>
    <w:p>
      <w:pPr>
        <w:pStyle w:val="style197"/>
        <w:spacing w:after="0" w:before="0" w:line="360" w:lineRule="auto"/>
      </w:pPr>
      <w:r>
        <w:rPr>
          <w:rFonts w:ascii="Arial" w:cs="Arial" w:hAnsi="Arial"/>
          <w:b/>
        </w:rPr>
        <w:t>Nivel  de la Investigación</w:t>
      </w:r>
    </w:p>
    <w:p>
      <w:pPr>
        <w:pStyle w:val="style197"/>
        <w:spacing w:after="0" w:before="0"/>
        <w:jc w:val="center"/>
      </w:pPr>
      <w:r>
        <w:rPr>
          <w:rFonts w:ascii="Arial" w:cs="Arial" w:hAnsi="Arial"/>
          <w:b/>
        </w:rPr>
      </w:r>
    </w:p>
    <w:p>
      <w:pPr>
        <w:pStyle w:val="style197"/>
        <w:spacing w:after="0" w:before="0" w:line="360" w:lineRule="auto"/>
        <w:jc w:val="both"/>
      </w:pPr>
      <w:r>
        <w:rPr>
          <w:rFonts w:ascii="Arial" w:cs="Arial" w:hAnsi="Arial"/>
          <w:b/>
        </w:rPr>
        <w:tab/>
      </w:r>
      <w:r>
        <w:rPr>
          <w:rFonts w:ascii="Arial" w:cs="Arial" w:hAnsi="Arial"/>
        </w:rPr>
        <w:t>Este estudio se determinara  por la triangulación de la investigación exploratoria, descriptiva y explicativa. Ya que se busca establecer las estrategias financieras - operacionales para la reutilización de bienes nacionales del Instituto Universitario de Tecnología del Yaracuy como Insumo para la Producción Automotriz y la Construcción Civil en Venezuela.  A continuación se expondrá cada una de ellas</w:t>
      </w:r>
    </w:p>
    <w:p>
      <w:pPr>
        <w:pStyle w:val="style197"/>
        <w:spacing w:after="0" w:before="0" w:line="360" w:lineRule="auto"/>
        <w:jc w:val="both"/>
      </w:pPr>
      <w:r>
        <w:rPr>
          <w:rFonts w:ascii="Arial" w:cs="Arial" w:hAnsi="Arial"/>
        </w:rPr>
      </w:r>
    </w:p>
    <w:p>
      <w:pPr>
        <w:pStyle w:val="style197"/>
        <w:spacing w:after="0" w:before="0" w:line="360" w:lineRule="auto"/>
        <w:jc w:val="both"/>
      </w:pPr>
      <w:r>
        <w:rPr>
          <w:rFonts w:ascii="Arial" w:cs="Arial" w:hAnsi="Arial"/>
          <w:bCs/>
        </w:rPr>
        <w:tab/>
        <w:t>Tal como lo señala Arias (1999:19), la  investigación exploratorio la define “es aquella que se efectúa sobre un tema u objeto poco conocido o estudiado por lo que su resultados constituye una visión aproximada de dicho objeto”.</w:t>
      </w:r>
    </w:p>
    <w:p>
      <w:pPr>
        <w:pStyle w:val="style197"/>
        <w:spacing w:after="0" w:before="0" w:line="360" w:lineRule="auto"/>
        <w:ind w:firstLine="600" w:left="0" w:right="0"/>
        <w:jc w:val="both"/>
      </w:pPr>
      <w:r>
        <w:rPr>
          <w:rFonts w:ascii="Arial" w:cs="Arial" w:hAnsi="Arial"/>
          <w:bCs/>
        </w:rPr>
      </w:r>
    </w:p>
    <w:p>
      <w:pPr>
        <w:pStyle w:val="style197"/>
        <w:spacing w:after="0" w:before="0" w:line="360" w:lineRule="auto"/>
        <w:ind w:firstLine="600" w:left="0" w:right="0"/>
        <w:jc w:val="both"/>
      </w:pPr>
      <w:r>
        <w:rPr>
          <w:rFonts w:ascii="Arial" w:cs="Arial" w:hAnsi="Arial"/>
          <w:bCs/>
        </w:rPr>
        <w:t>Por lo antes expuesto se considera exploratoria puesto que este proyecto es poco conocido y estudiado, y se debe obtener información completa sobre el problema en estudio.</w:t>
      </w:r>
    </w:p>
    <w:p>
      <w:pPr>
        <w:pStyle w:val="style197"/>
        <w:spacing w:after="0" w:before="0" w:line="360" w:lineRule="auto"/>
        <w:ind w:firstLine="600" w:left="0" w:right="0"/>
        <w:jc w:val="both"/>
      </w:pPr>
      <w:r>
        <w:rPr>
          <w:rFonts w:ascii="Arial" w:cs="Arial" w:hAnsi="Arial"/>
          <w:bCs/>
        </w:rPr>
      </w:r>
    </w:p>
    <w:p>
      <w:pPr>
        <w:pStyle w:val="style197"/>
        <w:spacing w:after="0" w:before="0" w:line="360" w:lineRule="auto"/>
        <w:ind w:firstLine="600" w:left="0" w:right="0"/>
        <w:jc w:val="both"/>
      </w:pPr>
      <w:r>
        <w:rPr>
          <w:rFonts w:ascii="Arial" w:cs="Arial" w:hAnsi="Arial"/>
          <w:bCs/>
          <w:color w:val="000000"/>
        </w:rPr>
        <w:t>La investigación descriptiva según Hernández; Fernández y Baptista (2006) la define como:</w:t>
      </w:r>
    </w:p>
    <w:p>
      <w:pPr>
        <w:pStyle w:val="style197"/>
        <w:spacing w:after="0" w:before="0"/>
        <w:ind w:firstLine="34" w:left="1134" w:right="1132"/>
        <w:jc w:val="both"/>
      </w:pPr>
      <w:r>
        <w:rPr>
          <w:rFonts w:ascii="Arial" w:cs="Arial" w:hAnsi="Arial"/>
          <w:bCs/>
          <w:color w:val="000000"/>
        </w:rPr>
      </w:r>
    </w:p>
    <w:p>
      <w:pPr>
        <w:pStyle w:val="style197"/>
        <w:spacing w:after="0" w:before="0"/>
        <w:ind w:firstLine="34" w:left="1134" w:right="1132"/>
        <w:jc w:val="both"/>
      </w:pPr>
      <w:r>
        <w:rPr>
          <w:rFonts w:ascii="Arial" w:cs="Arial" w:hAnsi="Arial"/>
          <w:bCs/>
          <w:color w:val="000000"/>
        </w:rPr>
        <w:t>Son aquellos que busca detallar las propiedades, es decir la descripción precisa del evento en estudio. Las características y los perfiles de las personas, grupos y comunidades; miden, evalúan o recolectan datos sobre diversas variables, aspectos, dimensiones o componentes del fenómeno a investigar, solo pretenden medir o recoger información de manera independiente o conjunta sobre los conceptos o las variables a las que se refieren. Con este proyecto se busca exponer la reutilización del metal pesado, su utilidad y beneficios. (p. 152)</w:t>
      </w:r>
    </w:p>
    <w:p>
      <w:pPr>
        <w:pStyle w:val="style197"/>
        <w:spacing w:after="0" w:before="0" w:line="360" w:lineRule="auto"/>
        <w:ind w:firstLine="600" w:left="0" w:right="0"/>
        <w:jc w:val="both"/>
      </w:pPr>
      <w:r>
        <w:rPr>
          <w:rFonts w:ascii="Arial" w:cs="Arial" w:hAnsi="Arial"/>
          <w:bCs/>
          <w:color w:val="FF0000"/>
        </w:rPr>
      </w:r>
    </w:p>
    <w:p>
      <w:pPr>
        <w:pStyle w:val="style197"/>
        <w:spacing w:after="0" w:before="0" w:line="360" w:lineRule="auto"/>
        <w:ind w:firstLine="600" w:left="0" w:right="0"/>
        <w:jc w:val="both"/>
      </w:pPr>
      <w:r>
        <w:rPr>
          <w:rFonts w:ascii="Arial" w:cs="Arial" w:hAnsi="Arial"/>
          <w:bCs/>
          <w:color w:val="000000"/>
        </w:rPr>
        <w:t>La investigación explicativa pretende establecer</w:t>
      </w:r>
      <w:r>
        <w:rPr>
          <w:rFonts w:ascii="Arial" w:cs="Arial" w:hAnsi="Arial"/>
          <w:b/>
          <w:bCs/>
          <w:color w:val="000000"/>
        </w:rPr>
        <w:t xml:space="preserve"> </w:t>
      </w:r>
      <w:r>
        <w:rPr>
          <w:rFonts w:ascii="Arial" w:cs="Arial" w:hAnsi="Arial"/>
          <w:color w:val="000000"/>
        </w:rPr>
        <w:t>.el origen de los fenómenos que se estudian, sus objetivos principales es explicar por qué  ocurre un fenómeno y en qué condiciones se manifiesta; o por que  se relacionan con dos o más categorías</w:t>
      </w:r>
    </w:p>
    <w:p>
      <w:pPr>
        <w:pStyle w:val="style197"/>
        <w:spacing w:after="0" w:before="0" w:line="360" w:lineRule="auto"/>
        <w:ind w:firstLine="600" w:left="0" w:right="0"/>
        <w:jc w:val="both"/>
      </w:pPr>
      <w:r>
        <w:rPr>
          <w:rFonts w:ascii="Arial" w:cs="Arial" w:eastAsia="Arial" w:hAnsi="Arial"/>
        </w:rPr>
        <w:t xml:space="preserve"> </w:t>
      </w:r>
    </w:p>
    <w:p>
      <w:pPr>
        <w:pStyle w:val="style197"/>
        <w:spacing w:after="0" w:before="0" w:line="360" w:lineRule="auto"/>
      </w:pPr>
      <w:r>
        <w:rPr>
          <w:rFonts w:ascii="Arial" w:cs="Arial" w:hAnsi="Arial"/>
          <w:b/>
        </w:rPr>
        <w:t>Población y Muestra</w:t>
      </w:r>
    </w:p>
    <w:p>
      <w:pPr>
        <w:pStyle w:val="style197"/>
        <w:spacing w:after="0" w:before="0" w:line="360" w:lineRule="auto"/>
        <w:jc w:val="both"/>
      </w:pPr>
      <w:r>
        <w:rPr>
          <w:rFonts w:ascii="Arial" w:cs="Arial" w:hAnsi="Arial"/>
        </w:rPr>
      </w:r>
    </w:p>
    <w:p>
      <w:pPr>
        <w:pStyle w:val="style197"/>
        <w:spacing w:after="0" w:before="0" w:line="360" w:lineRule="auto"/>
        <w:ind w:firstLine="601" w:left="0" w:right="0"/>
        <w:jc w:val="both"/>
      </w:pPr>
      <w:r>
        <w:rPr>
          <w:rFonts w:ascii="Arial" w:cs="Arial" w:hAnsi="Arial"/>
          <w:lang w:val="es-ES"/>
        </w:rPr>
        <w:t>Balestrini (2006:137) define la población como “un conjunto finito o infinito de personas, casos o elementos que presentan características comunes”.  Es conveniente señalar que l</w:t>
      </w:r>
      <w:r>
        <w:rPr>
          <w:rFonts w:ascii="Arial" w:cs="Arial" w:hAnsi="Arial"/>
        </w:rPr>
        <w:t>a población para esta investigación está integrada por   98 funcionarios del Área Administrativa del Instituto de Universitario de Tecnología  del Estado Yaracuy.</w:t>
      </w:r>
    </w:p>
    <w:p>
      <w:pPr>
        <w:pStyle w:val="style197"/>
        <w:spacing w:after="0" w:before="0" w:line="360" w:lineRule="auto"/>
        <w:ind w:firstLine="601" w:left="0" w:right="0"/>
        <w:jc w:val="both"/>
      </w:pPr>
      <w:r>
        <w:rPr>
          <w:rFonts w:ascii="Arial" w:cs="Arial" w:hAnsi="Arial"/>
        </w:rPr>
      </w:r>
    </w:p>
    <w:p>
      <w:pPr>
        <w:pStyle w:val="style197"/>
        <w:spacing w:after="0" w:before="0" w:line="360" w:lineRule="auto"/>
        <w:ind w:firstLine="601" w:left="0" w:right="0"/>
        <w:jc w:val="both"/>
      </w:pPr>
      <w:r>
        <w:rPr>
          <w:rFonts w:ascii="Arial" w:cs="Arial" w:hAnsi="Arial"/>
        </w:rPr>
      </w:r>
    </w:p>
    <w:p>
      <w:pPr>
        <w:pStyle w:val="style197"/>
        <w:spacing w:after="0" w:before="0" w:line="360" w:lineRule="auto"/>
        <w:ind w:firstLine="601" w:left="0" w:right="0"/>
        <w:jc w:val="both"/>
      </w:pPr>
      <w:r>
        <w:rPr>
          <w:rFonts w:ascii="Arial" w:cs="Arial" w:hAnsi="Arial"/>
        </w:rPr>
      </w:r>
    </w:p>
    <w:p>
      <w:pPr>
        <w:pStyle w:val="style197"/>
        <w:spacing w:after="0" w:before="0"/>
        <w:ind w:firstLine="601" w:left="0" w:right="0"/>
        <w:jc w:val="both"/>
      </w:pPr>
      <w:r>
        <w:rPr>
          <w:rFonts w:ascii="Arial" w:cs="Arial" w:hAnsi="Arial"/>
        </w:rPr>
      </w:r>
    </w:p>
    <w:p>
      <w:pPr>
        <w:pStyle w:val="style197"/>
        <w:spacing w:after="0" w:before="0"/>
        <w:ind w:firstLine="601" w:left="0" w:right="0"/>
        <w:jc w:val="center"/>
      </w:pPr>
      <w:r>
        <w:rPr>
          <w:rFonts w:ascii="Arial" w:cs="Arial" w:hAnsi="Arial"/>
          <w:b/>
        </w:rPr>
        <w:t>CUADRO  1</w:t>
      </w:r>
    </w:p>
    <w:p>
      <w:pPr>
        <w:pStyle w:val="style197"/>
        <w:spacing w:after="0" w:before="0"/>
        <w:ind w:firstLine="601" w:left="0" w:right="0"/>
        <w:jc w:val="center"/>
      </w:pPr>
      <w:r>
        <w:rPr>
          <w:rFonts w:ascii="Arial" w:cs="Arial" w:hAnsi="Arial"/>
        </w:rPr>
      </w:r>
    </w:p>
    <w:tbl>
      <w:tblPr>
        <w:jc w:val="left"/>
        <w:tblInd w:type="dxa" w:w="846"/>
        <w:tblBorders>
          <w:top w:color="000000" w:space="0" w:sz="4" w:val="single"/>
          <w:left w:color="000000" w:space="0" w:sz="4" w:val="single"/>
          <w:bottom w:color="000000" w:space="0" w:sz="4" w:val="single"/>
        </w:tblBorders>
      </w:tblPr>
      <w:tblGrid>
        <w:gridCol w:w="4678"/>
        <w:gridCol w:w="1852"/>
      </w:tblGrid>
      <w:tr>
        <w:trPr>
          <w:cantSplit w:val="false"/>
        </w:trPr>
        <w:tc>
          <w:tcPr>
            <w:tcW w:type="dxa" w:w="4678"/>
            <w:tcBorders>
              <w:top w:color="000000" w:space="0" w:sz="4" w:val="single"/>
              <w:left w:color="000000" w:space="0" w:sz="4" w:val="single"/>
              <w:bottom w:color="000000" w:space="0" w:sz="4" w:val="single"/>
            </w:tcBorders>
            <w:shd w:fill="A6A6A6" w:val="clear"/>
            <w:tcMar>
              <w:top w:type="dxa" w:w="0"/>
              <w:left w:type="dxa" w:w="108"/>
              <w:bottom w:type="dxa" w:w="0"/>
              <w:right w:type="dxa" w:w="108"/>
            </w:tcMar>
          </w:tcPr>
          <w:p>
            <w:pPr>
              <w:pStyle w:val="style197"/>
              <w:spacing w:after="0" w:before="0" w:line="360" w:lineRule="auto"/>
              <w:jc w:val="both"/>
            </w:pPr>
            <w:r>
              <w:rPr>
                <w:rFonts w:ascii="Arial" w:cs="Arial" w:hAnsi="Arial"/>
              </w:rPr>
              <w:t xml:space="preserve">PERSONAL </w:t>
            </w:r>
          </w:p>
        </w:tc>
        <w:tc>
          <w:tcPr>
            <w:tcW w:type="dxa" w:w="1852"/>
            <w:tcBorders>
              <w:top w:color="000000" w:space="0" w:sz="4" w:val="single"/>
              <w:left w:color="000000" w:space="0" w:sz="4" w:val="single"/>
              <w:bottom w:color="000000" w:space="0" w:sz="4" w:val="single"/>
              <w:right w:color="000000" w:space="0" w:sz="4" w:val="single"/>
            </w:tcBorders>
            <w:shd w:fill="A6A6A6" w:val="clear"/>
            <w:tcMar>
              <w:top w:type="dxa" w:w="0"/>
              <w:left w:type="dxa" w:w="108"/>
              <w:bottom w:type="dxa" w:w="0"/>
              <w:right w:type="dxa" w:w="108"/>
            </w:tcMar>
          </w:tcPr>
          <w:p>
            <w:pPr>
              <w:pStyle w:val="style197"/>
              <w:spacing w:after="0" w:before="0"/>
              <w:jc w:val="right"/>
            </w:pPr>
            <w:r>
              <w:rPr>
                <w:rFonts w:ascii="Arial" w:cs="Arial" w:hAnsi="Arial"/>
              </w:rPr>
              <w:t xml:space="preserve">TOTAL </w:t>
            </w:r>
          </w:p>
        </w:tc>
      </w:tr>
      <w:tr>
        <w:trPr>
          <w:cantSplit w:val="false"/>
        </w:trPr>
        <w:tc>
          <w:tcPr>
            <w:tcW w:type="dxa" w:w="4678"/>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197"/>
              <w:spacing w:after="0" w:before="0" w:line="360" w:lineRule="auto"/>
              <w:jc w:val="both"/>
            </w:pPr>
            <w:r>
              <w:rPr>
                <w:rFonts w:ascii="Arial" w:cs="Arial" w:hAnsi="Arial"/>
              </w:rPr>
              <w:t>Administrativo Fijos</w:t>
            </w:r>
          </w:p>
        </w:tc>
        <w:tc>
          <w:tcPr>
            <w:tcW w:type="dxa" w:w="1852"/>
            <w:tcBorders>
              <w:top w:color="000000" w:space="0" w:sz="4" w:val="single"/>
              <w:left w:color="000000" w:space="0" w:sz="4" w:val="single"/>
              <w:bottom w:color="000000" w:space="0" w:sz="4" w:val="single"/>
              <w:right w:color="000000" w:space="0" w:sz="4" w:val="single"/>
            </w:tcBorders>
            <w:shd w:fill="auto" w:val="clear"/>
            <w:tcMar>
              <w:top w:type="dxa" w:w="0"/>
              <w:left w:type="dxa" w:w="108"/>
              <w:bottom w:type="dxa" w:w="0"/>
              <w:right w:type="dxa" w:w="108"/>
            </w:tcMar>
          </w:tcPr>
          <w:p>
            <w:pPr>
              <w:pStyle w:val="style197"/>
              <w:spacing w:after="0" w:before="0"/>
              <w:jc w:val="right"/>
            </w:pPr>
            <w:r>
              <w:rPr>
                <w:rFonts w:ascii="Arial" w:cs="Arial" w:hAnsi="Arial"/>
              </w:rPr>
              <w:t>63</w:t>
            </w:r>
          </w:p>
        </w:tc>
      </w:tr>
      <w:tr>
        <w:trPr>
          <w:cantSplit w:val="false"/>
        </w:trPr>
        <w:tc>
          <w:tcPr>
            <w:tcW w:type="dxa" w:w="4678"/>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197"/>
              <w:spacing w:after="0" w:before="0" w:line="360" w:lineRule="auto"/>
              <w:jc w:val="both"/>
            </w:pPr>
            <w:r>
              <w:rPr>
                <w:rFonts w:ascii="Arial" w:cs="Arial" w:hAnsi="Arial"/>
              </w:rPr>
              <w:t>Administrativo Contratado</w:t>
            </w:r>
          </w:p>
        </w:tc>
        <w:tc>
          <w:tcPr>
            <w:tcW w:type="dxa" w:w="1852"/>
            <w:tcBorders>
              <w:top w:color="000000" w:space="0" w:sz="4" w:val="single"/>
              <w:left w:color="000000" w:space="0" w:sz="4" w:val="single"/>
              <w:bottom w:color="000000" w:space="0" w:sz="4" w:val="single"/>
              <w:right w:color="000000" w:space="0" w:sz="4" w:val="single"/>
            </w:tcBorders>
            <w:shd w:fill="auto" w:val="clear"/>
            <w:tcMar>
              <w:top w:type="dxa" w:w="0"/>
              <w:left w:type="dxa" w:w="108"/>
              <w:bottom w:type="dxa" w:w="0"/>
              <w:right w:type="dxa" w:w="108"/>
            </w:tcMar>
          </w:tcPr>
          <w:p>
            <w:pPr>
              <w:pStyle w:val="style197"/>
              <w:spacing w:after="0" w:before="0"/>
              <w:jc w:val="right"/>
            </w:pPr>
            <w:r>
              <w:rPr>
                <w:rFonts w:ascii="Arial" w:cs="Arial" w:hAnsi="Arial"/>
              </w:rPr>
              <w:t>35</w:t>
            </w:r>
          </w:p>
        </w:tc>
      </w:tr>
      <w:tr>
        <w:trPr>
          <w:cantSplit w:val="false"/>
        </w:trPr>
        <w:tc>
          <w:tcPr>
            <w:tcW w:type="dxa" w:w="4678"/>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197"/>
              <w:spacing w:after="0" w:before="0" w:line="360" w:lineRule="auto"/>
              <w:jc w:val="both"/>
            </w:pPr>
            <w:r>
              <w:rPr>
                <w:rFonts w:ascii="Arial" w:cs="Arial" w:hAnsi="Arial"/>
              </w:rPr>
              <w:t>Total Población</w:t>
            </w:r>
          </w:p>
        </w:tc>
        <w:tc>
          <w:tcPr>
            <w:tcW w:type="dxa" w:w="1852"/>
            <w:tcBorders>
              <w:top w:color="000000" w:space="0" w:sz="4" w:val="single"/>
              <w:left w:color="000000" w:space="0" w:sz="4" w:val="single"/>
              <w:bottom w:color="000000" w:space="0" w:sz="4" w:val="single"/>
              <w:right w:color="000000" w:space="0" w:sz="4" w:val="single"/>
            </w:tcBorders>
            <w:shd w:fill="auto" w:val="clear"/>
            <w:tcMar>
              <w:top w:type="dxa" w:w="0"/>
              <w:left w:type="dxa" w:w="108"/>
              <w:bottom w:type="dxa" w:w="0"/>
              <w:right w:type="dxa" w:w="108"/>
            </w:tcMar>
          </w:tcPr>
          <w:p>
            <w:pPr>
              <w:pStyle w:val="style197"/>
              <w:spacing w:after="0" w:before="0"/>
              <w:jc w:val="right"/>
            </w:pPr>
            <w:r>
              <w:rPr>
                <w:rFonts w:ascii="Arial" w:cs="Arial" w:hAnsi="Arial"/>
              </w:rPr>
              <w:t>98</w:t>
            </w:r>
          </w:p>
        </w:tc>
      </w:tr>
    </w:tbl>
    <w:p>
      <w:pPr>
        <w:pStyle w:val="style197"/>
        <w:spacing w:after="0" w:before="0"/>
        <w:ind w:firstLine="601" w:left="0" w:right="0"/>
        <w:jc w:val="both"/>
      </w:pPr>
      <w:r>
        <w:rPr>
          <w:rFonts w:ascii="Arial" w:cs="Arial" w:hAnsi="Arial"/>
        </w:rPr>
      </w:r>
    </w:p>
    <w:p>
      <w:pPr>
        <w:pStyle w:val="style197"/>
        <w:spacing w:after="0" w:before="0"/>
        <w:ind w:firstLine="601" w:left="0" w:right="0"/>
        <w:jc w:val="both"/>
      </w:pPr>
      <w:r>
        <w:rPr>
          <w:rFonts w:ascii="Arial" w:cs="Arial" w:hAnsi="Arial"/>
        </w:rPr>
      </w:r>
    </w:p>
    <w:p>
      <w:pPr>
        <w:pStyle w:val="style197"/>
        <w:spacing w:after="0" w:before="0" w:line="360" w:lineRule="auto"/>
        <w:ind w:firstLine="601" w:left="0" w:right="0"/>
        <w:jc w:val="both"/>
      </w:pPr>
      <w:r>
        <w:rPr>
          <w:rFonts w:ascii="Arial" w:cs="Arial" w:hAnsi="Arial"/>
          <w:lang w:val="es-ES"/>
        </w:rPr>
        <w:t>Por su parte Balestrini (2006: 141) define la muestra  “como una parte de la población, o sea un numero de individuos u objetos seleccionados científicamente cada uno de los cuales, es un elemento del universo”.  Para los efectos estadísticos y de acuerdo a Hernández (1998) la muestra suele ser definida  como un subgrupo de la población.</w:t>
      </w:r>
    </w:p>
    <w:p>
      <w:pPr>
        <w:pStyle w:val="style197"/>
        <w:spacing w:after="0" w:before="0" w:line="360" w:lineRule="auto"/>
        <w:ind w:firstLine="600" w:left="0" w:right="0"/>
        <w:jc w:val="both"/>
      </w:pPr>
      <w:r>
        <w:rPr>
          <w:rFonts w:ascii="Arial" w:cs="Arial" w:hAnsi="Arial"/>
        </w:rPr>
      </w:r>
    </w:p>
    <w:p>
      <w:pPr>
        <w:pStyle w:val="style197"/>
        <w:spacing w:after="0" w:before="0" w:line="360" w:lineRule="auto"/>
        <w:jc w:val="both"/>
      </w:pPr>
      <w:r>
        <w:rPr>
          <w:rFonts w:ascii="Arial" w:cs="Arial" w:hAnsi="Arial"/>
        </w:rPr>
        <w:tab/>
        <w:t>En la presente investigación la muestra objeto de estudio lo representó todo el personal adscrito a la Unidad de Administración del Instituto Universitario de Tecnología de Yaracuy representada  19 funcionarios, el cual forma parte de la estructura Organizativa del Instituto Universitario de Tecnología de Yaracuy.</w:t>
      </w:r>
    </w:p>
    <w:p>
      <w:pPr>
        <w:pStyle w:val="style197"/>
        <w:spacing w:after="0" w:before="0" w:line="360" w:lineRule="auto"/>
        <w:jc w:val="both"/>
      </w:pPr>
      <w:r>
        <w:rPr>
          <w:rFonts w:ascii="Arial" w:cs="Arial" w:hAnsi="Arial"/>
          <w:color w:val="000000"/>
        </w:rPr>
      </w:r>
    </w:p>
    <w:p>
      <w:pPr>
        <w:pStyle w:val="style197"/>
        <w:spacing w:after="0" w:before="0" w:line="360" w:lineRule="auto"/>
        <w:jc w:val="both"/>
      </w:pPr>
      <w:r>
        <w:rPr>
          <w:rFonts w:ascii="Arial" w:cs="Arial" w:hAnsi="Arial"/>
          <w:color w:val="000000"/>
        </w:rPr>
        <w:tab/>
        <w:t xml:space="preserve">Es importante resaltar  que la muestra para este proyecto  es de tipo aleatoria, al azar, simple y probabilístico. Para determinar la muestra se estableció un nivel de confianza en un 95% y el nivel de error máximo admisible 8% ambos  prefijado por la autora. </w:t>
      </w:r>
    </w:p>
    <w:p>
      <w:pPr>
        <w:pStyle w:val="style197"/>
        <w:spacing w:after="0" w:before="0" w:line="360" w:lineRule="auto"/>
        <w:jc w:val="both"/>
      </w:pPr>
      <w:r>
        <w:rPr>
          <w:rFonts w:ascii="Arial" w:cs="Arial" w:hAnsi="Arial"/>
          <w:color w:val="000000"/>
        </w:rPr>
      </w:r>
    </w:p>
    <w:p>
      <w:pPr>
        <w:pStyle w:val="style197"/>
        <w:tabs>
          <w:tab w:leader="none" w:pos="142" w:val="left"/>
        </w:tabs>
        <w:spacing w:after="0" w:before="0" w:line="480" w:lineRule="auto"/>
        <w:jc w:val="center"/>
      </w:pPr>
      <w:r>
        <w:rPr>
          <w:b/>
          <w:color w:val="000000"/>
        </w:rPr>
        <w:drawing>
          <wp:inline distB="0" distL="0" distR="0" distT="0">
            <wp:extent cx="1628775" cy="571500"/>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24"/>
                    <a:srcRect/>
                    <a:stretch>
                      <a:fillRect/>
                    </a:stretch>
                  </pic:blipFill>
                  <pic:spPr bwMode="auto">
                    <a:xfrm>
                      <a:off x="0" y="0"/>
                      <a:ext cx="1628775" cy="571500"/>
                    </a:xfrm>
                    <a:prstGeom prst="rect">
                      <a:avLst/>
                    </a:prstGeom>
                    <a:noFill/>
                    <a:ln w="9525">
                      <a:noFill/>
                      <a:miter lim="800000"/>
                      <a:headEnd/>
                      <a:tailEnd/>
                    </a:ln>
                  </pic:spPr>
                </pic:pic>
              </a:graphicData>
            </a:graphic>
          </wp:inline>
        </w:drawing>
      </w:r>
    </w:p>
    <w:p>
      <w:pPr>
        <w:pStyle w:val="style0"/>
        <w:shd w:fill="FFFFFF" w:val="clear"/>
        <w:jc w:val="center"/>
      </w:pPr>
      <w:r>
        <w:rPr>
          <w:rFonts w:ascii="Arial" w:cs="Arial" w:hAnsi="Arial"/>
          <w:color w:val="222222"/>
          <w:sz w:val="24"/>
          <w:szCs w:val="24"/>
        </w:rPr>
      </w:r>
    </w:p>
    <w:p>
      <w:pPr>
        <w:pStyle w:val="style0"/>
        <w:shd w:fill="FFFFFF" w:val="clear"/>
        <w:jc w:val="center"/>
      </w:pPr>
      <w:r>
        <w:rPr>
          <w:rFonts w:ascii="Arial" w:cs="Arial" w:hAnsi="Arial"/>
          <w:color w:val="222222"/>
          <w:sz w:val="24"/>
          <w:szCs w:val="24"/>
        </w:rPr>
      </w:r>
    </w:p>
    <w:p>
      <w:pPr>
        <w:pStyle w:val="style0"/>
        <w:shd w:fill="FFFFFF" w:val="clear"/>
        <w:spacing w:line="360" w:lineRule="auto"/>
      </w:pPr>
      <w:r>
        <w:rPr>
          <w:rFonts w:ascii="Arial" w:cs="Arial" w:hAnsi="Arial"/>
          <w:color w:val="222222"/>
          <w:sz w:val="24"/>
          <w:szCs w:val="24"/>
        </w:rPr>
        <w:t>Donde</w:t>
      </w:r>
    </w:p>
    <w:p>
      <w:pPr>
        <w:pStyle w:val="style0"/>
        <w:shd w:fill="FFFFFF" w:val="clear"/>
        <w:spacing w:line="240" w:lineRule="auto"/>
      </w:pPr>
      <w:r>
        <w:rPr>
          <w:rFonts w:ascii="Arial" w:cs="Arial" w:hAnsi="Arial"/>
          <w:i/>
          <w:iCs/>
          <w:color w:val="222222"/>
          <w:sz w:val="24"/>
          <w:szCs w:val="24"/>
        </w:rPr>
        <w:t xml:space="preserve">n = </w:t>
      </w:r>
      <w:r>
        <w:rPr>
          <w:rFonts w:ascii="Arial" w:cs="Arial" w:hAnsi="Arial"/>
          <w:color w:val="222222"/>
          <w:sz w:val="24"/>
          <w:szCs w:val="24"/>
        </w:rPr>
        <w:t xml:space="preserve">es el tamaño de la muestra </w:t>
      </w:r>
    </w:p>
    <w:p>
      <w:pPr>
        <w:pStyle w:val="style0"/>
        <w:shd w:fill="FFFFFF" w:val="clear"/>
        <w:spacing w:line="240" w:lineRule="auto"/>
      </w:pPr>
      <w:r>
        <w:rPr>
          <w:rFonts w:ascii="Arial" w:cs="Arial" w:hAnsi="Arial"/>
          <w:i/>
          <w:iCs/>
          <w:color w:val="222222"/>
          <w:sz w:val="24"/>
          <w:szCs w:val="24"/>
        </w:rPr>
        <w:t xml:space="preserve">Z = </w:t>
      </w:r>
      <w:r>
        <w:rPr>
          <w:rFonts w:ascii="Arial" w:cs="Arial" w:hAnsi="Arial"/>
          <w:color w:val="222222"/>
          <w:sz w:val="24"/>
          <w:szCs w:val="24"/>
        </w:rPr>
        <w:t xml:space="preserve">es el nivel de confianza </w:t>
      </w:r>
    </w:p>
    <w:p>
      <w:pPr>
        <w:pStyle w:val="style0"/>
        <w:shd w:fill="FFFFFF" w:val="clear"/>
        <w:spacing w:line="240" w:lineRule="auto"/>
      </w:pPr>
      <w:r>
        <w:rPr>
          <w:rFonts w:ascii="Arial" w:cs="Arial" w:hAnsi="Arial"/>
          <w:i/>
          <w:iCs/>
          <w:color w:val="222222"/>
          <w:sz w:val="24"/>
          <w:szCs w:val="24"/>
        </w:rPr>
        <w:t xml:space="preserve">p = </w:t>
      </w:r>
      <w:r>
        <w:rPr>
          <w:rFonts w:ascii="Arial" w:cs="Arial" w:hAnsi="Arial"/>
          <w:color w:val="222222"/>
          <w:sz w:val="24"/>
          <w:szCs w:val="24"/>
        </w:rPr>
        <w:t xml:space="preserve">es la variabilidad positiva </w:t>
      </w:r>
    </w:p>
    <w:p>
      <w:pPr>
        <w:pStyle w:val="style0"/>
        <w:shd w:fill="FFFFFF" w:val="clear"/>
        <w:spacing w:line="240" w:lineRule="auto"/>
      </w:pPr>
      <w:r>
        <w:rPr>
          <w:rFonts w:ascii="Arial" w:cs="Arial" w:hAnsi="Arial"/>
          <w:i/>
          <w:iCs/>
          <w:color w:val="222222"/>
          <w:sz w:val="24"/>
          <w:szCs w:val="24"/>
        </w:rPr>
        <w:t>q</w:t>
      </w:r>
      <w:r>
        <w:rPr>
          <w:rFonts w:ascii="Arial" w:cs="Arial" w:hAnsi="Arial"/>
          <w:color w:val="222222"/>
          <w:sz w:val="24"/>
          <w:szCs w:val="24"/>
        </w:rPr>
        <w:t xml:space="preserve"> = es la variabilidad negativa </w:t>
      </w:r>
    </w:p>
    <w:p>
      <w:pPr>
        <w:pStyle w:val="style0"/>
        <w:shd w:fill="FFFFFF" w:val="clear"/>
        <w:spacing w:line="240" w:lineRule="auto"/>
      </w:pPr>
      <w:r>
        <w:rPr>
          <w:rFonts w:ascii="Arial" w:cs="Arial" w:hAnsi="Arial"/>
          <w:i/>
          <w:iCs/>
          <w:color w:val="222222"/>
          <w:sz w:val="24"/>
          <w:szCs w:val="24"/>
        </w:rPr>
        <w:t>N</w:t>
      </w:r>
      <w:r>
        <w:rPr>
          <w:rFonts w:ascii="Arial" w:cs="Arial" w:hAnsi="Arial"/>
          <w:color w:val="222222"/>
          <w:sz w:val="24"/>
          <w:szCs w:val="24"/>
        </w:rPr>
        <w:t xml:space="preserve"> = es el tamaño de la población </w:t>
      </w:r>
    </w:p>
    <w:p>
      <w:pPr>
        <w:pStyle w:val="style0"/>
        <w:shd w:fill="FFFFFF" w:val="clear"/>
        <w:spacing w:line="240" w:lineRule="auto"/>
      </w:pPr>
      <w:r>
        <w:rPr>
          <w:rFonts w:ascii="Arial" w:cs="Arial" w:hAnsi="Arial"/>
          <w:i/>
          <w:iCs/>
          <w:color w:val="222222"/>
          <w:sz w:val="24"/>
          <w:szCs w:val="24"/>
        </w:rPr>
        <w:t>E</w:t>
      </w:r>
      <w:r>
        <w:rPr>
          <w:rFonts w:ascii="Arial" w:cs="Arial" w:hAnsi="Arial"/>
          <w:color w:val="222222"/>
          <w:sz w:val="24"/>
          <w:szCs w:val="24"/>
        </w:rPr>
        <w:t xml:space="preserve"> = es la precisión o el error</w:t>
      </w:r>
    </w:p>
    <w:p>
      <w:pPr>
        <w:pStyle w:val="style0"/>
        <w:shd w:fill="FFFFFF" w:val="clear"/>
        <w:jc w:val="center"/>
      </w:pPr>
      <w:r>
        <w:rPr>
          <w:rFonts w:ascii="Arial" w:cs="Arial" w:hAnsi="Arial"/>
          <w:color w:val="222222"/>
          <w:sz w:val="24"/>
          <w:szCs w:val="24"/>
        </w:rPr>
        <w:t>n</w:t>
        <w:pict>
          <v:shape id="shape_0" style="position:absolute;margin-left:302.85pt;margin-top:8.05pt;width:14.25pt;height:0.05pt" type="shapetype_32">
            <v:stroke color="black" endarrow="block" endarrowlength="medium" endarrowwidth="medium" joinstyle="miter" weight="9360"/>
            <v:fill detectmouseclick="t"/>
          </v:shape>
        </w:pict>
      </w:r>
      <w:r>
        <w:rPr>
          <w:rFonts w:ascii="Arial" w:cs="Arial" w:hAnsi="Arial"/>
          <w:color w:val="222222"/>
          <w:sz w:val="24"/>
          <w:szCs w:val="24"/>
        </w:rPr>
        <w:t>=</w:t>
        <w:pict>
          <v:shape id="shape_0" style="position:absolute;margin-left:302.85pt;margin-top:8.05pt;width:14.25pt;height:0.05pt" type="shapetype_32">
            <v:stroke color="black" endarrow="block" endarrowlength="medium" endarrowwidth="medium" joinstyle="miter" weight="9360"/>
            <v:fill detectmouseclick="t"/>
          </v:shape>
        </w:pict>
      </w:r>
      <w:r>
        <w:rPr>
          <w:rFonts w:ascii="Arial" w:cs="Arial" w:hAnsi="Arial"/>
          <w:color w:val="222222"/>
          <w:sz w:val="24"/>
          <w:szCs w:val="24"/>
        </w:rPr>
        <w:t xml:space="preserve"> (1,96)</w:t>
      </w:r>
      <w:r>
        <w:rPr>
          <w:rFonts w:ascii="Arial" w:cs="Arial" w:hAnsi="Arial"/>
          <w:color w:val="222222"/>
          <w:sz w:val="24"/>
          <w:szCs w:val="24"/>
          <w:vertAlign w:val="superscript"/>
        </w:rPr>
        <w:t>2</w:t>
      </w:r>
      <w:r>
        <w:rPr>
          <w:rFonts w:ascii="Arial" w:cs="Arial" w:hAnsi="Arial"/>
          <w:color w:val="222222"/>
          <w:sz w:val="24"/>
          <w:szCs w:val="24"/>
        </w:rPr>
        <w:t>(0,5)(0,5)(98)/(98+1)(0,10)</w:t>
      </w:r>
      <w:r>
        <w:rPr>
          <w:rFonts w:ascii="Arial" w:cs="Arial" w:hAnsi="Arial"/>
          <w:color w:val="222222"/>
          <w:sz w:val="24"/>
          <w:szCs w:val="24"/>
          <w:vertAlign w:val="superscript"/>
        </w:rPr>
        <w:t xml:space="preserve">2 </w:t>
      </w:r>
      <w:r>
        <w:rPr>
          <w:rFonts w:ascii="Arial" w:cs="Arial" w:hAnsi="Arial"/>
          <w:color w:val="222222"/>
          <w:sz w:val="24"/>
          <w:szCs w:val="24"/>
        </w:rPr>
        <w:t>+ (1,96)</w:t>
      </w:r>
      <w:r>
        <w:rPr>
          <w:rFonts w:ascii="Arial" w:cs="Arial" w:hAnsi="Arial"/>
          <w:color w:val="222222"/>
          <w:sz w:val="24"/>
          <w:szCs w:val="24"/>
          <w:vertAlign w:val="superscript"/>
        </w:rPr>
        <w:t>2</w:t>
      </w:r>
      <w:r>
        <w:rPr>
          <w:rFonts w:ascii="Arial" w:cs="Arial" w:hAnsi="Arial"/>
          <w:color w:val="222222"/>
          <w:sz w:val="24"/>
          <w:szCs w:val="24"/>
        </w:rPr>
        <w:t>(0,5)(0,5)      n= 18,52 = 19</w:t>
      </w:r>
    </w:p>
    <w:p>
      <w:pPr>
        <w:pStyle w:val="style197"/>
        <w:spacing w:after="0" w:before="0" w:line="360" w:lineRule="auto"/>
        <w:ind w:firstLine="600" w:left="0" w:right="0"/>
        <w:jc w:val="both"/>
      </w:pPr>
      <w:r>
        <w:rPr>
          <w:rFonts w:ascii="Arial" w:cs="Arial" w:hAnsi="Arial"/>
          <w:color w:val="000000"/>
        </w:rPr>
      </w:r>
    </w:p>
    <w:p>
      <w:pPr>
        <w:pStyle w:val="style197"/>
        <w:spacing w:after="0" w:before="0" w:line="360" w:lineRule="auto"/>
        <w:jc w:val="both"/>
      </w:pPr>
      <w:r>
        <w:rPr>
          <w:rFonts w:ascii="Arial" w:cs="Arial" w:hAnsi="Arial"/>
          <w:color w:val="000000"/>
        </w:rPr>
        <w:tab/>
        <w:t>Para esta investigación se contara con un vehículo y mi  persona para aplicar las encuestas en un lapso de cinco días hábiles.</w:t>
      </w:r>
    </w:p>
    <w:p>
      <w:pPr>
        <w:pStyle w:val="style197"/>
        <w:spacing w:after="0" w:before="0" w:line="360" w:lineRule="auto"/>
        <w:ind w:firstLine="600" w:left="0" w:right="0"/>
        <w:jc w:val="both"/>
      </w:pPr>
      <w:r>
        <w:rPr>
          <w:rFonts w:ascii="Arial" w:cs="Arial" w:eastAsia="Arial" w:hAnsi="Arial"/>
          <w:color w:val="000000"/>
        </w:rPr>
        <w:t xml:space="preserve"> </w:t>
      </w:r>
    </w:p>
    <w:p>
      <w:pPr>
        <w:pStyle w:val="style197"/>
        <w:spacing w:after="0" w:before="0" w:line="360" w:lineRule="auto"/>
        <w:jc w:val="both"/>
      </w:pPr>
      <w:r>
        <w:rPr>
          <w:rFonts w:ascii="Arial" w:cs="Arial" w:hAnsi="Arial"/>
          <w:b/>
          <w:color w:val="000000"/>
        </w:rPr>
        <w:t>Técnica e Instrumento de Recolección de Datos</w:t>
      </w:r>
    </w:p>
    <w:p>
      <w:pPr>
        <w:pStyle w:val="style197"/>
        <w:spacing w:after="0" w:before="0" w:line="360" w:lineRule="auto"/>
        <w:jc w:val="both"/>
      </w:pPr>
      <w:r>
        <w:rPr>
          <w:rFonts w:ascii="Arial" w:cs="Arial" w:eastAsia="Arial" w:hAnsi="Arial"/>
          <w:color w:val="000000"/>
        </w:rPr>
        <w:t xml:space="preserve">     </w:t>
      </w:r>
    </w:p>
    <w:p>
      <w:pPr>
        <w:pStyle w:val="style197"/>
        <w:spacing w:after="0" w:before="0" w:line="360" w:lineRule="auto"/>
        <w:jc w:val="both"/>
      </w:pPr>
      <w:r>
        <w:rPr>
          <w:rFonts w:ascii="Arial" w:cs="Arial" w:hAnsi="Arial"/>
          <w:b/>
          <w:color w:val="000000"/>
        </w:rPr>
        <w:t>Técnica</w:t>
      </w:r>
    </w:p>
    <w:p>
      <w:pPr>
        <w:pStyle w:val="style0"/>
        <w:spacing w:line="360" w:lineRule="auto"/>
        <w:ind w:firstLine="567" w:left="0" w:right="0"/>
        <w:jc w:val="both"/>
      </w:pPr>
      <w:r>
        <w:rPr>
          <w:rFonts w:ascii="Arial" w:cs="Arial" w:hAnsi="Arial"/>
          <w:color w:val="000000"/>
          <w:sz w:val="24"/>
          <w:szCs w:val="24"/>
        </w:rPr>
      </w:r>
    </w:p>
    <w:p>
      <w:pPr>
        <w:pStyle w:val="style0"/>
        <w:spacing w:line="360" w:lineRule="auto"/>
        <w:ind w:firstLine="567" w:left="0" w:right="0"/>
        <w:jc w:val="both"/>
      </w:pPr>
      <w:r>
        <w:rPr>
          <w:rFonts w:ascii="Arial" w:cs="Arial" w:hAnsi="Arial"/>
          <w:color w:val="000000"/>
          <w:sz w:val="24"/>
          <w:szCs w:val="24"/>
        </w:rPr>
        <w:t>En este mismo orden de ideas, se aplicaron entrevistas no  estructuradas siguiendo siempre las pautas de los objetivos de la investigación, dirigida al Jefe de Bienes Nacionales, Auditor Interno  y al Personal Administrativo del Instituto Universitario de Tecnología de Yaracuy</w:t>
      </w:r>
    </w:p>
    <w:p>
      <w:pPr>
        <w:pStyle w:val="style0"/>
        <w:spacing w:line="360" w:lineRule="auto"/>
        <w:ind w:firstLine="567" w:left="0" w:right="0"/>
        <w:jc w:val="both"/>
      </w:pPr>
      <w:r>
        <w:rPr>
          <w:rFonts w:ascii="Arial" w:cs="Arial" w:hAnsi="Arial"/>
          <w:color w:val="000000"/>
          <w:sz w:val="24"/>
          <w:szCs w:val="24"/>
        </w:rPr>
        <w:t>Otras técnicas utilizadas como parte del proceso en la recolección de información, es la encuesta y observación directa e indirecta, mediante el uso sistémico de los sentidos, la cual estuvo presente durante todo el proceso de investigación tomándose notas de las evidencias en los papeles de trabajo que a tales efectos se formularon.</w:t>
      </w:r>
    </w:p>
    <w:p>
      <w:pPr>
        <w:pStyle w:val="style197"/>
        <w:spacing w:after="0" w:before="0" w:line="360" w:lineRule="auto"/>
        <w:jc w:val="both"/>
      </w:pPr>
      <w:r>
        <w:rPr>
          <w:rFonts w:ascii="Arial" w:cs="Arial" w:hAnsi="Arial"/>
          <w:b/>
          <w:color w:val="000000"/>
        </w:rPr>
        <w:t>Instrumento</w:t>
      </w:r>
    </w:p>
    <w:p>
      <w:pPr>
        <w:pStyle w:val="style197"/>
        <w:spacing w:after="0" w:before="0" w:line="360" w:lineRule="auto"/>
        <w:jc w:val="both"/>
      </w:pPr>
      <w:r>
        <w:rPr>
          <w:rFonts w:ascii="Arial" w:cs="Arial" w:hAnsi="Arial"/>
          <w:b/>
          <w:color w:val="000000"/>
        </w:rPr>
      </w:r>
    </w:p>
    <w:p>
      <w:pPr>
        <w:pStyle w:val="style197"/>
        <w:spacing w:after="0" w:before="0" w:line="360" w:lineRule="auto"/>
        <w:jc w:val="both"/>
      </w:pPr>
      <w:r>
        <w:rPr>
          <w:rFonts w:ascii="Arial" w:cs="Arial" w:hAnsi="Arial"/>
          <w:color w:val="292929"/>
        </w:rPr>
        <w:tab/>
      </w:r>
      <w:r>
        <w:rPr>
          <w:rFonts w:ascii="Arial" w:cs="Arial" w:hAnsi="Arial"/>
          <w:color w:val="000000"/>
        </w:rPr>
        <w:t>Con respecto al instrumento de  la entrevista Sabino, (1992:116) comenta  “que desde el punto de vista del método es una forma específica de interacción social que tiene por objeto recolectar datos para una investigación”.</w:t>
      </w:r>
    </w:p>
    <w:p>
      <w:pPr>
        <w:pStyle w:val="style197"/>
        <w:spacing w:after="0" w:before="0" w:line="360" w:lineRule="auto"/>
        <w:jc w:val="both"/>
      </w:pPr>
      <w:r>
        <w:rPr>
          <w:rFonts w:ascii="Arial" w:cs="Arial" w:hAnsi="Arial"/>
          <w:color w:val="000000"/>
        </w:rPr>
        <w:br/>
        <w:tab/>
        <w:t>El investigador formula preguntas a las personas capaces de aportarle datos de interés, estableciendo un diálogo peculiar, asimétrico, donde una de las partes busca recoger informaciones y la otra es la fuente de esas informaciones. Por razones obvias sólo se emplea, salvo raras excepciones, en las ciencias humanas.</w:t>
      </w:r>
    </w:p>
    <w:p>
      <w:pPr>
        <w:pStyle w:val="style197"/>
        <w:spacing w:after="0" w:before="0" w:line="360" w:lineRule="auto"/>
        <w:jc w:val="both"/>
      </w:pPr>
      <w:r>
        <w:rPr>
          <w:rFonts w:ascii="Arial" w:cs="Arial" w:hAnsi="Arial"/>
          <w:b/>
          <w:color w:val="000000"/>
        </w:rPr>
      </w:r>
    </w:p>
    <w:p>
      <w:pPr>
        <w:pStyle w:val="style197"/>
        <w:spacing w:after="0" w:before="0" w:line="360" w:lineRule="auto"/>
        <w:ind w:firstLine="600" w:left="0" w:right="0"/>
        <w:jc w:val="both"/>
      </w:pPr>
      <w:r>
        <w:rPr>
          <w:rFonts w:ascii="Arial" w:cs="Arial" w:hAnsi="Arial"/>
          <w:color w:val="000000"/>
        </w:rPr>
        <w:t xml:space="preserve">Según Briones (1995) define  </w:t>
      </w:r>
      <w:r>
        <w:rPr>
          <w:rFonts w:ascii="Arial" w:cs="Arial" w:eastAsia="Calibri" w:hAnsi="Arial"/>
          <w:color w:val="000000"/>
          <w:shd w:fill="FFF9EE" w:val="clear"/>
          <w:lang w:eastAsia="en-US" w:val="es-ES"/>
        </w:rPr>
        <w:t>Las escalas como  “son instrumentos de medición o pruebas psicológicas que frecuentemente son utilizadas para la medición de actitudes”.</w:t>
      </w:r>
    </w:p>
    <w:p>
      <w:pPr>
        <w:pStyle w:val="style197"/>
        <w:spacing w:after="0" w:before="0" w:line="360" w:lineRule="auto"/>
        <w:ind w:firstLine="600" w:left="0" w:right="0"/>
        <w:jc w:val="both"/>
      </w:pPr>
      <w:r>
        <w:rPr>
          <w:rFonts w:ascii="Arial" w:cs="Arial" w:eastAsia="Calibri" w:hAnsi="Arial"/>
          <w:color w:val="000000"/>
          <w:shd w:fill="FFF9EE" w:val="clear"/>
          <w:lang w:eastAsia="en-US" w:val="es-ES"/>
        </w:rPr>
      </w:r>
    </w:p>
    <w:p>
      <w:pPr>
        <w:pStyle w:val="style197"/>
        <w:spacing w:after="0" w:before="0" w:line="360" w:lineRule="auto"/>
        <w:ind w:firstLine="600" w:left="0" w:right="0"/>
        <w:jc w:val="both"/>
      </w:pPr>
      <w:r>
        <w:rPr>
          <w:rFonts w:ascii="Arial" w:cs="Arial" w:eastAsia="Calibri" w:hAnsi="Arial"/>
          <w:color w:val="000000"/>
          <w:shd w:fill="FFF9EE" w:val="clear"/>
          <w:lang w:eastAsia="en-US" w:val="es-ES"/>
        </w:rPr>
        <w:t>Al respecto (Summers (1982) citado por Briones 1995)  define el término actitud como la “... suma total de inclinaciones y sentimientos, prejuicios o distorsiones, nociones preconcebidas, ideas, temores, amenazas y convicciones de un individuo acerca de cualquier asunto específico,” (p. 158).</w:t>
      </w:r>
    </w:p>
    <w:p>
      <w:pPr>
        <w:pStyle w:val="style197"/>
        <w:spacing w:after="0" w:before="0" w:line="360" w:lineRule="auto"/>
        <w:ind w:firstLine="600" w:left="0" w:right="0"/>
        <w:jc w:val="both"/>
      </w:pPr>
      <w:r>
        <w:rPr>
          <w:rFonts w:ascii="Arial" w:cs="Arial" w:eastAsia="Calibri" w:hAnsi="Arial"/>
          <w:color w:val="000000"/>
          <w:shd w:fill="FFF9EE" w:val="clear"/>
          <w:lang w:eastAsia="en-US" w:val="es-ES"/>
        </w:rPr>
      </w:r>
    </w:p>
    <w:p>
      <w:pPr>
        <w:pStyle w:val="style197"/>
        <w:spacing w:after="0" w:before="0" w:line="360" w:lineRule="auto"/>
        <w:ind w:firstLine="600" w:left="0" w:right="0"/>
        <w:jc w:val="both"/>
      </w:pPr>
      <w:r>
        <w:rPr>
          <w:rFonts w:ascii="Arial" w:cs="Arial" w:eastAsia="Calibri" w:hAnsi="Arial"/>
          <w:color w:val="000000"/>
          <w:lang w:eastAsia="en-US" w:val="es-ES"/>
        </w:rPr>
      </w:r>
    </w:p>
    <w:p>
      <w:pPr>
        <w:pStyle w:val="style197"/>
        <w:spacing w:after="0" w:before="0" w:line="360" w:lineRule="auto"/>
        <w:ind w:firstLine="600" w:left="0" w:right="0"/>
        <w:jc w:val="both"/>
      </w:pPr>
      <w:r>
        <w:rPr>
          <w:rFonts w:ascii="Arial" w:cs="Arial" w:hAnsi="Arial"/>
          <w:color w:val="000000"/>
        </w:rPr>
      </w:r>
    </w:p>
    <w:p>
      <w:pPr>
        <w:pStyle w:val="style197"/>
        <w:spacing w:after="0" w:before="0" w:line="360" w:lineRule="auto"/>
        <w:ind w:firstLine="600" w:left="0" w:right="0"/>
        <w:jc w:val="both"/>
      </w:pPr>
      <w:r>
        <w:rPr>
          <w:rFonts w:ascii="Arial" w:cs="Arial" w:hAnsi="Arial"/>
          <w:color w:val="000000"/>
        </w:rPr>
        <w:t>Según Hurtado (1999), define el cuestionario como:</w:t>
      </w:r>
    </w:p>
    <w:p>
      <w:pPr>
        <w:pStyle w:val="style197"/>
        <w:spacing w:after="0" w:before="0"/>
        <w:ind w:hanging="0" w:left="1134" w:right="1134"/>
        <w:jc w:val="both"/>
      </w:pPr>
      <w:r>
        <w:rPr>
          <w:rFonts w:ascii="Arial" w:cs="Arial" w:hAnsi="Arial"/>
          <w:color w:val="000000"/>
        </w:rPr>
        <w:t>Un instrumento que agrupa una serie de preguntas relativas a un evento o temática particular, sobre el cual el investigador desea obtener información, en el cual sólo deben incluirse las preguntas que estén relacionadas con la investigación o con el control de la variable de investigación.(p  )</w:t>
      </w:r>
    </w:p>
    <w:p>
      <w:pPr>
        <w:pStyle w:val="style0"/>
        <w:spacing w:line="360" w:lineRule="auto"/>
        <w:jc w:val="both"/>
      </w:pPr>
      <w:r>
        <w:rPr>
          <w:rFonts w:ascii="Arial" w:cs="Arial" w:hAnsi="Arial"/>
          <w:color w:val="000000"/>
          <w:sz w:val="24"/>
          <w:szCs w:val="24"/>
        </w:rPr>
        <w:tab/>
      </w:r>
    </w:p>
    <w:p>
      <w:pPr>
        <w:pStyle w:val="style0"/>
        <w:spacing w:line="360" w:lineRule="auto"/>
        <w:ind w:firstLine="600" w:left="0" w:right="0"/>
        <w:jc w:val="both"/>
      </w:pPr>
      <w:r>
        <w:rPr>
          <w:rFonts w:ascii="Arial" w:cs="Arial" w:hAnsi="Arial"/>
          <w:color w:val="000000"/>
          <w:sz w:val="24"/>
          <w:szCs w:val="24"/>
        </w:rPr>
        <w:t>Por su parte Briones (2007) define la escala de likert como:</w:t>
      </w:r>
    </w:p>
    <w:p>
      <w:pPr>
        <w:pStyle w:val="style0"/>
        <w:spacing w:line="240" w:lineRule="auto"/>
        <w:ind w:hanging="0" w:left="1134" w:right="1134"/>
        <w:jc w:val="both"/>
      </w:pPr>
      <w:r>
        <w:rPr>
          <w:rFonts w:ascii="Arial" w:cs="Arial" w:eastAsia="Arial" w:hAnsi="Arial"/>
          <w:color w:val="000000"/>
          <w:sz w:val="24"/>
          <w:szCs w:val="24"/>
        </w:rPr>
        <w:t xml:space="preserve"> </w:t>
      </w:r>
      <w:r>
        <w:rPr>
          <w:rFonts w:ascii="Arial" w:cs="Arial" w:hAnsi="Arial"/>
          <w:color w:val="000000"/>
          <w:sz w:val="24"/>
          <w:szCs w:val="24"/>
        </w:rPr>
        <w:t>Un tipo de instrumento de medición o de recolección de datos que se dispone en la investigación social para medir actitudes. Consiste en un conjunto de ítems bajo la forma de afirmaciones o juicios ante los cuales se solicita la reacción (favorable o desfavorable, positiva o negativa) de los individuos (p 1)</w:t>
      </w:r>
    </w:p>
    <w:p>
      <w:pPr>
        <w:pStyle w:val="style0"/>
        <w:spacing w:line="360" w:lineRule="auto"/>
        <w:ind w:hanging="0" w:left="0" w:right="1134"/>
        <w:jc w:val="both"/>
      </w:pPr>
      <w:r>
        <w:rPr>
          <w:rFonts w:ascii="Arial" w:cs="Arial" w:hAnsi="Arial"/>
          <w:color w:val="000000"/>
          <w:sz w:val="24"/>
          <w:szCs w:val="24"/>
        </w:rPr>
        <w:tab/>
        <w:t>Aquí el  autor expresa que  la escala se aplica para investigaciones sociales y para medir las actitudes del ser humano en una investigación</w:t>
      </w:r>
    </w:p>
    <w:p>
      <w:pPr>
        <w:pStyle w:val="style0"/>
        <w:spacing w:line="360" w:lineRule="auto"/>
        <w:jc w:val="both"/>
      </w:pPr>
      <w:r>
        <w:rPr>
          <w:rFonts w:ascii="Arial" w:cs="Arial" w:hAnsi="Arial"/>
          <w:color w:val="000000"/>
          <w:sz w:val="24"/>
          <w:szCs w:val="24"/>
        </w:rPr>
        <w:tab/>
        <w:t>Asimismo Malave (2007) señala que la escala de likert:</w:t>
      </w:r>
    </w:p>
    <w:p>
      <w:pPr>
        <w:pStyle w:val="style0"/>
        <w:spacing w:line="240" w:lineRule="auto"/>
        <w:ind w:hanging="0" w:left="1134" w:right="1134"/>
        <w:jc w:val="both"/>
      </w:pPr>
      <w:r>
        <w:rPr>
          <w:rFonts w:ascii="Arial" w:cs="Arial" w:eastAsia="Arial" w:hAnsi="Arial"/>
          <w:color w:val="000000"/>
          <w:sz w:val="24"/>
          <w:szCs w:val="24"/>
        </w:rPr>
        <w:t xml:space="preserve"> </w:t>
      </w:r>
      <w:r>
        <w:rPr>
          <w:rFonts w:ascii="Arial" w:cs="Arial" w:hAnsi="Arial"/>
          <w:color w:val="000000"/>
          <w:sz w:val="24"/>
          <w:szCs w:val="24"/>
        </w:rPr>
        <w:t>Es un tipo de escala que mide actitudes, es decir, que se emplea para medir el grado en que se da una actitud o disposición de los encuestados sujetos o individuos en los contextos sociales particulares. El objetivo es agrupar numéricamente los datos que se expresen en forma verbal, para poder luego operar con ellos, como si se tratará de datos cuantitativos para poder analizarlos correctamente.(p.4)</w:t>
      </w:r>
    </w:p>
    <w:p>
      <w:pPr>
        <w:pStyle w:val="style0"/>
        <w:spacing w:line="360" w:lineRule="auto"/>
        <w:ind w:hanging="0" w:left="1134" w:right="1134"/>
        <w:jc w:val="both"/>
      </w:pPr>
      <w:r>
        <w:rPr>
          <w:rFonts w:ascii="Arial" w:cs="Arial" w:hAnsi="Arial"/>
          <w:color w:val="000000"/>
          <w:sz w:val="24"/>
          <w:szCs w:val="24"/>
        </w:rPr>
      </w:r>
    </w:p>
    <w:p>
      <w:pPr>
        <w:pStyle w:val="style0"/>
        <w:tabs>
          <w:tab w:leader="none" w:pos="8220" w:val="left"/>
        </w:tabs>
        <w:spacing w:line="360" w:lineRule="auto"/>
        <w:ind w:firstLine="851" w:left="0" w:right="-2"/>
        <w:jc w:val="both"/>
      </w:pPr>
      <w:r>
        <w:rPr>
          <w:rFonts w:ascii="Arial" w:cs="Arial" w:hAnsi="Arial"/>
          <w:color w:val="000000"/>
          <w:sz w:val="24"/>
          <w:szCs w:val="24"/>
        </w:rPr>
        <w:t xml:space="preserve">Con esta definición se interpreta que la escala de likert tiene un objetivo que es medir las actitudes de los sujetos en un contexto social para luego evaluarlo de forma cuantitativa y luego analizarlos.  </w:t>
      </w:r>
    </w:p>
    <w:p>
      <w:pPr>
        <w:pStyle w:val="style0"/>
        <w:spacing w:line="240" w:lineRule="auto"/>
        <w:ind w:hanging="0" w:left="1134" w:right="1134"/>
        <w:jc w:val="both"/>
      </w:pPr>
      <w:r>
        <w:rPr>
          <w:rFonts w:ascii="Arial" w:cs="Arial" w:hAnsi="Arial"/>
          <w:color w:val="000000"/>
          <w:sz w:val="24"/>
          <w:szCs w:val="24"/>
        </w:rPr>
      </w:r>
    </w:p>
    <w:p>
      <w:pPr>
        <w:pStyle w:val="style0"/>
        <w:spacing w:line="360" w:lineRule="auto"/>
        <w:jc w:val="both"/>
      </w:pPr>
      <w:r>
        <w:rPr>
          <w:rFonts w:ascii="Arial" w:cs="Arial" w:hAnsi="Arial"/>
          <w:color w:val="000000"/>
          <w:sz w:val="24"/>
          <w:szCs w:val="24"/>
        </w:rPr>
        <w:tab/>
        <w:t xml:space="preserve">Según Sabino (1992:111-113)  conceptualiza  la observación como: “una técnica antiquísima, cuyos primeros aportes sería imposible rastrear. A través de sus sentidos, el hombre capta la realidad que lo rodea, que luego organiza intelectualmente y agrega”: </w:t>
        <w:tab/>
        <w:t>igualmente expresa que la observación puede definirse, como: “el uso sistemático de nuestros sentidos en la búsqueda de los datos que necesitamos para resolver un problema de investigación”.</w:t>
      </w:r>
    </w:p>
    <w:p>
      <w:pPr>
        <w:pStyle w:val="style197"/>
        <w:spacing w:after="0" w:before="0" w:line="360" w:lineRule="auto"/>
        <w:ind w:firstLine="600" w:left="0" w:right="0"/>
        <w:jc w:val="both"/>
      </w:pPr>
      <w:r>
        <w:rPr>
          <w:rFonts w:ascii="Arial" w:cs="Arial" w:hAnsi="Arial"/>
          <w:color w:val="000000"/>
        </w:rPr>
        <w:t>La observación es directa cuando el investigador forma parte activa del grupo observado y asume sus comportamientos; recibe el nombre de observación participante. Cuando el observador no pertenece al grupo y sólo se hace presente con el propósito de obtener la información (como en este caso), la observación, recibe el nombre de no participante o simple</w:t>
      </w:r>
    </w:p>
    <w:p>
      <w:pPr>
        <w:pStyle w:val="style197"/>
        <w:spacing w:after="0" w:before="0" w:line="360" w:lineRule="auto"/>
        <w:ind w:firstLine="600" w:left="0" w:right="0"/>
        <w:jc w:val="both"/>
      </w:pPr>
      <w:r>
        <w:rPr>
          <w:rFonts w:ascii="Arial" w:cs="Arial" w:hAnsi="Arial"/>
          <w:color w:val="000000"/>
        </w:rPr>
      </w:r>
    </w:p>
    <w:p>
      <w:pPr>
        <w:pStyle w:val="style197"/>
        <w:spacing w:after="0" w:before="0" w:line="360" w:lineRule="auto"/>
        <w:ind w:firstLine="600" w:left="0" w:right="0"/>
        <w:jc w:val="both"/>
      </w:pPr>
      <w:r>
        <w:rPr>
          <w:rFonts w:ascii="Arial" w:cs="Arial" w:hAnsi="Arial"/>
          <w:color w:val="000000"/>
        </w:rPr>
        <w:t xml:space="preserve">Se elaborara un cuestionario estructurado según Briones (1995), con preguntas realizada en la escala de likert para el procesamiento de datos.   En función de los objetivos definidos y relacionados con  </w:t>
      </w:r>
      <w:r>
        <w:rPr>
          <w:rFonts w:ascii="Arial" w:cs="Arial" w:hAnsi="Arial"/>
          <w:bCs/>
        </w:rPr>
        <w:t xml:space="preserve">las Formulación de  </w:t>
      </w:r>
      <w:r>
        <w:rPr>
          <w:rFonts w:ascii="Arial" w:cs="Arial" w:hAnsi="Arial"/>
        </w:rPr>
        <w:t>Estrategias Financieras - Operacionales para la Reutilización de Bienes Nacionales del Instituto Universitario de Tecnología de Yaracuy como Insumo para la Producción Automotriz y la Construcción Civil en Venezuela</w:t>
      </w:r>
      <w:r>
        <w:rPr>
          <w:rFonts w:ascii="Arial" w:cs="Arial" w:hAnsi="Arial"/>
          <w:bCs/>
          <w:color w:val="000000"/>
        </w:rPr>
        <w:t>.</w:t>
      </w:r>
    </w:p>
    <w:p>
      <w:pPr>
        <w:pStyle w:val="style197"/>
        <w:spacing w:after="0" w:before="0" w:line="360" w:lineRule="auto"/>
        <w:ind w:firstLine="600" w:left="0" w:right="0"/>
        <w:jc w:val="both"/>
      </w:pPr>
      <w:r>
        <w:rPr>
          <w:rFonts w:ascii="Arial" w:cs="Arial" w:hAnsi="Arial"/>
          <w:color w:val="000000"/>
        </w:rPr>
      </w:r>
    </w:p>
    <w:p>
      <w:pPr>
        <w:pStyle w:val="style197"/>
        <w:spacing w:after="0" w:before="0" w:line="360" w:lineRule="auto"/>
        <w:ind w:firstLine="600" w:left="0" w:right="0"/>
        <w:jc w:val="both"/>
      </w:pPr>
      <w:r>
        <w:rPr>
          <w:rFonts w:ascii="Arial" w:cs="Arial" w:hAnsi="Arial"/>
          <w:color w:val="000000"/>
        </w:rPr>
        <w:t>El mismo se aplicará, a la muestra seleccionada compuesta por el personal adscrito a la Unidad de Bienes Nacionales y otras Área de la Administración del Instituto Universitario de Tecnología de Yaracuy.</w:t>
      </w:r>
    </w:p>
    <w:p>
      <w:pPr>
        <w:pStyle w:val="style197"/>
        <w:spacing w:after="0" w:before="0" w:line="360" w:lineRule="auto"/>
        <w:ind w:firstLine="600" w:left="0" w:right="0"/>
        <w:jc w:val="both"/>
      </w:pPr>
      <w:r>
        <w:rPr>
          <w:rFonts w:ascii="Arial" w:cs="Arial" w:hAnsi="Arial"/>
          <w:color w:val="000000"/>
        </w:rPr>
      </w:r>
    </w:p>
    <w:p>
      <w:pPr>
        <w:pStyle w:val="style0"/>
        <w:spacing w:line="360" w:lineRule="auto"/>
        <w:ind w:firstLine="567" w:left="0" w:right="0"/>
        <w:jc w:val="both"/>
      </w:pPr>
      <w:r>
        <w:rPr>
          <w:rFonts w:ascii="Arial" w:cs="Arial" w:hAnsi="Arial"/>
          <w:color w:val="000000"/>
          <w:sz w:val="24"/>
          <w:szCs w:val="24"/>
        </w:rPr>
        <w:t xml:space="preserve">A cada una de las preguntas formuladas se le incorpora un código en forma de número y una letra en cada una de las posibles alternativas de respuestas que se consideraron en el cuestionario, para el caso de preguntas. </w:t>
        <w:tab/>
        <w:t xml:space="preserve">El análisis de las preguntas se procesaran cuantificando el número de respuestas para cada alternativa, luego se dividieran entre el número de encuestados multiplicando por cien para que los resultados fuesen expresados en forma relativa. </w:t>
      </w:r>
    </w:p>
    <w:p>
      <w:pPr>
        <w:pStyle w:val="style0"/>
        <w:spacing w:line="240" w:lineRule="auto"/>
        <w:ind w:firstLine="567" w:left="0" w:right="0"/>
        <w:jc w:val="both"/>
      </w:pPr>
      <w:r>
        <w:rPr>
          <w:rFonts w:ascii="Arial" w:cs="Arial" w:hAnsi="Arial"/>
          <w:color w:val="000000"/>
          <w:sz w:val="24"/>
          <w:szCs w:val="24"/>
        </w:rPr>
      </w:r>
    </w:p>
    <w:p>
      <w:pPr>
        <w:pStyle w:val="style0"/>
        <w:spacing w:line="360" w:lineRule="auto"/>
        <w:ind w:firstLine="567" w:left="0" w:right="0"/>
        <w:jc w:val="both"/>
      </w:pPr>
      <w:r>
        <w:rPr>
          <w:rFonts w:ascii="Arial" w:cs="Arial" w:hAnsi="Arial"/>
          <w:color w:val="000000"/>
          <w:sz w:val="24"/>
          <w:szCs w:val="24"/>
        </w:rPr>
        <w:t>De esta manera, una vez procesada cada encuesta, se tabulara su frecuencia para calcular los porcentajes correspondientes a cada ítem, la cual facilitara la representación gráfica de acuerdo a su interrelación, resultados.</w:t>
      </w:r>
    </w:p>
    <w:p>
      <w:pPr>
        <w:pStyle w:val="style0"/>
        <w:spacing w:line="360" w:lineRule="auto"/>
        <w:ind w:firstLine="567" w:left="0" w:right="0"/>
        <w:jc w:val="both"/>
      </w:pPr>
      <w:r>
        <w:rPr>
          <w:rFonts w:ascii="Arial" w:cs="Arial" w:hAnsi="Arial"/>
          <w:color w:val="000000"/>
          <w:sz w:val="24"/>
          <w:szCs w:val="24"/>
        </w:rPr>
        <w:t>El análisis de los datos se realizará a cada pregunta individualmente, agrupando los datos de las respuestas semejantes por cada alternativa y, luego de ser tabuladas y sumadas, se expresara el promedio de cada una de ellas con respecto a la muestra seleccionada para lo cual se utilizara Excel bajo Microsoft Windows XP 2.002; lo cual facilitara el análisis y sus gráficas.</w:t>
      </w:r>
    </w:p>
    <w:p>
      <w:pPr>
        <w:pStyle w:val="style0"/>
        <w:spacing w:line="360" w:lineRule="auto"/>
        <w:ind w:firstLine="567" w:left="0" w:right="0"/>
        <w:jc w:val="both"/>
      </w:pPr>
      <w:r>
        <w:rPr>
          <w:rFonts w:ascii="Arial" w:cs="Arial" w:hAnsi="Arial"/>
          <w:color w:val="000000"/>
          <w:sz w:val="24"/>
          <w:szCs w:val="24"/>
        </w:rPr>
        <w:t>Los recursos que se utilizarán para el registro de la información, en forma general son: papel, lápiz,  grabador, formatos, entre otros.</w:t>
      </w:r>
    </w:p>
    <w:p>
      <w:pPr>
        <w:pStyle w:val="style197"/>
        <w:spacing w:after="0" w:before="0" w:line="360" w:lineRule="auto"/>
      </w:pPr>
      <w:r>
        <w:rPr>
          <w:rFonts w:ascii="Arial" w:cs="Arial" w:hAnsi="Arial"/>
          <w:b/>
          <w:color w:val="000000"/>
        </w:rPr>
      </w:r>
    </w:p>
    <w:p>
      <w:pPr>
        <w:pStyle w:val="style197"/>
        <w:spacing w:after="0" w:before="0" w:line="360" w:lineRule="auto"/>
      </w:pPr>
      <w:r>
        <w:rPr>
          <w:rFonts w:ascii="Arial" w:cs="Arial" w:hAnsi="Arial"/>
          <w:b/>
          <w:color w:val="000000"/>
        </w:rPr>
      </w:r>
    </w:p>
    <w:p>
      <w:pPr>
        <w:pStyle w:val="style197"/>
        <w:spacing w:after="0" w:before="0" w:line="360" w:lineRule="auto"/>
      </w:pPr>
      <w:r>
        <w:rPr>
          <w:rFonts w:ascii="Arial" w:cs="Arial" w:hAnsi="Arial"/>
          <w:b/>
          <w:color w:val="000000"/>
        </w:rPr>
        <w:t>Validez  del Instrumento</w:t>
      </w:r>
    </w:p>
    <w:p>
      <w:pPr>
        <w:pStyle w:val="style197"/>
        <w:spacing w:after="0" w:before="0" w:line="360" w:lineRule="auto"/>
        <w:jc w:val="both"/>
      </w:pPr>
      <w:r>
        <w:rPr>
          <w:rFonts w:ascii="Arial" w:cs="Arial" w:hAnsi="Arial"/>
          <w:b/>
          <w:color w:val="000000"/>
        </w:rPr>
      </w:r>
    </w:p>
    <w:p>
      <w:pPr>
        <w:pStyle w:val="style197"/>
        <w:spacing w:after="0" w:before="0" w:line="360" w:lineRule="auto"/>
        <w:ind w:firstLine="601" w:left="0" w:right="0"/>
        <w:jc w:val="both"/>
      </w:pPr>
      <w:r>
        <w:rPr>
          <w:rFonts w:ascii="Arial" w:cs="Arial" w:hAnsi="Arial"/>
          <w:color w:val="000000"/>
        </w:rPr>
        <w:t>Según Hurtado (</w:t>
      </w:r>
      <w:r>
        <w:rPr>
          <w:rFonts w:ascii="Arial" w:cs="Arial" w:hAnsi="Arial"/>
          <w:i/>
          <w:iCs/>
          <w:color w:val="252525"/>
          <w:shd w:fill="FFFFFF" w:val="clear"/>
        </w:rPr>
        <w:t>op. cit.</w:t>
      </w:r>
      <w:r>
        <w:rPr>
          <w:rFonts w:ascii="Arial" w:cs="Arial" w:hAnsi="Arial"/>
          <w:color w:val="252525"/>
          <w:shd w:fill="FFFFFF" w:val="clear"/>
        </w:rPr>
        <w:t>,</w:t>
      </w:r>
      <w:r>
        <w:rPr>
          <w:rFonts w:ascii="Arial" w:cs="Arial" w:hAnsi="Arial"/>
          <w:color w:val="000000"/>
        </w:rPr>
        <w:t xml:space="preserve"> 414) comenta que la validez “es el grado en que el instrumento realmente mide lo que pretende medir, mide todo lo que el investigador quiere medir”. Con respecto a los instrumentos de recolección de información anteriormente expuestos, fueron sometidos a una validación con la finalidad de asegurarse que el instrumento realmente mide la variable que se pretende medir.</w:t>
      </w:r>
    </w:p>
    <w:p>
      <w:pPr>
        <w:pStyle w:val="style197"/>
        <w:spacing w:after="0" w:before="0" w:line="360" w:lineRule="auto"/>
        <w:ind w:firstLine="601" w:left="0" w:right="0"/>
        <w:jc w:val="both"/>
      </w:pPr>
      <w:r>
        <w:rPr>
          <w:rFonts w:ascii="Arial" w:cs="Arial" w:hAnsi="Arial"/>
          <w:color w:val="000000"/>
        </w:rPr>
      </w:r>
    </w:p>
    <w:p>
      <w:pPr>
        <w:pStyle w:val="style197"/>
        <w:spacing w:after="0" w:before="0" w:line="360" w:lineRule="auto"/>
        <w:ind w:firstLine="601" w:left="0" w:right="0"/>
        <w:jc w:val="both"/>
      </w:pPr>
      <w:r>
        <w:rPr>
          <w:rFonts w:ascii="Arial" w:cs="Arial" w:hAnsi="Arial"/>
          <w:color w:val="000000"/>
        </w:rPr>
        <w:t>Para esto se utilizaron los criterios de expertos en el área de Finanzas, Contable  y Metodología, quienes juzgaron los ítems en cuanto a calidad, precisión, pertinencia y coherencia, estos dieron a conocer pequeñas observaciones. Las observaciones encontradas fueron con relación a redacción de algunas alternativas de respuestas, los cuales fueron escritos de nuevo, sin tener el instrumento observaciones en cuanto a contenido.</w:t>
      </w:r>
    </w:p>
    <w:p>
      <w:pPr>
        <w:pStyle w:val="style197"/>
        <w:spacing w:after="0" w:before="0" w:line="360" w:lineRule="auto"/>
      </w:pPr>
      <w:r>
        <w:rPr>
          <w:rFonts w:ascii="Arial" w:cs="Arial" w:hAnsi="Arial"/>
          <w:b/>
          <w:bCs/>
          <w:color w:val="000000"/>
        </w:rPr>
      </w:r>
    </w:p>
    <w:p>
      <w:pPr>
        <w:pStyle w:val="style197"/>
        <w:spacing w:after="0" w:before="0" w:line="360" w:lineRule="auto"/>
      </w:pPr>
      <w:r>
        <w:rPr>
          <w:rFonts w:ascii="Arial" w:cs="Arial" w:hAnsi="Arial"/>
          <w:b/>
          <w:bCs/>
          <w:color w:val="000000"/>
        </w:rPr>
        <w:t>Operacionaliación de la Variables</w:t>
      </w:r>
    </w:p>
    <w:p>
      <w:pPr>
        <w:pStyle w:val="style197"/>
        <w:spacing w:after="0" w:before="0" w:line="360" w:lineRule="auto"/>
      </w:pPr>
      <w:r>
        <w:rPr>
          <w:rFonts w:ascii="Arial" w:cs="Arial" w:hAnsi="Arial"/>
          <w:b/>
          <w:bCs/>
          <w:color w:val="000000"/>
        </w:rPr>
      </w:r>
    </w:p>
    <w:p>
      <w:pPr>
        <w:sectPr>
          <w:footerReference r:id="rId25" w:type="default"/>
          <w:type w:val="nextPage"/>
          <w:pgSz w:h="15840" w:w="12240"/>
          <w:pgMar w:bottom="2268" w:footer="709" w:gutter="0" w:header="0" w:left="2268" w:right="1752" w:top="2268"/>
          <w:pgNumType w:fmt="decimal"/>
          <w:formProt w:val="false"/>
          <w:textDirection w:val="lrTb"/>
          <w:docGrid w:charSpace="0" w:linePitch="360" w:type="default"/>
        </w:sectPr>
        <w:pStyle w:val="style197"/>
        <w:spacing w:after="0" w:before="0" w:line="360" w:lineRule="auto"/>
        <w:jc w:val="both"/>
      </w:pPr>
      <w:r>
        <w:rPr>
          <w:sz w:val="23"/>
          <w:szCs w:val="23"/>
        </w:rPr>
        <w:tab/>
      </w:r>
      <w:r>
        <w:rPr>
          <w:rFonts w:ascii="Arial" w:cs="Arial" w:hAnsi="Arial"/>
          <w:szCs w:val="23"/>
        </w:rPr>
        <w:t>Según Malave (2007) la señala “Consiste en la descripción de las dimensiones, los indicadores, los ítems y el número total de forma general, hasta lo particular”</w:t>
      </w:r>
    </w:p>
    <w:p>
      <w:pPr>
        <w:pStyle w:val="style0"/>
        <w:spacing w:after="0" w:before="0" w:line="240" w:lineRule="auto"/>
        <w:ind w:hanging="0" w:left="360" w:right="0"/>
        <w:jc w:val="center"/>
      </w:pPr>
      <w:r>
        <w:rPr>
          <w:rFonts w:ascii="Arial" w:cs="Arial" w:hAnsi="Arial"/>
          <w:b/>
          <w:sz w:val="24"/>
          <w:szCs w:val="24"/>
        </w:rPr>
        <w:t>Cuadro 2</w:t>
      </w:r>
    </w:p>
    <w:p>
      <w:pPr>
        <w:pStyle w:val="style0"/>
        <w:spacing w:after="0" w:before="0" w:line="240" w:lineRule="auto"/>
        <w:ind w:hanging="0" w:left="357" w:right="0"/>
        <w:jc w:val="center"/>
      </w:pPr>
      <w:r>
        <w:rPr>
          <w:rFonts w:ascii="Arial" w:cs="Arial" w:hAnsi="Arial"/>
          <w:b/>
          <w:sz w:val="24"/>
          <w:szCs w:val="24"/>
        </w:rPr>
      </w:r>
    </w:p>
    <w:p>
      <w:pPr>
        <w:pStyle w:val="style0"/>
        <w:spacing w:after="0" w:before="0" w:line="240" w:lineRule="auto"/>
        <w:ind w:hanging="0" w:left="357" w:right="0"/>
        <w:jc w:val="center"/>
      </w:pPr>
      <w:r>
        <w:rPr>
          <w:rFonts w:ascii="Arial" w:cs="Arial" w:hAnsi="Arial"/>
          <w:b/>
          <w:sz w:val="24"/>
          <w:szCs w:val="24"/>
        </w:rPr>
      </w:r>
    </w:p>
    <w:p>
      <w:pPr>
        <w:pStyle w:val="style0"/>
        <w:spacing w:after="0" w:before="0" w:line="240" w:lineRule="auto"/>
        <w:ind w:hanging="0" w:left="360" w:right="0"/>
        <w:jc w:val="center"/>
      </w:pPr>
      <w:r>
        <w:rPr>
          <w:rFonts w:ascii="Arial" w:cs="Arial" w:hAnsi="Arial"/>
          <w:b/>
          <w:sz w:val="24"/>
          <w:szCs w:val="24"/>
        </w:rPr>
        <w:t>OPERACIONALIZACION DE VARIABLE</w:t>
      </w:r>
    </w:p>
    <w:p>
      <w:pPr>
        <w:pStyle w:val="style0"/>
        <w:spacing w:after="0" w:before="0" w:line="240" w:lineRule="auto"/>
        <w:ind w:hanging="0" w:left="357" w:right="0"/>
        <w:jc w:val="center"/>
      </w:pPr>
      <w:r>
        <w:rPr>
          <w:rFonts w:ascii="Arial" w:cs="Arial" w:hAnsi="Arial"/>
          <w:b/>
          <w:sz w:val="24"/>
          <w:szCs w:val="24"/>
        </w:rPr>
      </w:r>
    </w:p>
    <w:p>
      <w:pPr>
        <w:pStyle w:val="style0"/>
        <w:spacing w:after="0" w:before="0" w:line="240" w:lineRule="auto"/>
        <w:ind w:hanging="0" w:left="357" w:right="0"/>
        <w:jc w:val="center"/>
      </w:pPr>
      <w:r>
        <w:rPr>
          <w:rFonts w:ascii="Arial" w:cs="Arial" w:hAnsi="Arial"/>
          <w:b/>
          <w:sz w:val="24"/>
          <w:szCs w:val="24"/>
        </w:rPr>
      </w:r>
    </w:p>
    <w:tbl>
      <w:tblPr>
        <w:jc w:val="left"/>
        <w:tblInd w:type="dxa" w:w="-572"/>
        <w:tblBorders>
          <w:top w:color="000000" w:space="0" w:sz="4" w:val="single"/>
          <w:left w:color="000000" w:space="0" w:sz="4" w:val="single"/>
          <w:bottom w:color="000000" w:space="0" w:sz="4" w:val="single"/>
        </w:tblBorders>
      </w:tblPr>
      <w:tblGrid>
        <w:gridCol w:w="3969"/>
        <w:gridCol w:w="2268"/>
        <w:gridCol w:w="2694"/>
        <w:gridCol w:w="3260"/>
        <w:gridCol w:w="1286"/>
      </w:tblGrid>
      <w:tr>
        <w:trPr>
          <w:cantSplit w:val="false"/>
        </w:trPr>
        <w:tc>
          <w:tcPr>
            <w:tcW w:type="dxa" w:w="3969"/>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spacing w:after="200" w:before="0"/>
              <w:jc w:val="center"/>
            </w:pPr>
            <w:r>
              <w:rPr>
                <w:rFonts w:ascii="Arial" w:cs="Arial" w:hAnsi="Arial"/>
                <w:b/>
                <w:sz w:val="24"/>
                <w:szCs w:val="24"/>
              </w:rPr>
              <w:t>Objetivos Específicos</w:t>
            </w:r>
          </w:p>
        </w:tc>
        <w:tc>
          <w:tcPr>
            <w:tcW w:type="dxa" w:w="2268"/>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spacing w:after="200" w:before="0"/>
              <w:jc w:val="center"/>
            </w:pPr>
            <w:r>
              <w:rPr>
                <w:rFonts w:ascii="Arial" w:cs="Arial" w:hAnsi="Arial"/>
                <w:b/>
                <w:sz w:val="24"/>
                <w:szCs w:val="24"/>
              </w:rPr>
              <w:t>Variable</w:t>
            </w:r>
          </w:p>
        </w:tc>
        <w:tc>
          <w:tcPr>
            <w:tcW w:type="dxa" w:w="2694"/>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spacing w:after="200" w:before="0"/>
              <w:jc w:val="center"/>
            </w:pPr>
            <w:r>
              <w:rPr>
                <w:rFonts w:ascii="Arial" w:cs="Arial" w:hAnsi="Arial"/>
                <w:b/>
                <w:sz w:val="24"/>
                <w:szCs w:val="24"/>
              </w:rPr>
              <w:t>Dimensión</w:t>
            </w:r>
          </w:p>
        </w:tc>
        <w:tc>
          <w:tcPr>
            <w:tcW w:type="dxa" w:w="3260"/>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spacing w:after="200" w:before="0"/>
              <w:jc w:val="center"/>
            </w:pPr>
            <w:r>
              <w:rPr>
                <w:rFonts w:ascii="Arial" w:cs="Arial" w:hAnsi="Arial"/>
                <w:b/>
                <w:sz w:val="24"/>
                <w:szCs w:val="24"/>
              </w:rPr>
              <w:t>Indicadores</w:t>
            </w:r>
          </w:p>
        </w:tc>
        <w:tc>
          <w:tcPr>
            <w:tcW w:type="dxa" w:w="1286"/>
            <w:tcBorders>
              <w:top w:color="000000" w:space="0" w:sz="4" w:val="single"/>
              <w:left w:color="000000" w:space="0" w:sz="4" w:val="single"/>
              <w:bottom w:color="000000" w:space="0" w:sz="4" w:val="single"/>
              <w:right w:color="000000" w:space="0" w:sz="4" w:val="single"/>
            </w:tcBorders>
            <w:shd w:fill="auto" w:val="clear"/>
            <w:tcMar>
              <w:top w:type="dxa" w:w="0"/>
              <w:left w:type="dxa" w:w="108"/>
              <w:bottom w:type="dxa" w:w="0"/>
              <w:right w:type="dxa" w:w="108"/>
            </w:tcMar>
          </w:tcPr>
          <w:p>
            <w:pPr>
              <w:pStyle w:val="style0"/>
              <w:spacing w:after="200" w:before="0"/>
              <w:jc w:val="center"/>
            </w:pPr>
            <w:r>
              <w:rPr>
                <w:rFonts w:ascii="Arial" w:cs="Arial" w:hAnsi="Arial"/>
                <w:b/>
                <w:sz w:val="24"/>
                <w:szCs w:val="24"/>
              </w:rPr>
              <w:t>Ítems</w:t>
            </w:r>
          </w:p>
        </w:tc>
      </w:tr>
      <w:tr>
        <w:trPr>
          <w:trHeight w:hRule="atLeast" w:val="1071"/>
          <w:cantSplit w:val="false"/>
        </w:trPr>
        <w:tc>
          <w:tcPr>
            <w:tcW w:type="dxa" w:w="3969"/>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spacing w:after="200" w:before="0" w:line="360" w:lineRule="auto"/>
              <w:jc w:val="both"/>
            </w:pPr>
            <w:r>
              <w:rPr>
                <w:rFonts w:ascii="Arial" w:cs="Arial" w:hAnsi="Arial"/>
                <w:color w:val="000000"/>
                <w:sz w:val="18"/>
                <w:szCs w:val="24"/>
                <w:lang w:val="es-VE"/>
              </w:rPr>
              <w:t>Diagnosticar</w:t>
            </w:r>
            <w:r>
              <w:rPr>
                <w:rFonts w:ascii="Arial" w:cs="Arial" w:hAnsi="Arial"/>
                <w:sz w:val="18"/>
                <w:szCs w:val="24"/>
                <w:lang w:val="es-VE"/>
              </w:rPr>
              <w:t xml:space="preserve"> el estado actual de los bienes de dominio público </w:t>
            </w:r>
            <w:r>
              <w:rPr>
                <w:rFonts w:ascii="Arial" w:cs="Arial" w:hAnsi="Arial"/>
                <w:bCs/>
                <w:color w:val="333333"/>
                <w:sz w:val="18"/>
                <w:szCs w:val="24"/>
              </w:rPr>
              <w:t xml:space="preserve">en Etapa de Deterioro, </w:t>
            </w:r>
            <w:r>
              <w:rPr>
                <w:rFonts w:ascii="Arial" w:cs="Arial" w:hAnsi="Arial"/>
                <w:sz w:val="18"/>
                <w:szCs w:val="24"/>
              </w:rPr>
              <w:t xml:space="preserve">Obsolescencia y  Corrosión </w:t>
            </w:r>
            <w:r>
              <w:rPr>
                <w:rFonts w:ascii="Arial" w:cs="Arial" w:hAnsi="Arial"/>
                <w:bCs/>
                <w:color w:val="333333"/>
                <w:sz w:val="18"/>
                <w:szCs w:val="24"/>
              </w:rPr>
              <w:t>del Instituto Universitario de Tecnología del Estado  Yaracuy</w:t>
            </w:r>
          </w:p>
        </w:tc>
        <w:tc>
          <w:tcPr>
            <w:tcW w:type="dxa" w:w="2268"/>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spacing w:after="200" w:before="0"/>
              <w:jc w:val="center"/>
            </w:pPr>
            <w:r>
              <w:rPr>
                <w:rFonts w:ascii="Arial" w:cs="Arial" w:hAnsi="Arial"/>
                <w:sz w:val="18"/>
                <w:szCs w:val="24"/>
              </w:rPr>
              <w:t xml:space="preserve">Condiciones actual </w:t>
            </w:r>
          </w:p>
        </w:tc>
        <w:tc>
          <w:tcPr>
            <w:tcW w:type="dxa" w:w="2694"/>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jc w:val="center"/>
            </w:pPr>
            <w:r>
              <w:rPr>
                <w:rFonts w:ascii="Arial" w:cs="Arial" w:hAnsi="Arial"/>
                <w:sz w:val="18"/>
                <w:szCs w:val="24"/>
              </w:rPr>
              <w:t>Bienes de Dominio Publico</w:t>
            </w:r>
          </w:p>
          <w:p>
            <w:pPr>
              <w:pStyle w:val="style0"/>
              <w:spacing w:after="200" w:before="0"/>
              <w:jc w:val="center"/>
            </w:pPr>
            <w:r>
              <w:rPr>
                <w:rFonts w:ascii="Arial" w:cs="Arial" w:hAnsi="Arial"/>
                <w:b/>
                <w:sz w:val="18"/>
                <w:szCs w:val="24"/>
              </w:rPr>
            </w:r>
          </w:p>
        </w:tc>
        <w:tc>
          <w:tcPr>
            <w:tcW w:type="dxa" w:w="3260"/>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jc w:val="both"/>
            </w:pPr>
            <w:r>
              <w:rPr>
                <w:rFonts w:ascii="Arial" w:cs="Arial" w:hAnsi="Arial"/>
                <w:sz w:val="20"/>
                <w:szCs w:val="24"/>
              </w:rPr>
              <w:t>Reducible</w:t>
            </w:r>
          </w:p>
          <w:p>
            <w:pPr>
              <w:pStyle w:val="style0"/>
              <w:jc w:val="both"/>
            </w:pPr>
            <w:r>
              <w:rPr>
                <w:rFonts w:ascii="Arial" w:cs="Arial" w:hAnsi="Arial"/>
                <w:sz w:val="20"/>
                <w:szCs w:val="24"/>
              </w:rPr>
              <w:t>Reutilizable</w:t>
            </w:r>
          </w:p>
          <w:p>
            <w:pPr>
              <w:pStyle w:val="style0"/>
              <w:spacing w:after="200" w:before="0"/>
              <w:jc w:val="both"/>
            </w:pPr>
            <w:r>
              <w:rPr>
                <w:rFonts w:ascii="Arial" w:cs="Arial" w:hAnsi="Arial"/>
                <w:sz w:val="20"/>
                <w:szCs w:val="24"/>
              </w:rPr>
              <w:t>Reciclable</w:t>
            </w:r>
          </w:p>
        </w:tc>
        <w:tc>
          <w:tcPr>
            <w:tcW w:type="dxa" w:w="1286"/>
            <w:tcBorders>
              <w:top w:color="000000" w:space="0" w:sz="4" w:val="single"/>
              <w:left w:color="000000" w:space="0" w:sz="4" w:val="single"/>
              <w:bottom w:color="000000" w:space="0" w:sz="4" w:val="single"/>
              <w:right w:color="000000" w:space="0" w:sz="4" w:val="single"/>
            </w:tcBorders>
            <w:shd w:fill="auto" w:val="clear"/>
            <w:tcMar>
              <w:top w:type="dxa" w:w="0"/>
              <w:left w:type="dxa" w:w="108"/>
              <w:bottom w:type="dxa" w:w="0"/>
              <w:right w:type="dxa" w:w="108"/>
            </w:tcMar>
          </w:tcPr>
          <w:p>
            <w:pPr>
              <w:pStyle w:val="style0"/>
              <w:snapToGrid w:val="false"/>
              <w:jc w:val="center"/>
            </w:pPr>
            <w:r>
              <w:rPr>
                <w:rFonts w:ascii="Arial" w:cs="Arial" w:hAnsi="Arial"/>
                <w:szCs w:val="24"/>
              </w:rPr>
            </w:r>
          </w:p>
          <w:p>
            <w:pPr>
              <w:pStyle w:val="style0"/>
              <w:spacing w:after="200" w:before="0"/>
              <w:jc w:val="center"/>
            </w:pPr>
            <w:r>
              <w:rPr>
                <w:rFonts w:ascii="Arial" w:cs="Arial" w:hAnsi="Arial"/>
                <w:szCs w:val="24"/>
              </w:rPr>
              <w:t>3-5-6-7-12-</w:t>
            </w:r>
          </w:p>
        </w:tc>
      </w:tr>
      <w:tr>
        <w:trPr>
          <w:trHeight w:hRule="atLeast" w:val="268"/>
          <w:cantSplit w:val="false"/>
        </w:trPr>
        <w:tc>
          <w:tcPr>
            <w:tcW w:type="dxa" w:w="3969"/>
            <w:vMerge w:val="restart"/>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spacing w:after="200" w:before="0" w:line="360" w:lineRule="auto"/>
              <w:jc w:val="both"/>
            </w:pPr>
            <w:r>
              <w:rPr>
                <w:rFonts w:ascii="Arial" w:cs="Arial" w:hAnsi="Arial"/>
                <w:color w:val="000000"/>
                <w:sz w:val="18"/>
                <w:szCs w:val="24"/>
                <w:lang w:val="es-VE"/>
              </w:rPr>
              <w:t xml:space="preserve">Identificar  los bienes nacionales </w:t>
            </w:r>
            <w:r>
              <w:rPr>
                <w:rFonts w:ascii="Arial" w:cs="Arial" w:hAnsi="Arial"/>
                <w:bCs/>
                <w:color w:val="000000"/>
                <w:sz w:val="18"/>
                <w:szCs w:val="24"/>
              </w:rPr>
              <w:t xml:space="preserve">en Etapa de Deterioro, </w:t>
            </w:r>
            <w:r>
              <w:rPr>
                <w:rFonts w:ascii="Arial" w:cs="Arial" w:hAnsi="Arial"/>
                <w:color w:val="000000"/>
                <w:sz w:val="18"/>
                <w:szCs w:val="24"/>
              </w:rPr>
              <w:t xml:space="preserve">Obsolescencia y  Corrosión </w:t>
            </w:r>
            <w:r>
              <w:rPr>
                <w:rFonts w:ascii="Arial" w:cs="Arial" w:hAnsi="Arial"/>
                <w:bCs/>
                <w:color w:val="000000"/>
                <w:sz w:val="18"/>
                <w:szCs w:val="24"/>
              </w:rPr>
              <w:t>del Instituto Universitario de Tecnología del Estado  Yaracuy</w:t>
            </w:r>
          </w:p>
        </w:tc>
        <w:tc>
          <w:tcPr>
            <w:tcW w:type="dxa" w:w="2268"/>
            <w:vMerge w:val="restart"/>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spacing w:after="200" w:before="0"/>
              <w:jc w:val="center"/>
            </w:pPr>
            <w:r>
              <w:rPr>
                <w:rFonts w:ascii="Arial" w:cs="Arial" w:hAnsi="Arial"/>
                <w:sz w:val="18"/>
                <w:szCs w:val="24"/>
              </w:rPr>
              <w:t xml:space="preserve">Cuantificar los Bienes Nacionales </w:t>
            </w:r>
          </w:p>
        </w:tc>
        <w:tc>
          <w:tcPr>
            <w:tcW w:type="dxa" w:w="2694"/>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spacing w:after="200" w:before="0"/>
              <w:jc w:val="center"/>
            </w:pPr>
            <w:r>
              <w:rPr>
                <w:rFonts w:ascii="Arial" w:cs="Arial" w:hAnsi="Arial"/>
                <w:sz w:val="18"/>
                <w:szCs w:val="24"/>
              </w:rPr>
              <w:t>Etapa de Deterioro</w:t>
            </w:r>
          </w:p>
        </w:tc>
        <w:tc>
          <w:tcPr>
            <w:tcW w:type="dxa" w:w="3260"/>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spacing w:after="200" w:before="0"/>
              <w:jc w:val="both"/>
            </w:pPr>
            <w:r>
              <w:rPr>
                <w:rFonts w:ascii="Arial" w:cs="Arial" w:hAnsi="Arial"/>
                <w:sz w:val="20"/>
                <w:szCs w:val="24"/>
              </w:rPr>
              <w:t>Cantidad de Bienes en Deterioro</w:t>
            </w:r>
          </w:p>
        </w:tc>
        <w:tc>
          <w:tcPr>
            <w:tcW w:type="dxa" w:w="1286"/>
            <w:vMerge w:val="restart"/>
            <w:tcBorders>
              <w:top w:color="000000" w:space="0" w:sz="4" w:val="single"/>
              <w:left w:color="000000" w:space="0" w:sz="4" w:val="single"/>
              <w:bottom w:color="000000" w:space="0" w:sz="4" w:val="single"/>
              <w:right w:color="000000" w:space="0" w:sz="4" w:val="single"/>
            </w:tcBorders>
            <w:shd w:fill="auto" w:val="clear"/>
            <w:tcMar>
              <w:top w:type="dxa" w:w="0"/>
              <w:left w:type="dxa" w:w="108"/>
              <w:bottom w:type="dxa" w:w="0"/>
              <w:right w:type="dxa" w:w="108"/>
            </w:tcMar>
          </w:tcPr>
          <w:p>
            <w:pPr>
              <w:pStyle w:val="style0"/>
              <w:snapToGrid w:val="false"/>
              <w:jc w:val="center"/>
            </w:pPr>
            <w:r>
              <w:rPr>
                <w:rFonts w:ascii="Arial" w:cs="Arial" w:hAnsi="Arial"/>
                <w:sz w:val="18"/>
                <w:szCs w:val="18"/>
              </w:rPr>
            </w:r>
          </w:p>
          <w:p>
            <w:pPr>
              <w:pStyle w:val="style0"/>
              <w:spacing w:after="200" w:before="0"/>
              <w:jc w:val="center"/>
            </w:pPr>
            <w:r>
              <w:rPr>
                <w:rFonts w:ascii="Arial" w:cs="Arial" w:hAnsi="Arial"/>
                <w:sz w:val="18"/>
                <w:szCs w:val="18"/>
              </w:rPr>
              <w:t>observación</w:t>
            </w:r>
          </w:p>
        </w:tc>
      </w:tr>
      <w:tr>
        <w:trPr>
          <w:trHeight w:hRule="atLeast" w:val="291"/>
          <w:cantSplit w:val="false"/>
        </w:trPr>
        <w:tc>
          <w:tcPr>
            <w:tcW w:type="dxa" w:w="3969"/>
            <w:vMerge w:val="continue"/>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snapToGrid w:val="false"/>
              <w:spacing w:after="200" w:before="0" w:line="360" w:lineRule="auto"/>
              <w:jc w:val="center"/>
            </w:pPr>
            <w:r>
              <w:rPr>
                <w:rFonts w:ascii="Arial" w:cs="Arial" w:hAnsi="Arial"/>
                <w:sz w:val="18"/>
                <w:szCs w:val="24"/>
              </w:rPr>
            </w:r>
          </w:p>
        </w:tc>
        <w:tc>
          <w:tcPr>
            <w:tcW w:type="dxa" w:w="2268"/>
            <w:vMerge w:val="continue"/>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snapToGrid w:val="false"/>
              <w:spacing w:after="200" w:before="0"/>
              <w:jc w:val="center"/>
            </w:pPr>
            <w:r>
              <w:rPr>
                <w:rFonts w:ascii="Arial" w:cs="Arial" w:hAnsi="Arial"/>
                <w:sz w:val="18"/>
                <w:szCs w:val="24"/>
              </w:rPr>
            </w:r>
          </w:p>
        </w:tc>
        <w:tc>
          <w:tcPr>
            <w:tcW w:type="dxa" w:w="2694"/>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spacing w:after="200" w:before="0"/>
              <w:jc w:val="center"/>
            </w:pPr>
            <w:r>
              <w:rPr>
                <w:rFonts w:ascii="Arial" w:cs="Arial" w:hAnsi="Arial"/>
                <w:sz w:val="18"/>
                <w:szCs w:val="24"/>
              </w:rPr>
              <w:t>Etapa de Obsolescencia</w:t>
            </w:r>
          </w:p>
        </w:tc>
        <w:tc>
          <w:tcPr>
            <w:tcW w:type="dxa" w:w="3260"/>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spacing w:after="200" w:before="0"/>
              <w:jc w:val="both"/>
            </w:pPr>
            <w:r>
              <w:rPr>
                <w:rFonts w:ascii="Arial" w:cs="Arial" w:hAnsi="Arial"/>
                <w:sz w:val="20"/>
                <w:szCs w:val="24"/>
              </w:rPr>
              <w:t>Cantidad de Bienes Obsoleto</w:t>
            </w:r>
          </w:p>
        </w:tc>
        <w:tc>
          <w:tcPr>
            <w:tcW w:type="dxa" w:w="1286"/>
            <w:vMerge w:val="continue"/>
            <w:tcBorders>
              <w:top w:color="000000" w:space="0" w:sz="4" w:val="single"/>
              <w:left w:color="000000" w:space="0" w:sz="4" w:val="single"/>
              <w:bottom w:color="000000" w:space="0" w:sz="4" w:val="single"/>
              <w:right w:color="000000" w:space="0" w:sz="4" w:val="single"/>
            </w:tcBorders>
            <w:shd w:fill="auto" w:val="clear"/>
            <w:tcMar>
              <w:top w:type="dxa" w:w="0"/>
              <w:left w:type="dxa" w:w="108"/>
              <w:bottom w:type="dxa" w:w="0"/>
              <w:right w:type="dxa" w:w="108"/>
            </w:tcMar>
          </w:tcPr>
          <w:p>
            <w:pPr>
              <w:pStyle w:val="style0"/>
              <w:snapToGrid w:val="false"/>
              <w:spacing w:after="200" w:before="0"/>
              <w:jc w:val="center"/>
            </w:pPr>
            <w:r>
              <w:rPr>
                <w:rFonts w:ascii="Arial" w:cs="Arial" w:hAnsi="Arial"/>
                <w:szCs w:val="24"/>
              </w:rPr>
            </w:r>
          </w:p>
        </w:tc>
      </w:tr>
      <w:tr>
        <w:trPr>
          <w:trHeight w:hRule="atLeast" w:val="317"/>
          <w:cantSplit w:val="false"/>
        </w:trPr>
        <w:tc>
          <w:tcPr>
            <w:tcW w:type="dxa" w:w="3969"/>
            <w:vMerge w:val="continue"/>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snapToGrid w:val="false"/>
              <w:spacing w:after="200" w:before="0" w:line="360" w:lineRule="auto"/>
              <w:jc w:val="center"/>
            </w:pPr>
            <w:r>
              <w:rPr>
                <w:rFonts w:ascii="Arial" w:cs="Arial" w:hAnsi="Arial"/>
                <w:sz w:val="18"/>
                <w:szCs w:val="24"/>
              </w:rPr>
            </w:r>
          </w:p>
        </w:tc>
        <w:tc>
          <w:tcPr>
            <w:tcW w:type="dxa" w:w="2268"/>
            <w:vMerge w:val="continue"/>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snapToGrid w:val="false"/>
              <w:spacing w:after="200" w:before="0"/>
              <w:jc w:val="center"/>
            </w:pPr>
            <w:r>
              <w:rPr>
                <w:rFonts w:ascii="Arial" w:cs="Arial" w:hAnsi="Arial"/>
                <w:sz w:val="18"/>
                <w:szCs w:val="24"/>
              </w:rPr>
            </w:r>
          </w:p>
        </w:tc>
        <w:tc>
          <w:tcPr>
            <w:tcW w:type="dxa" w:w="2694"/>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spacing w:after="200" w:before="0"/>
              <w:jc w:val="center"/>
            </w:pPr>
            <w:r>
              <w:rPr>
                <w:rFonts w:ascii="Arial" w:cs="Arial" w:hAnsi="Arial"/>
                <w:sz w:val="18"/>
                <w:szCs w:val="24"/>
              </w:rPr>
              <w:t>Etapa de Corrosión</w:t>
            </w:r>
          </w:p>
        </w:tc>
        <w:tc>
          <w:tcPr>
            <w:tcW w:type="dxa" w:w="3260"/>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spacing w:after="200" w:before="0"/>
              <w:jc w:val="both"/>
            </w:pPr>
            <w:r>
              <w:rPr>
                <w:rFonts w:ascii="Arial" w:cs="Arial" w:hAnsi="Arial"/>
                <w:sz w:val="20"/>
                <w:szCs w:val="24"/>
              </w:rPr>
              <w:t>Cantidad Bienes en Corrosión</w:t>
            </w:r>
          </w:p>
        </w:tc>
        <w:tc>
          <w:tcPr>
            <w:tcW w:type="dxa" w:w="1286"/>
            <w:vMerge w:val="continue"/>
            <w:tcBorders>
              <w:top w:color="000000" w:space="0" w:sz="4" w:val="single"/>
              <w:left w:color="000000" w:space="0" w:sz="4" w:val="single"/>
              <w:bottom w:color="000000" w:space="0" w:sz="4" w:val="single"/>
              <w:right w:color="000000" w:space="0" w:sz="4" w:val="single"/>
            </w:tcBorders>
            <w:shd w:fill="auto" w:val="clear"/>
            <w:tcMar>
              <w:top w:type="dxa" w:w="0"/>
              <w:left w:type="dxa" w:w="108"/>
              <w:bottom w:type="dxa" w:w="0"/>
              <w:right w:type="dxa" w:w="108"/>
            </w:tcMar>
          </w:tcPr>
          <w:p>
            <w:pPr>
              <w:pStyle w:val="style0"/>
              <w:snapToGrid w:val="false"/>
              <w:spacing w:after="200" w:before="0"/>
              <w:jc w:val="center"/>
            </w:pPr>
            <w:r>
              <w:rPr>
                <w:rFonts w:ascii="Arial" w:cs="Arial" w:hAnsi="Arial"/>
                <w:szCs w:val="24"/>
              </w:rPr>
            </w:r>
          </w:p>
        </w:tc>
      </w:tr>
      <w:tr>
        <w:trPr>
          <w:trHeight w:hRule="atLeast" w:val="284"/>
          <w:cantSplit w:val="false"/>
        </w:trPr>
        <w:tc>
          <w:tcPr>
            <w:tcW w:type="dxa" w:w="3969"/>
            <w:vMerge w:val="restart"/>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spacing w:after="200" w:before="0" w:line="360" w:lineRule="auto"/>
              <w:jc w:val="both"/>
            </w:pPr>
            <w:r>
              <w:rPr>
                <w:rFonts w:ascii="Arial" w:cs="Arial" w:hAnsi="Arial"/>
                <w:bCs/>
                <w:color w:val="000000"/>
                <w:sz w:val="18"/>
                <w:szCs w:val="24"/>
              </w:rPr>
              <w:t xml:space="preserve">Describir los procedimientos para la desincorporación de los </w:t>
            </w:r>
            <w:r>
              <w:rPr>
                <w:rFonts w:ascii="Arial" w:cs="Arial" w:hAnsi="Arial"/>
                <w:color w:val="000000"/>
                <w:sz w:val="18"/>
                <w:szCs w:val="24"/>
                <w:lang w:val="es-VE"/>
              </w:rPr>
              <w:t>bienes nacionales</w:t>
            </w:r>
            <w:r>
              <w:rPr>
                <w:rFonts w:ascii="Arial" w:cs="Arial" w:hAnsi="Arial"/>
                <w:bCs/>
                <w:color w:val="000000"/>
                <w:sz w:val="18"/>
                <w:szCs w:val="24"/>
              </w:rPr>
              <w:t xml:space="preserve"> en Etapa de Deterioro, </w:t>
            </w:r>
            <w:r>
              <w:rPr>
                <w:rFonts w:ascii="Arial" w:cs="Arial" w:hAnsi="Arial"/>
                <w:color w:val="000000"/>
                <w:sz w:val="18"/>
                <w:szCs w:val="24"/>
              </w:rPr>
              <w:t xml:space="preserve">Obsolescencia y  Corrosión </w:t>
            </w:r>
            <w:r>
              <w:rPr>
                <w:rFonts w:ascii="Arial" w:cs="Arial" w:hAnsi="Arial"/>
                <w:bCs/>
                <w:color w:val="000000"/>
                <w:sz w:val="18"/>
                <w:szCs w:val="24"/>
              </w:rPr>
              <w:t>del Instituto Universitario de Tecnología del Estado  Yaracuy a través de la enajenación, permuta o donación.</w:t>
            </w:r>
          </w:p>
        </w:tc>
        <w:tc>
          <w:tcPr>
            <w:tcW w:type="dxa" w:w="2268"/>
            <w:vMerge w:val="restart"/>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spacing w:after="200" w:before="0"/>
              <w:jc w:val="center"/>
            </w:pPr>
            <w:r>
              <w:rPr>
                <w:rFonts w:ascii="Arial" w:cs="Arial" w:hAnsi="Arial"/>
                <w:sz w:val="18"/>
                <w:szCs w:val="24"/>
              </w:rPr>
              <w:t xml:space="preserve">Procedimientos </w:t>
            </w:r>
          </w:p>
        </w:tc>
        <w:tc>
          <w:tcPr>
            <w:tcW w:type="dxa" w:w="2694"/>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spacing w:after="200" w:before="0"/>
              <w:jc w:val="center"/>
            </w:pPr>
            <w:r>
              <w:rPr>
                <w:rFonts w:ascii="Arial" w:cs="Arial" w:hAnsi="Arial"/>
                <w:sz w:val="18"/>
                <w:szCs w:val="24"/>
              </w:rPr>
              <w:t>Enajenación</w:t>
            </w:r>
          </w:p>
        </w:tc>
        <w:tc>
          <w:tcPr>
            <w:tcW w:type="dxa" w:w="3260"/>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spacing w:after="200" w:before="0"/>
              <w:jc w:val="both"/>
            </w:pPr>
            <w:r>
              <w:rPr>
                <w:rFonts w:ascii="Arial" w:cs="Arial" w:hAnsi="Arial"/>
                <w:sz w:val="20"/>
                <w:szCs w:val="24"/>
              </w:rPr>
              <w:t>Procedimiento para Enajenación</w:t>
            </w:r>
          </w:p>
        </w:tc>
        <w:tc>
          <w:tcPr>
            <w:tcW w:type="dxa" w:w="1286"/>
            <w:tcBorders>
              <w:top w:color="000000" w:space="0" w:sz="4" w:val="single"/>
              <w:left w:color="000000" w:space="0" w:sz="4" w:val="single"/>
              <w:bottom w:color="000000" w:space="0" w:sz="4" w:val="single"/>
              <w:right w:color="000000" w:space="0" w:sz="4" w:val="single"/>
            </w:tcBorders>
            <w:shd w:fill="auto" w:val="clear"/>
            <w:tcMar>
              <w:top w:type="dxa" w:w="0"/>
              <w:left w:type="dxa" w:w="108"/>
              <w:bottom w:type="dxa" w:w="0"/>
              <w:right w:type="dxa" w:w="108"/>
            </w:tcMar>
          </w:tcPr>
          <w:p>
            <w:pPr>
              <w:pStyle w:val="style0"/>
              <w:spacing w:after="200" w:before="0"/>
              <w:jc w:val="center"/>
            </w:pPr>
            <w:r>
              <w:rPr>
                <w:rFonts w:ascii="Arial" w:cs="Arial" w:hAnsi="Arial"/>
                <w:sz w:val="20"/>
                <w:szCs w:val="24"/>
              </w:rPr>
              <w:t>8-11-13-19</w:t>
            </w:r>
          </w:p>
        </w:tc>
      </w:tr>
      <w:tr>
        <w:trPr>
          <w:trHeight w:hRule="atLeast" w:val="486"/>
          <w:cantSplit w:val="false"/>
        </w:trPr>
        <w:tc>
          <w:tcPr>
            <w:tcW w:type="dxa" w:w="3969"/>
            <w:vMerge w:val="continue"/>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snapToGrid w:val="false"/>
              <w:spacing w:after="200" w:before="0"/>
              <w:jc w:val="both"/>
            </w:pPr>
            <w:r>
              <w:rPr>
                <w:rFonts w:ascii="Arial" w:cs="Arial" w:hAnsi="Arial"/>
                <w:sz w:val="18"/>
                <w:szCs w:val="24"/>
              </w:rPr>
            </w:r>
          </w:p>
        </w:tc>
        <w:tc>
          <w:tcPr>
            <w:tcW w:type="dxa" w:w="2268"/>
            <w:vMerge w:val="continue"/>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snapToGrid w:val="false"/>
              <w:spacing w:after="200" w:before="0"/>
              <w:jc w:val="center"/>
            </w:pPr>
            <w:r>
              <w:rPr>
                <w:rFonts w:ascii="Arial" w:cs="Arial" w:hAnsi="Arial"/>
                <w:sz w:val="18"/>
                <w:szCs w:val="24"/>
              </w:rPr>
            </w:r>
          </w:p>
        </w:tc>
        <w:tc>
          <w:tcPr>
            <w:tcW w:type="dxa" w:w="2694"/>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spacing w:after="200" w:before="0"/>
              <w:jc w:val="center"/>
            </w:pPr>
            <w:r>
              <w:rPr>
                <w:rFonts w:ascii="Arial" w:cs="Arial" w:hAnsi="Arial"/>
                <w:sz w:val="18"/>
                <w:szCs w:val="24"/>
              </w:rPr>
              <w:t>Permuta</w:t>
            </w:r>
          </w:p>
        </w:tc>
        <w:tc>
          <w:tcPr>
            <w:tcW w:type="dxa" w:w="3260"/>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spacing w:after="200" w:before="0"/>
              <w:jc w:val="both"/>
            </w:pPr>
            <w:r>
              <w:rPr>
                <w:rFonts w:ascii="Arial" w:cs="Arial" w:hAnsi="Arial"/>
                <w:sz w:val="20"/>
                <w:szCs w:val="24"/>
              </w:rPr>
              <w:t>Procedimiento para Permuta</w:t>
            </w:r>
          </w:p>
        </w:tc>
        <w:tc>
          <w:tcPr>
            <w:tcW w:type="dxa" w:w="1286"/>
            <w:tcBorders>
              <w:top w:color="000000" w:space="0" w:sz="4" w:val="single"/>
              <w:left w:color="000000" w:space="0" w:sz="4" w:val="single"/>
              <w:bottom w:color="000000" w:space="0" w:sz="4" w:val="single"/>
              <w:right w:color="000000" w:space="0" w:sz="4" w:val="single"/>
            </w:tcBorders>
            <w:shd w:fill="auto" w:val="clear"/>
            <w:tcMar>
              <w:top w:type="dxa" w:w="0"/>
              <w:left w:type="dxa" w:w="108"/>
              <w:bottom w:type="dxa" w:w="0"/>
              <w:right w:type="dxa" w:w="108"/>
            </w:tcMar>
          </w:tcPr>
          <w:p>
            <w:pPr>
              <w:pStyle w:val="style0"/>
              <w:spacing w:after="200" w:before="0"/>
              <w:jc w:val="center"/>
            </w:pPr>
            <w:r>
              <w:rPr>
                <w:rFonts w:ascii="Arial" w:cs="Arial" w:hAnsi="Arial"/>
                <w:szCs w:val="24"/>
              </w:rPr>
              <w:t>9</w:t>
            </w:r>
          </w:p>
        </w:tc>
      </w:tr>
      <w:tr>
        <w:trPr>
          <w:trHeight w:hRule="atLeast" w:val="486"/>
          <w:cantSplit w:val="false"/>
        </w:trPr>
        <w:tc>
          <w:tcPr>
            <w:tcW w:type="dxa" w:w="3969"/>
            <w:vMerge w:val="continue"/>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snapToGrid w:val="false"/>
              <w:spacing w:after="200" w:before="0"/>
              <w:jc w:val="both"/>
            </w:pPr>
            <w:r>
              <w:rPr>
                <w:rFonts w:ascii="Arial" w:cs="Arial" w:hAnsi="Arial"/>
                <w:sz w:val="18"/>
                <w:szCs w:val="24"/>
              </w:rPr>
            </w:r>
          </w:p>
        </w:tc>
        <w:tc>
          <w:tcPr>
            <w:tcW w:type="dxa" w:w="2268"/>
            <w:vMerge w:val="continue"/>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snapToGrid w:val="false"/>
              <w:spacing w:after="200" w:before="0"/>
              <w:jc w:val="center"/>
            </w:pPr>
            <w:r>
              <w:rPr>
                <w:rFonts w:ascii="Arial" w:cs="Arial" w:hAnsi="Arial"/>
                <w:sz w:val="18"/>
                <w:szCs w:val="24"/>
              </w:rPr>
            </w:r>
          </w:p>
        </w:tc>
        <w:tc>
          <w:tcPr>
            <w:tcW w:type="dxa" w:w="2694"/>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spacing w:after="200" w:before="0"/>
              <w:jc w:val="center"/>
            </w:pPr>
            <w:r>
              <w:rPr>
                <w:rFonts w:ascii="Arial" w:cs="Arial" w:hAnsi="Arial"/>
                <w:sz w:val="18"/>
                <w:szCs w:val="24"/>
              </w:rPr>
              <w:t>Donación</w:t>
            </w:r>
          </w:p>
        </w:tc>
        <w:tc>
          <w:tcPr>
            <w:tcW w:type="dxa" w:w="3260"/>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spacing w:after="200" w:before="0"/>
              <w:jc w:val="both"/>
            </w:pPr>
            <w:r>
              <w:rPr>
                <w:rFonts w:ascii="Arial" w:cs="Arial" w:hAnsi="Arial"/>
                <w:sz w:val="20"/>
                <w:szCs w:val="24"/>
              </w:rPr>
              <w:t>Procedimiento para Donación</w:t>
            </w:r>
          </w:p>
        </w:tc>
        <w:tc>
          <w:tcPr>
            <w:tcW w:type="dxa" w:w="1286"/>
            <w:tcBorders>
              <w:top w:color="000000" w:space="0" w:sz="4" w:val="single"/>
              <w:left w:color="000000" w:space="0" w:sz="4" w:val="single"/>
              <w:bottom w:color="000000" w:space="0" w:sz="4" w:val="single"/>
              <w:right w:color="000000" w:space="0" w:sz="4" w:val="single"/>
            </w:tcBorders>
            <w:shd w:fill="auto" w:val="clear"/>
            <w:tcMar>
              <w:top w:type="dxa" w:w="0"/>
              <w:left w:type="dxa" w:w="108"/>
              <w:bottom w:type="dxa" w:w="0"/>
              <w:right w:type="dxa" w:w="108"/>
            </w:tcMar>
          </w:tcPr>
          <w:p>
            <w:pPr>
              <w:pStyle w:val="style0"/>
              <w:spacing w:after="200" w:before="0"/>
              <w:jc w:val="center"/>
            </w:pPr>
            <w:r>
              <w:rPr>
                <w:rFonts w:ascii="Arial" w:cs="Arial" w:hAnsi="Arial"/>
                <w:szCs w:val="24"/>
              </w:rPr>
              <w:t>10</w:t>
            </w:r>
          </w:p>
        </w:tc>
      </w:tr>
      <w:tr>
        <w:trPr>
          <w:trHeight w:hRule="atLeast" w:val="486"/>
          <w:cantSplit w:val="false"/>
        </w:trPr>
        <w:tc>
          <w:tcPr>
            <w:tcW w:type="dxa" w:w="3969"/>
            <w:vMerge w:val="continue"/>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snapToGrid w:val="false"/>
              <w:spacing w:after="200" w:before="0"/>
              <w:jc w:val="both"/>
            </w:pPr>
            <w:r>
              <w:rPr>
                <w:rFonts w:ascii="Arial" w:cs="Arial" w:hAnsi="Arial"/>
                <w:sz w:val="18"/>
                <w:szCs w:val="24"/>
              </w:rPr>
            </w:r>
          </w:p>
        </w:tc>
        <w:tc>
          <w:tcPr>
            <w:tcW w:type="dxa" w:w="2268"/>
            <w:vMerge w:val="continue"/>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snapToGrid w:val="false"/>
              <w:spacing w:after="200" w:before="0"/>
              <w:jc w:val="center"/>
            </w:pPr>
            <w:r>
              <w:rPr>
                <w:rFonts w:ascii="Arial" w:cs="Arial" w:hAnsi="Arial"/>
                <w:sz w:val="18"/>
                <w:szCs w:val="24"/>
              </w:rPr>
            </w:r>
          </w:p>
        </w:tc>
        <w:tc>
          <w:tcPr>
            <w:tcW w:type="dxa" w:w="2694"/>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spacing w:after="200" w:before="0"/>
              <w:jc w:val="center"/>
            </w:pPr>
            <w:r>
              <w:rPr>
                <w:rFonts w:ascii="Arial" w:cs="Arial" w:hAnsi="Arial"/>
                <w:sz w:val="18"/>
                <w:szCs w:val="24"/>
              </w:rPr>
              <w:t xml:space="preserve">Sincerar los Estados Financieros   </w:t>
            </w:r>
          </w:p>
        </w:tc>
        <w:tc>
          <w:tcPr>
            <w:tcW w:type="dxa" w:w="3260"/>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jc w:val="both"/>
            </w:pPr>
            <w:r>
              <w:rPr>
                <w:rFonts w:ascii="Arial" w:cs="Arial" w:hAnsi="Arial"/>
                <w:sz w:val="20"/>
                <w:szCs w:val="24"/>
              </w:rPr>
              <w:t xml:space="preserve">Balance General </w:t>
            </w:r>
          </w:p>
          <w:p>
            <w:pPr>
              <w:pStyle w:val="style0"/>
              <w:spacing w:after="200" w:before="0"/>
              <w:jc w:val="both"/>
            </w:pPr>
            <w:r>
              <w:rPr>
                <w:rFonts w:ascii="Arial" w:cs="Arial" w:hAnsi="Arial"/>
                <w:sz w:val="20"/>
                <w:szCs w:val="24"/>
              </w:rPr>
              <w:t xml:space="preserve">Estado de Resultado </w:t>
            </w:r>
          </w:p>
        </w:tc>
        <w:tc>
          <w:tcPr>
            <w:tcW w:type="dxa" w:w="1286"/>
            <w:tcBorders>
              <w:top w:color="000000" w:space="0" w:sz="4" w:val="single"/>
              <w:left w:color="000000" w:space="0" w:sz="4" w:val="single"/>
              <w:bottom w:color="000000" w:space="0" w:sz="4" w:val="single"/>
              <w:right w:color="000000" w:space="0" w:sz="4" w:val="single"/>
            </w:tcBorders>
            <w:shd w:fill="auto" w:val="clear"/>
            <w:tcMar>
              <w:top w:type="dxa" w:w="0"/>
              <w:left w:type="dxa" w:w="108"/>
              <w:bottom w:type="dxa" w:w="0"/>
              <w:right w:type="dxa" w:w="108"/>
            </w:tcMar>
          </w:tcPr>
          <w:p>
            <w:pPr>
              <w:pStyle w:val="style0"/>
              <w:snapToGrid w:val="false"/>
              <w:jc w:val="center"/>
            </w:pPr>
            <w:r>
              <w:rPr>
                <w:rFonts w:ascii="Arial" w:cs="Arial" w:hAnsi="Arial"/>
                <w:szCs w:val="24"/>
              </w:rPr>
            </w:r>
          </w:p>
          <w:p>
            <w:pPr>
              <w:pStyle w:val="style0"/>
              <w:spacing w:after="200" w:before="0"/>
              <w:jc w:val="center"/>
            </w:pPr>
            <w:r>
              <w:rPr>
                <w:rFonts w:ascii="Arial" w:cs="Arial" w:hAnsi="Arial"/>
                <w:szCs w:val="24"/>
              </w:rPr>
              <w:t>1 -2</w:t>
            </w:r>
          </w:p>
        </w:tc>
      </w:tr>
    </w:tbl>
    <w:p>
      <w:pPr>
        <w:pStyle w:val="style0"/>
        <w:spacing w:after="0" w:before="0" w:line="240" w:lineRule="auto"/>
      </w:pPr>
      <w:r>
        <w:rPr>
          <w:rFonts w:ascii="Arial" w:cs="Arial" w:hAnsi="Arial"/>
          <w:color w:val="000000"/>
        </w:rPr>
        <w:t>Fuente: Mendoza (2015)</w:t>
      </w:r>
    </w:p>
    <w:p>
      <w:pPr>
        <w:pStyle w:val="style0"/>
        <w:spacing w:after="0" w:before="0" w:line="240" w:lineRule="auto"/>
        <w:ind w:hanging="0" w:left="360" w:right="0"/>
        <w:jc w:val="center"/>
      </w:pPr>
      <w:r>
        <w:rPr>
          <w:rFonts w:ascii="Arial" w:cs="Arial" w:hAnsi="Arial"/>
          <w:b/>
          <w:sz w:val="24"/>
          <w:szCs w:val="24"/>
        </w:rPr>
        <w:t>Cuadro 3</w:t>
      </w:r>
    </w:p>
    <w:p>
      <w:pPr>
        <w:pStyle w:val="style0"/>
        <w:spacing w:after="0" w:before="0" w:line="240" w:lineRule="auto"/>
        <w:ind w:hanging="0" w:left="360" w:right="0"/>
        <w:jc w:val="center"/>
      </w:pPr>
      <w:r>
        <w:rPr>
          <w:rFonts w:ascii="Arial" w:cs="Arial" w:hAnsi="Arial"/>
          <w:b/>
          <w:sz w:val="24"/>
          <w:szCs w:val="24"/>
        </w:rPr>
      </w:r>
    </w:p>
    <w:p>
      <w:pPr>
        <w:pStyle w:val="style0"/>
        <w:spacing w:after="0" w:before="0" w:line="240" w:lineRule="auto"/>
        <w:ind w:hanging="0" w:left="360" w:right="0"/>
        <w:jc w:val="center"/>
      </w:pPr>
      <w:r>
        <w:rPr>
          <w:rFonts w:ascii="Arial" w:cs="Arial" w:hAnsi="Arial"/>
          <w:b/>
          <w:sz w:val="24"/>
          <w:szCs w:val="24"/>
        </w:rPr>
      </w:r>
    </w:p>
    <w:p>
      <w:pPr>
        <w:pStyle w:val="style0"/>
        <w:spacing w:after="0" w:before="0" w:line="240" w:lineRule="auto"/>
        <w:ind w:hanging="0" w:left="360" w:right="0"/>
        <w:jc w:val="center"/>
      </w:pPr>
      <w:r>
        <w:rPr>
          <w:rFonts w:ascii="Arial" w:cs="Arial" w:hAnsi="Arial"/>
          <w:b/>
          <w:sz w:val="24"/>
          <w:szCs w:val="24"/>
        </w:rPr>
        <w:t>OPERACIONALIZACION DE VARIABLE</w:t>
      </w:r>
    </w:p>
    <w:p>
      <w:pPr>
        <w:pStyle w:val="style0"/>
        <w:spacing w:after="0" w:before="0" w:line="240" w:lineRule="auto"/>
        <w:jc w:val="center"/>
      </w:pPr>
      <w:r>
        <w:rPr>
          <w:rFonts w:ascii="Arial" w:cs="Arial" w:hAnsi="Arial"/>
          <w:b/>
          <w:sz w:val="24"/>
          <w:szCs w:val="24"/>
        </w:rPr>
      </w:r>
    </w:p>
    <w:p>
      <w:pPr>
        <w:pStyle w:val="style0"/>
        <w:spacing w:after="0" w:before="0" w:line="240" w:lineRule="auto"/>
        <w:jc w:val="center"/>
      </w:pPr>
      <w:r>
        <w:rPr>
          <w:rFonts w:ascii="Arial" w:cs="Arial" w:hAnsi="Arial"/>
          <w:b/>
          <w:sz w:val="24"/>
          <w:szCs w:val="24"/>
        </w:rPr>
      </w:r>
    </w:p>
    <w:tbl>
      <w:tblPr>
        <w:jc w:val="left"/>
        <w:tblInd w:type="dxa" w:w="-572"/>
        <w:tblBorders>
          <w:top w:color="000000" w:space="0" w:sz="4" w:val="single"/>
          <w:left w:color="000000" w:space="0" w:sz="4" w:val="single"/>
          <w:bottom w:color="000000" w:space="0" w:sz="4" w:val="single"/>
        </w:tblBorders>
      </w:tblPr>
      <w:tblGrid>
        <w:gridCol w:w="3969"/>
        <w:gridCol w:w="2268"/>
        <w:gridCol w:w="2694"/>
        <w:gridCol w:w="3260"/>
        <w:gridCol w:w="1286"/>
      </w:tblGrid>
      <w:tr>
        <w:trPr>
          <w:cantSplit w:val="false"/>
        </w:trPr>
        <w:tc>
          <w:tcPr>
            <w:tcW w:type="dxa" w:w="3969"/>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spacing w:after="200" w:before="0"/>
              <w:jc w:val="center"/>
            </w:pPr>
            <w:r>
              <w:rPr>
                <w:rFonts w:ascii="Arial" w:cs="Arial" w:hAnsi="Arial"/>
                <w:b/>
                <w:sz w:val="24"/>
                <w:szCs w:val="24"/>
              </w:rPr>
              <w:t>Objetivos Específicos</w:t>
            </w:r>
          </w:p>
        </w:tc>
        <w:tc>
          <w:tcPr>
            <w:tcW w:type="dxa" w:w="2268"/>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spacing w:after="200" w:before="0"/>
              <w:jc w:val="center"/>
            </w:pPr>
            <w:r>
              <w:rPr>
                <w:rFonts w:ascii="Arial" w:cs="Arial" w:hAnsi="Arial"/>
                <w:b/>
                <w:sz w:val="24"/>
                <w:szCs w:val="24"/>
              </w:rPr>
              <w:t>Variable</w:t>
            </w:r>
          </w:p>
        </w:tc>
        <w:tc>
          <w:tcPr>
            <w:tcW w:type="dxa" w:w="2694"/>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spacing w:after="200" w:before="0"/>
              <w:jc w:val="center"/>
            </w:pPr>
            <w:r>
              <w:rPr>
                <w:rFonts w:ascii="Arial" w:cs="Arial" w:hAnsi="Arial"/>
                <w:b/>
                <w:sz w:val="24"/>
                <w:szCs w:val="24"/>
              </w:rPr>
              <w:t>Dimensión</w:t>
            </w:r>
          </w:p>
        </w:tc>
        <w:tc>
          <w:tcPr>
            <w:tcW w:type="dxa" w:w="3260"/>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spacing w:after="200" w:before="0"/>
              <w:jc w:val="center"/>
            </w:pPr>
            <w:r>
              <w:rPr>
                <w:rFonts w:ascii="Arial" w:cs="Arial" w:hAnsi="Arial"/>
                <w:b/>
                <w:sz w:val="24"/>
                <w:szCs w:val="24"/>
              </w:rPr>
              <w:t>Indicadores</w:t>
            </w:r>
          </w:p>
        </w:tc>
        <w:tc>
          <w:tcPr>
            <w:tcW w:type="dxa" w:w="1286"/>
            <w:tcBorders>
              <w:top w:color="000000" w:space="0" w:sz="4" w:val="single"/>
              <w:left w:color="000000" w:space="0" w:sz="4" w:val="single"/>
              <w:bottom w:color="000000" w:space="0" w:sz="4" w:val="single"/>
              <w:right w:color="000000" w:space="0" w:sz="4" w:val="single"/>
            </w:tcBorders>
            <w:shd w:fill="auto" w:val="clear"/>
            <w:tcMar>
              <w:top w:type="dxa" w:w="0"/>
              <w:left w:type="dxa" w:w="108"/>
              <w:bottom w:type="dxa" w:w="0"/>
              <w:right w:type="dxa" w:w="108"/>
            </w:tcMar>
          </w:tcPr>
          <w:p>
            <w:pPr>
              <w:pStyle w:val="style0"/>
              <w:spacing w:after="200" w:before="0"/>
              <w:jc w:val="center"/>
            </w:pPr>
            <w:r>
              <w:rPr>
                <w:rFonts w:ascii="Arial" w:cs="Arial" w:hAnsi="Arial"/>
                <w:b/>
                <w:sz w:val="24"/>
                <w:szCs w:val="24"/>
              </w:rPr>
              <w:t>Ítems</w:t>
            </w:r>
          </w:p>
        </w:tc>
      </w:tr>
      <w:tr>
        <w:trPr>
          <w:trHeight w:hRule="atLeast" w:val="284"/>
          <w:cantSplit w:val="false"/>
        </w:trPr>
        <w:tc>
          <w:tcPr>
            <w:tcW w:type="dxa" w:w="3969"/>
            <w:vMerge w:val="restart"/>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spacing w:after="200" w:before="0" w:line="360" w:lineRule="auto"/>
              <w:jc w:val="both"/>
            </w:pPr>
            <w:r>
              <w:rPr>
                <w:rFonts w:ascii="Arial" w:cs="Arial" w:hAnsi="Arial"/>
                <w:color w:val="000000"/>
                <w:sz w:val="20"/>
                <w:szCs w:val="24"/>
                <w:lang w:val="es-VE"/>
              </w:rPr>
              <w:t xml:space="preserve">Determinar la factibilidad técnica económica y financiera  de las Estrategias financiera  operacional  para la reutilización de los bienes nacionales en estado de </w:t>
            </w:r>
            <w:r>
              <w:rPr>
                <w:rFonts w:ascii="Arial" w:cs="Arial" w:hAnsi="Arial"/>
                <w:sz w:val="20"/>
                <w:szCs w:val="24"/>
                <w:lang w:val="es-VE"/>
              </w:rPr>
              <w:t>corrosión, obsoletos y en deterioro   del Instituto Universitario de Tecnología de Estado  Yaracuy</w:t>
            </w:r>
          </w:p>
        </w:tc>
        <w:tc>
          <w:tcPr>
            <w:tcW w:type="dxa" w:w="2268"/>
            <w:vMerge w:val="restart"/>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spacing w:after="200" w:before="0"/>
              <w:jc w:val="center"/>
            </w:pPr>
            <w:r>
              <w:rPr>
                <w:rFonts w:ascii="Arial" w:cs="Arial" w:hAnsi="Arial"/>
                <w:sz w:val="18"/>
                <w:szCs w:val="24"/>
              </w:rPr>
              <w:t xml:space="preserve">Factibilidad </w:t>
            </w:r>
          </w:p>
        </w:tc>
        <w:tc>
          <w:tcPr>
            <w:tcW w:type="dxa" w:w="2694"/>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spacing w:after="200" w:before="0"/>
              <w:jc w:val="center"/>
            </w:pPr>
            <w:r>
              <w:rPr>
                <w:rFonts w:ascii="Arial" w:cs="Arial" w:hAnsi="Arial"/>
                <w:sz w:val="20"/>
                <w:szCs w:val="24"/>
              </w:rPr>
              <w:t>Técnica</w:t>
            </w:r>
          </w:p>
        </w:tc>
        <w:tc>
          <w:tcPr>
            <w:tcW w:type="dxa" w:w="3260"/>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spacing w:after="200" w:before="0"/>
              <w:jc w:val="both"/>
            </w:pPr>
            <w:r>
              <w:rPr>
                <w:rFonts w:ascii="Arial" w:cs="Arial" w:eastAsia="Arial" w:hAnsi="Arial"/>
                <w:sz w:val="20"/>
                <w:szCs w:val="24"/>
              </w:rPr>
              <w:t xml:space="preserve"> </w:t>
            </w:r>
          </w:p>
        </w:tc>
        <w:tc>
          <w:tcPr>
            <w:tcW w:type="dxa" w:w="1286"/>
            <w:tcBorders>
              <w:top w:color="000000" w:space="0" w:sz="4" w:val="single"/>
              <w:left w:color="000000" w:space="0" w:sz="4" w:val="single"/>
              <w:right w:color="000000" w:space="0" w:sz="4" w:val="single"/>
            </w:tcBorders>
            <w:shd w:fill="auto" w:val="clear"/>
            <w:tcMar>
              <w:top w:type="dxa" w:w="0"/>
              <w:left w:type="dxa" w:w="108"/>
              <w:bottom w:type="dxa" w:w="0"/>
              <w:right w:type="dxa" w:w="108"/>
            </w:tcMar>
          </w:tcPr>
          <w:p>
            <w:pPr>
              <w:pStyle w:val="style0"/>
              <w:snapToGrid w:val="false"/>
              <w:spacing w:after="200" w:before="0"/>
              <w:jc w:val="center"/>
            </w:pPr>
            <w:r>
              <w:rPr>
                <w:rFonts w:ascii="Arial" w:cs="Arial" w:hAnsi="Arial"/>
                <w:szCs w:val="24"/>
              </w:rPr>
            </w:r>
          </w:p>
        </w:tc>
      </w:tr>
      <w:tr>
        <w:trPr>
          <w:trHeight w:hRule="atLeast" w:val="486"/>
          <w:cantSplit w:val="false"/>
        </w:trPr>
        <w:tc>
          <w:tcPr>
            <w:tcW w:type="dxa" w:w="3969"/>
            <w:vMerge w:val="continue"/>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snapToGrid w:val="false"/>
              <w:spacing w:after="200" w:before="0"/>
              <w:jc w:val="both"/>
            </w:pPr>
            <w:r>
              <w:rPr>
                <w:rFonts w:ascii="Arial" w:cs="Arial" w:hAnsi="Arial"/>
                <w:sz w:val="18"/>
                <w:szCs w:val="24"/>
              </w:rPr>
            </w:r>
          </w:p>
        </w:tc>
        <w:tc>
          <w:tcPr>
            <w:tcW w:type="dxa" w:w="2268"/>
            <w:vMerge w:val="continue"/>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snapToGrid w:val="false"/>
              <w:spacing w:after="200" w:before="0"/>
              <w:jc w:val="center"/>
            </w:pPr>
            <w:r>
              <w:rPr>
                <w:rFonts w:ascii="Arial" w:cs="Arial" w:hAnsi="Arial"/>
                <w:sz w:val="18"/>
                <w:szCs w:val="24"/>
              </w:rPr>
            </w:r>
          </w:p>
        </w:tc>
        <w:tc>
          <w:tcPr>
            <w:tcW w:type="dxa" w:w="2694"/>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spacing w:after="200" w:before="0"/>
              <w:jc w:val="center"/>
            </w:pPr>
            <w:r>
              <w:rPr>
                <w:rFonts w:ascii="Arial" w:cs="Arial" w:hAnsi="Arial"/>
                <w:sz w:val="20"/>
                <w:szCs w:val="24"/>
              </w:rPr>
              <w:t>Económica</w:t>
            </w:r>
          </w:p>
        </w:tc>
        <w:tc>
          <w:tcPr>
            <w:tcW w:type="dxa" w:w="3260"/>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spacing w:after="200" w:before="0"/>
              <w:jc w:val="both"/>
            </w:pPr>
            <w:r>
              <w:rPr>
                <w:rFonts w:ascii="Arial" w:cs="Arial" w:eastAsia="Arial" w:hAnsi="Arial"/>
                <w:sz w:val="20"/>
                <w:szCs w:val="24"/>
              </w:rPr>
              <w:t xml:space="preserve"> </w:t>
            </w:r>
          </w:p>
        </w:tc>
        <w:tc>
          <w:tcPr>
            <w:tcW w:type="dxa" w:w="1286"/>
            <w:tcBorders>
              <w:left w:color="000000" w:space="0" w:sz="4" w:val="single"/>
              <w:right w:color="000000" w:space="0" w:sz="4" w:val="single"/>
            </w:tcBorders>
            <w:shd w:fill="auto" w:val="clear"/>
            <w:tcMar>
              <w:top w:type="dxa" w:w="0"/>
              <w:left w:type="dxa" w:w="108"/>
              <w:bottom w:type="dxa" w:w="0"/>
              <w:right w:type="dxa" w:w="108"/>
            </w:tcMar>
          </w:tcPr>
          <w:p>
            <w:pPr>
              <w:pStyle w:val="style0"/>
              <w:spacing w:after="200" w:before="0"/>
              <w:jc w:val="center"/>
            </w:pPr>
            <w:r>
              <w:rPr>
                <w:rFonts w:ascii="Arial" w:cs="Arial" w:hAnsi="Arial"/>
                <w:szCs w:val="24"/>
              </w:rPr>
              <w:t>18</w:t>
            </w:r>
          </w:p>
        </w:tc>
      </w:tr>
      <w:tr>
        <w:trPr>
          <w:trHeight w:hRule="atLeast" w:val="1490"/>
          <w:cantSplit w:val="false"/>
        </w:trPr>
        <w:tc>
          <w:tcPr>
            <w:tcW w:type="dxa" w:w="3969"/>
            <w:vMerge w:val="continue"/>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snapToGrid w:val="false"/>
              <w:spacing w:after="200" w:before="0"/>
              <w:jc w:val="both"/>
            </w:pPr>
            <w:r>
              <w:rPr>
                <w:rFonts w:ascii="Arial" w:cs="Arial" w:hAnsi="Arial"/>
                <w:sz w:val="18"/>
                <w:szCs w:val="24"/>
              </w:rPr>
            </w:r>
          </w:p>
        </w:tc>
        <w:tc>
          <w:tcPr>
            <w:tcW w:type="dxa" w:w="2268"/>
            <w:vMerge w:val="continue"/>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snapToGrid w:val="false"/>
              <w:spacing w:after="200" w:before="0"/>
              <w:jc w:val="center"/>
            </w:pPr>
            <w:r>
              <w:rPr>
                <w:rFonts w:ascii="Arial" w:cs="Arial" w:hAnsi="Arial"/>
                <w:sz w:val="18"/>
                <w:szCs w:val="24"/>
              </w:rPr>
            </w:r>
          </w:p>
        </w:tc>
        <w:tc>
          <w:tcPr>
            <w:tcW w:type="dxa" w:w="2694"/>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spacing w:after="200" w:before="0"/>
              <w:jc w:val="center"/>
            </w:pPr>
            <w:r>
              <w:rPr>
                <w:rFonts w:ascii="Arial" w:cs="Arial" w:hAnsi="Arial"/>
                <w:sz w:val="20"/>
                <w:szCs w:val="24"/>
              </w:rPr>
              <w:t>Financiera</w:t>
            </w:r>
          </w:p>
        </w:tc>
        <w:tc>
          <w:tcPr>
            <w:tcW w:type="dxa" w:w="3260"/>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spacing w:after="200" w:before="0"/>
              <w:jc w:val="both"/>
            </w:pPr>
            <w:r>
              <w:rPr>
                <w:rFonts w:ascii="Arial" w:cs="Arial" w:eastAsia="Arial" w:hAnsi="Arial"/>
                <w:sz w:val="20"/>
                <w:szCs w:val="24"/>
              </w:rPr>
              <w:t xml:space="preserve"> </w:t>
            </w:r>
          </w:p>
        </w:tc>
        <w:tc>
          <w:tcPr>
            <w:tcW w:type="dxa" w:w="1286"/>
            <w:tcBorders>
              <w:left w:color="000000" w:space="0" w:sz="4" w:val="single"/>
              <w:bottom w:color="000000" w:space="0" w:sz="4" w:val="single"/>
              <w:right w:color="000000" w:space="0" w:sz="4" w:val="single"/>
            </w:tcBorders>
            <w:shd w:fill="auto" w:val="clear"/>
            <w:tcMar>
              <w:top w:type="dxa" w:w="0"/>
              <w:left w:type="dxa" w:w="108"/>
              <w:bottom w:type="dxa" w:w="0"/>
              <w:right w:type="dxa" w:w="108"/>
            </w:tcMar>
          </w:tcPr>
          <w:p>
            <w:pPr>
              <w:pStyle w:val="style0"/>
              <w:snapToGrid w:val="false"/>
              <w:spacing w:after="200" w:before="0"/>
              <w:jc w:val="center"/>
            </w:pPr>
            <w:r>
              <w:rPr>
                <w:rFonts w:ascii="Arial" w:cs="Arial" w:hAnsi="Arial"/>
                <w:szCs w:val="24"/>
              </w:rPr>
            </w:r>
          </w:p>
        </w:tc>
      </w:tr>
      <w:tr>
        <w:trPr>
          <w:trHeight w:hRule="atLeast" w:val="486"/>
          <w:cantSplit w:val="false"/>
        </w:trPr>
        <w:tc>
          <w:tcPr>
            <w:tcW w:type="dxa" w:w="3969"/>
            <w:vMerge w:val="restart"/>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autoSpaceDE w:val="false"/>
              <w:spacing w:after="200" w:before="0" w:line="360" w:lineRule="auto"/>
              <w:jc w:val="both"/>
            </w:pPr>
            <w:r>
              <w:rPr>
                <w:rFonts w:ascii="Arial" w:cs="Arial" w:hAnsi="Arial"/>
                <w:sz w:val="18"/>
                <w:szCs w:val="24"/>
                <w:lang w:val="es-VE"/>
              </w:rPr>
              <w:t>Elaborar las estrategias</w:t>
            </w:r>
            <w:r>
              <w:rPr>
                <w:rFonts w:ascii="Arial" w:cs="Arial" w:hAnsi="Arial"/>
                <w:sz w:val="18"/>
                <w:szCs w:val="24"/>
              </w:rPr>
              <w:t xml:space="preserve"> Financiera operacionales </w:t>
            </w:r>
            <w:r>
              <w:rPr>
                <w:rFonts w:ascii="Arial" w:cs="Arial" w:hAnsi="Arial"/>
                <w:sz w:val="18"/>
                <w:szCs w:val="24"/>
                <w:lang w:val="es-VE"/>
              </w:rPr>
              <w:t xml:space="preserve"> </w:t>
            </w:r>
            <w:r>
              <w:rPr>
                <w:rFonts w:ascii="Arial" w:cs="Arial" w:hAnsi="Arial"/>
                <w:sz w:val="18"/>
                <w:szCs w:val="24"/>
              </w:rPr>
              <w:t xml:space="preserve"> </w:t>
            </w:r>
            <w:r>
              <w:rPr>
                <w:rFonts w:ascii="Arial" w:cs="Arial" w:hAnsi="Arial"/>
                <w:sz w:val="18"/>
                <w:szCs w:val="24"/>
                <w:lang w:val="es-VE"/>
              </w:rPr>
              <w:t xml:space="preserve">para la gestión de la desincorporación de los </w:t>
            </w:r>
            <w:r>
              <w:rPr>
                <w:rFonts w:ascii="Arial" w:cs="Arial" w:hAnsi="Arial"/>
                <w:color w:val="000000"/>
                <w:sz w:val="18"/>
                <w:szCs w:val="24"/>
                <w:lang w:val="es-VE"/>
              </w:rPr>
              <w:t xml:space="preserve">bienes nacionales en estado de </w:t>
            </w:r>
            <w:r>
              <w:rPr>
                <w:rFonts w:ascii="Arial" w:cs="Arial" w:hAnsi="Arial"/>
                <w:sz w:val="18"/>
                <w:szCs w:val="24"/>
                <w:lang w:val="es-VE"/>
              </w:rPr>
              <w:t>corrosión, obsoletos y en deterioro   del Instituto Universitario de Tecnología del Estado  Yaracuy</w:t>
            </w:r>
          </w:p>
        </w:tc>
        <w:tc>
          <w:tcPr>
            <w:tcW w:type="dxa" w:w="2268"/>
            <w:vMerge w:val="restart"/>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spacing w:after="200" w:before="0"/>
              <w:jc w:val="center"/>
            </w:pPr>
            <w:r>
              <w:rPr>
                <w:rFonts w:ascii="Arial" w:cs="Arial" w:hAnsi="Arial"/>
                <w:sz w:val="18"/>
                <w:szCs w:val="24"/>
              </w:rPr>
              <w:t xml:space="preserve">Estrategias </w:t>
            </w:r>
          </w:p>
        </w:tc>
        <w:tc>
          <w:tcPr>
            <w:tcW w:type="dxa" w:w="2694"/>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spacing w:after="200" w:before="0"/>
              <w:jc w:val="center"/>
            </w:pPr>
            <w:r>
              <w:rPr>
                <w:rFonts w:ascii="Arial" w:cs="Arial" w:hAnsi="Arial"/>
                <w:sz w:val="18"/>
                <w:szCs w:val="24"/>
              </w:rPr>
              <w:t>Operativas</w:t>
            </w:r>
          </w:p>
        </w:tc>
        <w:tc>
          <w:tcPr>
            <w:tcW w:type="dxa" w:w="3260"/>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spacing w:line="240" w:lineRule="auto"/>
              <w:jc w:val="both"/>
            </w:pPr>
            <w:r>
              <w:rPr>
                <w:rFonts w:ascii="Arial" w:cs="Arial" w:hAnsi="Arial"/>
                <w:sz w:val="20"/>
                <w:szCs w:val="24"/>
              </w:rPr>
              <w:t>Misión Corporativa</w:t>
            </w:r>
          </w:p>
          <w:p>
            <w:pPr>
              <w:pStyle w:val="style0"/>
              <w:spacing w:line="240" w:lineRule="auto"/>
              <w:jc w:val="both"/>
            </w:pPr>
            <w:r>
              <w:rPr>
                <w:rFonts w:ascii="Arial" w:cs="Arial" w:hAnsi="Arial"/>
                <w:sz w:val="20"/>
                <w:szCs w:val="24"/>
              </w:rPr>
              <w:t xml:space="preserve">Visión </w:t>
            </w:r>
          </w:p>
          <w:p>
            <w:pPr>
              <w:pStyle w:val="style0"/>
              <w:spacing w:after="200" w:before="0" w:line="240" w:lineRule="auto"/>
              <w:jc w:val="both"/>
            </w:pPr>
            <w:r>
              <w:rPr>
                <w:rFonts w:ascii="Arial" w:cs="Arial" w:hAnsi="Arial"/>
                <w:sz w:val="20"/>
                <w:szCs w:val="24"/>
              </w:rPr>
              <w:t xml:space="preserve">Valores Corporativos </w:t>
            </w:r>
          </w:p>
        </w:tc>
        <w:tc>
          <w:tcPr>
            <w:tcW w:type="dxa" w:w="1286"/>
            <w:tcBorders>
              <w:top w:color="000000" w:space="0" w:sz="4" w:val="single"/>
              <w:left w:color="000000" w:space="0" w:sz="4" w:val="single"/>
              <w:bottom w:color="000000" w:space="0" w:sz="4" w:val="single"/>
              <w:right w:color="000000" w:space="0" w:sz="4" w:val="single"/>
            </w:tcBorders>
            <w:shd w:fill="auto" w:val="clear"/>
            <w:tcMar>
              <w:top w:type="dxa" w:w="0"/>
              <w:left w:type="dxa" w:w="108"/>
              <w:bottom w:type="dxa" w:w="0"/>
              <w:right w:type="dxa" w:w="108"/>
            </w:tcMar>
          </w:tcPr>
          <w:p>
            <w:pPr>
              <w:pStyle w:val="style0"/>
              <w:snapToGrid w:val="false"/>
              <w:jc w:val="center"/>
            </w:pPr>
            <w:r>
              <w:rPr>
                <w:rFonts w:ascii="Arial" w:cs="Arial" w:hAnsi="Arial"/>
                <w:szCs w:val="24"/>
              </w:rPr>
            </w:r>
          </w:p>
          <w:p>
            <w:pPr>
              <w:pStyle w:val="style0"/>
              <w:spacing w:after="200" w:before="0"/>
              <w:jc w:val="center"/>
            </w:pPr>
            <w:r>
              <w:rPr>
                <w:rFonts w:ascii="Arial" w:cs="Arial" w:hAnsi="Arial"/>
                <w:szCs w:val="24"/>
              </w:rPr>
              <w:t>17-20</w:t>
            </w:r>
          </w:p>
        </w:tc>
      </w:tr>
      <w:tr>
        <w:trPr>
          <w:trHeight w:hRule="atLeast" w:val="486"/>
          <w:cantSplit w:val="false"/>
        </w:trPr>
        <w:tc>
          <w:tcPr>
            <w:tcW w:type="dxa" w:w="3969"/>
            <w:vMerge w:val="continue"/>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snapToGrid w:val="false"/>
              <w:spacing w:after="200" w:before="0"/>
              <w:jc w:val="center"/>
            </w:pPr>
            <w:r>
              <w:rPr>
                <w:rFonts w:ascii="Arial" w:cs="Arial" w:hAnsi="Arial"/>
                <w:sz w:val="18"/>
                <w:szCs w:val="24"/>
              </w:rPr>
            </w:r>
          </w:p>
        </w:tc>
        <w:tc>
          <w:tcPr>
            <w:tcW w:type="dxa" w:w="2268"/>
            <w:vMerge w:val="continue"/>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snapToGrid w:val="false"/>
              <w:spacing w:after="200" w:before="0"/>
              <w:jc w:val="center"/>
            </w:pPr>
            <w:r>
              <w:rPr>
                <w:rFonts w:ascii="Arial" w:cs="Arial" w:hAnsi="Arial"/>
                <w:sz w:val="18"/>
                <w:szCs w:val="24"/>
              </w:rPr>
            </w:r>
          </w:p>
        </w:tc>
        <w:tc>
          <w:tcPr>
            <w:tcW w:type="dxa" w:w="2694"/>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spacing w:after="200" w:before="0"/>
              <w:jc w:val="center"/>
            </w:pPr>
            <w:r>
              <w:rPr>
                <w:rFonts w:ascii="Arial" w:cs="Arial" w:hAnsi="Arial"/>
                <w:sz w:val="18"/>
                <w:szCs w:val="24"/>
              </w:rPr>
              <w:t>Estrategias Empresarial</w:t>
            </w:r>
          </w:p>
        </w:tc>
        <w:tc>
          <w:tcPr>
            <w:tcW w:type="dxa" w:w="3260"/>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spacing w:after="200" w:before="0"/>
              <w:jc w:val="both"/>
            </w:pPr>
            <w:r>
              <w:rPr>
                <w:rFonts w:ascii="Arial" w:cs="Arial" w:hAnsi="Arial"/>
                <w:sz w:val="20"/>
                <w:szCs w:val="24"/>
              </w:rPr>
              <w:t xml:space="preserve">Plan de Acción </w:t>
            </w:r>
          </w:p>
        </w:tc>
        <w:tc>
          <w:tcPr>
            <w:tcW w:type="dxa" w:w="1286"/>
            <w:tcBorders>
              <w:top w:color="000000" w:space="0" w:sz="4" w:val="single"/>
              <w:left w:color="000000" w:space="0" w:sz="4" w:val="single"/>
              <w:bottom w:color="000000" w:space="0" w:sz="4" w:val="single"/>
              <w:right w:color="000000" w:space="0" w:sz="4" w:val="single"/>
            </w:tcBorders>
            <w:shd w:fill="auto" w:val="clear"/>
            <w:tcMar>
              <w:top w:type="dxa" w:w="0"/>
              <w:left w:type="dxa" w:w="108"/>
              <w:bottom w:type="dxa" w:w="0"/>
              <w:right w:type="dxa" w:w="108"/>
            </w:tcMar>
          </w:tcPr>
          <w:p>
            <w:pPr>
              <w:pStyle w:val="style0"/>
              <w:spacing w:after="200" w:before="0"/>
              <w:jc w:val="center"/>
            </w:pPr>
            <w:r>
              <w:rPr>
                <w:rFonts w:ascii="Arial" w:cs="Arial" w:hAnsi="Arial"/>
                <w:szCs w:val="24"/>
              </w:rPr>
              <w:t>14-15</w:t>
            </w:r>
          </w:p>
        </w:tc>
      </w:tr>
      <w:tr>
        <w:trPr>
          <w:trHeight w:hRule="atLeast" w:val="486"/>
          <w:cantSplit w:val="false"/>
        </w:trPr>
        <w:tc>
          <w:tcPr>
            <w:tcW w:type="dxa" w:w="3969"/>
            <w:vMerge w:val="continue"/>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snapToGrid w:val="false"/>
              <w:spacing w:after="200" w:before="0"/>
              <w:jc w:val="center"/>
            </w:pPr>
            <w:r>
              <w:rPr>
                <w:rFonts w:ascii="Arial" w:cs="Arial" w:hAnsi="Arial"/>
                <w:sz w:val="18"/>
                <w:szCs w:val="24"/>
              </w:rPr>
            </w:r>
          </w:p>
        </w:tc>
        <w:tc>
          <w:tcPr>
            <w:tcW w:type="dxa" w:w="2268"/>
            <w:vMerge w:val="continue"/>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snapToGrid w:val="false"/>
              <w:spacing w:after="200" w:before="0"/>
              <w:jc w:val="center"/>
            </w:pPr>
            <w:r>
              <w:rPr>
                <w:rFonts w:ascii="Arial" w:cs="Arial" w:hAnsi="Arial"/>
                <w:sz w:val="18"/>
                <w:szCs w:val="24"/>
              </w:rPr>
            </w:r>
          </w:p>
        </w:tc>
        <w:tc>
          <w:tcPr>
            <w:tcW w:type="dxa" w:w="2694"/>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spacing w:after="200" w:before="0"/>
              <w:jc w:val="center"/>
            </w:pPr>
            <w:r>
              <w:rPr>
                <w:rFonts w:ascii="Arial" w:cs="Arial" w:hAnsi="Arial"/>
                <w:sz w:val="18"/>
                <w:szCs w:val="24"/>
              </w:rPr>
              <w:t>Estrategia Financiera</w:t>
            </w:r>
          </w:p>
        </w:tc>
        <w:tc>
          <w:tcPr>
            <w:tcW w:type="dxa" w:w="3260"/>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spacing w:after="200" w:before="0"/>
              <w:jc w:val="both"/>
            </w:pPr>
            <w:r>
              <w:rPr>
                <w:rFonts w:ascii="Arial" w:cs="Arial" w:hAnsi="Arial"/>
                <w:sz w:val="20"/>
                <w:szCs w:val="24"/>
              </w:rPr>
              <w:t>Recurso</w:t>
            </w:r>
          </w:p>
        </w:tc>
        <w:tc>
          <w:tcPr>
            <w:tcW w:type="dxa" w:w="1286"/>
            <w:tcBorders>
              <w:top w:color="000000" w:space="0" w:sz="4" w:val="single"/>
              <w:left w:color="000000" w:space="0" w:sz="4" w:val="single"/>
              <w:bottom w:color="000000" w:space="0" w:sz="4" w:val="single"/>
              <w:right w:color="000000" w:space="0" w:sz="4" w:val="single"/>
            </w:tcBorders>
            <w:shd w:fill="auto" w:val="clear"/>
            <w:tcMar>
              <w:top w:type="dxa" w:w="0"/>
              <w:left w:type="dxa" w:w="108"/>
              <w:bottom w:type="dxa" w:w="0"/>
              <w:right w:type="dxa" w:w="108"/>
            </w:tcMar>
          </w:tcPr>
          <w:p>
            <w:pPr>
              <w:pStyle w:val="style0"/>
              <w:spacing w:after="200" w:before="0"/>
              <w:jc w:val="center"/>
            </w:pPr>
            <w:r>
              <w:rPr>
                <w:rFonts w:ascii="Arial" w:cs="Arial" w:hAnsi="Arial"/>
                <w:szCs w:val="24"/>
              </w:rPr>
              <w:t>4 -16</w:t>
            </w:r>
          </w:p>
        </w:tc>
      </w:tr>
      <w:tr>
        <w:trPr>
          <w:trHeight w:hRule="atLeast" w:val="486"/>
          <w:cantSplit w:val="false"/>
        </w:trPr>
        <w:tc>
          <w:tcPr>
            <w:tcW w:type="dxa" w:w="3969"/>
            <w:vMerge w:val="continue"/>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snapToGrid w:val="false"/>
              <w:spacing w:after="200" w:before="0"/>
              <w:jc w:val="center"/>
            </w:pPr>
            <w:r>
              <w:rPr>
                <w:rFonts w:ascii="Arial" w:cs="Arial" w:hAnsi="Arial"/>
                <w:sz w:val="18"/>
                <w:szCs w:val="24"/>
              </w:rPr>
            </w:r>
          </w:p>
        </w:tc>
        <w:tc>
          <w:tcPr>
            <w:tcW w:type="dxa" w:w="2268"/>
            <w:vMerge w:val="continue"/>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snapToGrid w:val="false"/>
              <w:spacing w:after="200" w:before="0"/>
              <w:jc w:val="center"/>
            </w:pPr>
            <w:r>
              <w:rPr>
                <w:rFonts w:ascii="Arial" w:cs="Arial" w:hAnsi="Arial"/>
                <w:sz w:val="18"/>
                <w:szCs w:val="24"/>
              </w:rPr>
            </w:r>
          </w:p>
        </w:tc>
        <w:tc>
          <w:tcPr>
            <w:tcW w:type="dxa" w:w="2694"/>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spacing w:after="200" w:before="0"/>
              <w:jc w:val="center"/>
            </w:pPr>
            <w:r>
              <w:rPr>
                <w:rFonts w:ascii="Arial" w:cs="Arial" w:hAnsi="Arial"/>
                <w:sz w:val="18"/>
                <w:szCs w:val="24"/>
              </w:rPr>
              <w:t>Estrategia de Comercialización</w:t>
            </w:r>
          </w:p>
        </w:tc>
        <w:tc>
          <w:tcPr>
            <w:tcW w:type="dxa" w:w="3260"/>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spacing w:after="200" w:before="0"/>
              <w:jc w:val="both"/>
            </w:pPr>
            <w:r>
              <w:rPr>
                <w:rFonts w:ascii="Arial" w:cs="Arial" w:hAnsi="Arial"/>
                <w:sz w:val="20"/>
                <w:szCs w:val="24"/>
              </w:rPr>
              <w:t>Acciones para comercializar los bienes</w:t>
            </w:r>
          </w:p>
        </w:tc>
        <w:tc>
          <w:tcPr>
            <w:tcW w:type="dxa" w:w="1286"/>
            <w:tcBorders>
              <w:top w:color="000000" w:space="0" w:sz="4" w:val="single"/>
              <w:left w:color="000000" w:space="0" w:sz="4" w:val="single"/>
              <w:bottom w:color="000000" w:space="0" w:sz="4" w:val="single"/>
              <w:right w:color="000000" w:space="0" w:sz="4" w:val="single"/>
            </w:tcBorders>
            <w:shd w:fill="auto" w:val="clear"/>
            <w:tcMar>
              <w:top w:type="dxa" w:w="0"/>
              <w:left w:type="dxa" w:w="108"/>
              <w:bottom w:type="dxa" w:w="0"/>
              <w:right w:type="dxa" w:w="108"/>
            </w:tcMar>
          </w:tcPr>
          <w:p>
            <w:pPr>
              <w:pStyle w:val="style0"/>
              <w:spacing w:after="200" w:before="0"/>
              <w:jc w:val="center"/>
            </w:pPr>
            <w:r>
              <w:rPr>
                <w:rFonts w:ascii="Arial" w:cs="Arial" w:hAnsi="Arial"/>
                <w:szCs w:val="24"/>
              </w:rPr>
              <w:t>19</w:t>
            </w:r>
          </w:p>
        </w:tc>
      </w:tr>
    </w:tbl>
    <w:p>
      <w:pPr>
        <w:sectPr>
          <w:footerReference r:id="rId26" w:type="default"/>
          <w:type w:val="nextPage"/>
          <w:pgSz w:h="12240" w:orient="landscape" w:w="15840"/>
          <w:pgMar w:bottom="2268" w:footer="709" w:gutter="0" w:header="0" w:left="2268" w:right="2268" w:top="1752"/>
          <w:pgNumType w:fmt="decimal"/>
          <w:formProt w:val="false"/>
          <w:textDirection w:val="lrTb"/>
          <w:docGrid w:charSpace="0" w:linePitch="360" w:type="default"/>
        </w:sectPr>
        <w:pStyle w:val="style0"/>
        <w:spacing w:after="0" w:before="0" w:line="240" w:lineRule="auto"/>
      </w:pPr>
      <w:r>
        <w:rPr>
          <w:rFonts w:ascii="Arial" w:cs="Arial" w:hAnsi="Arial"/>
          <w:color w:val="000000"/>
        </w:rPr>
        <w:t>Fuente: Mendoza (2015)</w:t>
      </w:r>
    </w:p>
    <w:p>
      <w:pPr>
        <w:pStyle w:val="style197"/>
        <w:spacing w:after="0" w:before="0" w:line="360" w:lineRule="auto"/>
        <w:jc w:val="center"/>
      </w:pPr>
      <w:r>
        <w:rPr>
          <w:rFonts w:ascii="Arial" w:cs="Arial" w:hAnsi="Arial"/>
          <w:b/>
        </w:rPr>
      </w:r>
    </w:p>
    <w:p>
      <w:pPr>
        <w:pStyle w:val="style197"/>
        <w:spacing w:after="0" w:before="0" w:line="360" w:lineRule="auto"/>
        <w:jc w:val="center"/>
      </w:pPr>
      <w:r>
        <w:rPr>
          <w:rFonts w:ascii="Arial" w:cs="Arial" w:hAnsi="Arial"/>
          <w:b/>
        </w:rPr>
      </w:r>
    </w:p>
    <w:p>
      <w:pPr>
        <w:pStyle w:val="style0"/>
        <w:jc w:val="center"/>
      </w:pPr>
      <w:r>
        <w:rPr>
          <w:rFonts w:ascii="Arial" w:cs="Arial" w:hAnsi="Arial"/>
          <w:b/>
        </w:rPr>
        <w:t>CAPÍTULO IV</w:t>
      </w:r>
    </w:p>
    <w:p>
      <w:pPr>
        <w:pStyle w:val="style0"/>
        <w:jc w:val="center"/>
      </w:pPr>
      <w:r>
        <w:rPr>
          <w:rFonts w:ascii="Arial" w:cs="Arial" w:hAnsi="Arial"/>
          <w:b/>
        </w:rPr>
      </w:r>
    </w:p>
    <w:p>
      <w:pPr>
        <w:pStyle w:val="style0"/>
        <w:jc w:val="center"/>
      </w:pPr>
      <w:r>
        <w:rPr>
          <w:rFonts w:ascii="Arial" w:cs="Arial" w:hAnsi="Arial"/>
          <w:b/>
        </w:rPr>
        <w:t>ANÁLISIS E INTERPRETACIÓN DE LOS RESULTADOS</w:t>
      </w:r>
    </w:p>
    <w:p>
      <w:pPr>
        <w:pStyle w:val="style0"/>
        <w:spacing w:line="360" w:lineRule="auto"/>
        <w:jc w:val="both"/>
      </w:pPr>
      <w:r>
        <w:rPr>
          <w:rFonts w:ascii="Arial" w:cs="Arial" w:hAnsi="Arial"/>
        </w:rPr>
      </w:r>
    </w:p>
    <w:p>
      <w:pPr>
        <w:pStyle w:val="style0"/>
        <w:spacing w:line="360" w:lineRule="auto"/>
        <w:jc w:val="both"/>
      </w:pPr>
      <w:r>
        <w:rPr>
          <w:rFonts w:ascii="Arial" w:cs="Arial" w:hAnsi="Arial"/>
        </w:rPr>
        <w:tab/>
      </w:r>
      <w:r>
        <w:rPr>
          <w:rFonts w:ascii="Arial" w:cs="Arial" w:hAnsi="Arial"/>
          <w:sz w:val="24"/>
          <w:szCs w:val="24"/>
        </w:rPr>
        <w:t>En esta parte de la investigación   se desarrolla todo lo concerniente con el análisis de los resultados, partiendo primeramente de la información recabada mediante los instrumentos aplicados a los funcionarios del Instituto Universitario de Tecnología de Yaracuy tales como el cuestionario y la entrevista, los cuales fueron aplicados a la muestra descrita con anterioridad en el capítulo III.</w:t>
      </w:r>
    </w:p>
    <w:p>
      <w:pPr>
        <w:pStyle w:val="style0"/>
        <w:spacing w:line="360" w:lineRule="auto"/>
        <w:jc w:val="both"/>
      </w:pPr>
      <w:r>
        <w:rPr>
          <w:sz w:val="24"/>
          <w:szCs w:val="24"/>
        </w:rPr>
        <w:tab/>
      </w:r>
      <w:r>
        <w:rPr>
          <w:rFonts w:ascii="Arial" w:cs="Arial" w:hAnsi="Arial"/>
          <w:sz w:val="24"/>
          <w:szCs w:val="24"/>
        </w:rPr>
        <w:t>Para el procedimiento y análisis de los resultados obtenidos en los registros tabulados se utilizó la técnica de análisis de distribución de frecuencia la cual representa los datos en forma absoluta y porcentual con sus respectivos gráfico circular, puesto que la misma según lo señala Arias (1999:25)  “En este punto  se describen las distintas operaciones a las que serán sometidos los datos que se obtengan: clasificación, registro, tabulación y codificación si fuera el caso”.</w:t>
      </w:r>
    </w:p>
    <w:p>
      <w:pPr>
        <w:pStyle w:val="style0"/>
        <w:spacing w:line="360" w:lineRule="auto"/>
        <w:jc w:val="both"/>
      </w:pPr>
      <w:r>
        <w:rPr>
          <w:rFonts w:ascii="Arial" w:cs="Arial" w:hAnsi="Arial"/>
          <w:sz w:val="24"/>
          <w:szCs w:val="24"/>
        </w:rPr>
        <w:tab/>
        <w:tab/>
        <w:t>Los resultados se presentan de acuerdo al estudio cuantitativo y cualitativo revelado  en el capitulo anterior, abordando primero   el estudio cuantitativo con su respectivo instrumento  tomando en consideración la variable, la categorías de análisis y los indicadores acorde a cada uno de los objetivos específicos, para posteriormente realizar el análisis porcentual de los resultados a fin de hacer significativa la investigación. Luego se muestra el estudio cualitativo bajo el mismo esquema.</w:t>
      </w:r>
    </w:p>
    <w:p>
      <w:pPr>
        <w:pStyle w:val="style0"/>
        <w:spacing w:line="360" w:lineRule="auto"/>
        <w:jc w:val="both"/>
      </w:pPr>
      <w:r>
        <w:rPr>
          <w:rFonts w:ascii="Arial" w:cs="Arial" w:hAnsi="Arial"/>
          <w:sz w:val="24"/>
          <w:szCs w:val="24"/>
        </w:rPr>
      </w:r>
    </w:p>
    <w:p>
      <w:pPr>
        <w:pStyle w:val="style0"/>
        <w:spacing w:line="360" w:lineRule="auto"/>
        <w:jc w:val="both"/>
      </w:pPr>
      <w:r>
        <w:rPr>
          <w:rFonts w:ascii="Arial" w:cs="Arial" w:hAnsi="Arial"/>
          <w:sz w:val="24"/>
          <w:szCs w:val="24"/>
        </w:rPr>
        <w:tab/>
        <w:t xml:space="preserve">Para realizar el análisis se elaborarán cuadros y gráficos, los cuales se representan mediante frecuencia  y porcentajes para los análisis respectivos. </w:t>
        <w:tab/>
        <w:t>En cuanto a la información esta se proceso electrónicamente, utilizando las herramientas de Microsoft Office (Excel), para tabular las respuestas con la finalidad de obtener los porcentajes que permitieron estudiar y analizar la información.</w:t>
      </w:r>
    </w:p>
    <w:p>
      <w:pPr>
        <w:pStyle w:val="style197"/>
        <w:spacing w:after="0" w:before="0" w:line="360" w:lineRule="auto"/>
        <w:jc w:val="both"/>
      </w:pPr>
      <w:r>
        <w:rPr>
          <w:rFonts w:ascii="Arial" w:cs="Arial" w:hAnsi="Arial"/>
          <w:b/>
          <w:bCs/>
        </w:rPr>
        <w:tab/>
      </w:r>
      <w:r>
        <w:rPr>
          <w:rFonts w:ascii="Arial" w:cs="Arial" w:hAnsi="Arial"/>
          <w:bCs/>
        </w:rPr>
        <w:t>El instrumento de 20 preguntas politómicas, realizado a 19 funcionarios de administrativo del Instituto Universitario de Tecnología de Yaracuy, da respuesta los objetivos específicos 1,2,3 y 4 de la investigación. Una vez tabulado los resultados, producto de la aplicación de la indagación,  se procede al estudio tomando en consideración los indicadores asociados a cada ítem, la información se presenta en gráficos circular, con base a su análisis  representativo de forma porcentual.  Es  recalcar que los ítems no se representan de acuerdo a su orden numérico correlativo del cuestionario, sino en relación a los objetivo especifico que responde y como se presenta en la operacionalización de la variable.</w:t>
      </w:r>
    </w:p>
    <w:p>
      <w:pPr>
        <w:sectPr>
          <w:footerReference r:id="rId27" w:type="default"/>
          <w:type w:val="nextPage"/>
          <w:pgSz w:h="15840" w:w="12240"/>
          <w:pgMar w:bottom="1701" w:footer="709" w:gutter="0" w:header="0" w:left="2268" w:right="1701" w:top="1701"/>
          <w:pgNumType w:fmt="decimal"/>
          <w:formProt w:val="false"/>
          <w:textDirection w:val="lrTb"/>
          <w:docGrid w:charSpace="0" w:linePitch="360" w:type="default"/>
        </w:sectPr>
        <w:pStyle w:val="style197"/>
        <w:spacing w:after="0" w:before="0" w:line="360" w:lineRule="auto"/>
        <w:jc w:val="both"/>
      </w:pPr>
      <w:r>
        <w:rPr>
          <w:rFonts w:ascii="Arial" w:cs="Arial" w:eastAsia="Arial" w:hAnsi="Arial"/>
          <w:bCs/>
        </w:rPr>
        <w:t xml:space="preserve"> </w:t>
      </w:r>
    </w:p>
    <w:p>
      <w:pPr>
        <w:pStyle w:val="style197"/>
        <w:spacing w:after="0" w:before="0" w:line="360" w:lineRule="auto"/>
        <w:jc w:val="both"/>
      </w:pPr>
      <w:r>
        <w:rPr>
          <w:rFonts w:ascii="Arial" w:cs="Arial" w:hAnsi="Arial"/>
          <w:b/>
          <w:bCs/>
        </w:rPr>
        <w:t>Análisis de Cuestionario</w:t>
      </w:r>
      <w:r>
        <w:rPr>
          <w:rFonts w:ascii="Arial" w:cs="Arial" w:hAnsi="Arial"/>
          <w:b/>
          <w:bCs/>
          <w:color w:val="333333"/>
        </w:rPr>
        <w:t>:</w:t>
      </w:r>
    </w:p>
    <w:p>
      <w:pPr>
        <w:pStyle w:val="style197"/>
        <w:spacing w:after="0" w:before="0" w:line="360" w:lineRule="auto"/>
        <w:jc w:val="both"/>
      </w:pPr>
      <w:r>
        <w:rPr>
          <w:rFonts w:ascii="Arial" w:cs="Arial" w:hAnsi="Arial"/>
          <w:b/>
          <w:bCs/>
          <w:color w:val="333333"/>
        </w:rPr>
      </w:r>
    </w:p>
    <w:p>
      <w:pPr>
        <w:pStyle w:val="style197"/>
        <w:spacing w:after="0" w:before="0" w:line="360" w:lineRule="auto"/>
        <w:jc w:val="both"/>
      </w:pPr>
      <w:r>
        <w:rPr>
          <w:rFonts w:ascii="Arial" w:cs="Arial" w:hAnsi="Arial"/>
          <w:b/>
          <w:bCs/>
          <w:i/>
          <w:color w:val="333333"/>
        </w:rPr>
        <w:tab/>
      </w:r>
      <w:r>
        <w:rPr>
          <w:rFonts w:ascii="Arial" w:cs="Arial" w:hAnsi="Arial"/>
          <w:bCs/>
          <w:color w:val="000000"/>
        </w:rPr>
        <w:t xml:space="preserve">En este aspecto se analizan las distintas variables fijadas en el cuadro de operacionalización (tabla 2 y 3) ubicada en el capitulo anterior, donde se identifican cada indicador. </w:t>
      </w:r>
    </w:p>
    <w:p>
      <w:pPr>
        <w:pStyle w:val="style197"/>
        <w:spacing w:after="0" w:before="0" w:line="360" w:lineRule="auto"/>
        <w:jc w:val="both"/>
      </w:pPr>
      <w:r>
        <w:rPr>
          <w:rFonts w:ascii="Arial" w:cs="Arial" w:hAnsi="Arial"/>
          <w:bCs/>
          <w:color w:val="000000"/>
        </w:rPr>
      </w:r>
    </w:p>
    <w:p>
      <w:pPr>
        <w:pStyle w:val="style197"/>
        <w:spacing w:after="0" w:before="0" w:line="360" w:lineRule="auto"/>
        <w:jc w:val="both"/>
      </w:pPr>
      <w:r>
        <w:rPr>
          <w:rFonts w:ascii="Arial" w:cs="Arial" w:hAnsi="Arial"/>
          <w:bCs/>
          <w:color w:val="000000"/>
        </w:rPr>
        <w:tab/>
        <w:t xml:space="preserve"> Para medir esta variable  se plantean  cinco (5) ítems que permite evaluar la opinión de los funcionarios de Instituto Universitario de Tecnología de Yaracuy sobre los bienes nacionales en estado de obsolescencia, corrosión y deterioro de  que los mismos pueden ser reducible, reutilizable y reciclable y otros aspectos que se muestran en otros ítems  </w:t>
      </w:r>
    </w:p>
    <w:p>
      <w:pPr>
        <w:pStyle w:val="style197"/>
        <w:spacing w:after="0" w:before="0" w:line="360" w:lineRule="auto"/>
        <w:jc w:val="both"/>
      </w:pPr>
      <w:r>
        <w:rPr>
          <w:rFonts w:ascii="Arial" w:cs="Arial" w:hAnsi="Arial"/>
          <w:bCs/>
          <w:color w:val="000000"/>
        </w:rPr>
      </w:r>
    </w:p>
    <w:p>
      <w:pPr>
        <w:pStyle w:val="style197"/>
        <w:spacing w:after="0" w:before="0" w:line="360" w:lineRule="auto"/>
        <w:jc w:val="both"/>
      </w:pPr>
      <w:r>
        <w:rPr>
          <w:rFonts w:ascii="Arial" w:cs="Arial" w:hAnsi="Arial"/>
          <w:bCs/>
          <w:color w:val="000000"/>
        </w:rPr>
        <w:tab/>
        <w:t>Estos ítems  exploran el  conocimiento de estos funcionarios en cuanto a la importancia del reciclaje en especial del  metal, así como  los beneficios que estos traerá a la institución tanto económica como ambiental,    además permitirá transmitir a los encuestados  todo lo concerniente a un proceso de enajenación para la desincorporar de la chatarras que tiene el IUTY en sus espacios físicos,  por lo tanto  se hace necesario involucrar a la comunidad universitaria por ser parte de la institución.</w:t>
      </w:r>
    </w:p>
    <w:p>
      <w:pPr>
        <w:pStyle w:val="style197"/>
        <w:spacing w:after="0" w:before="0" w:line="360" w:lineRule="auto"/>
        <w:jc w:val="both"/>
      </w:pPr>
      <w:r>
        <w:rPr>
          <w:rFonts w:ascii="Arial" w:cs="Arial" w:hAnsi="Arial"/>
          <w:bCs/>
          <w:color w:val="000000"/>
        </w:rPr>
      </w:r>
    </w:p>
    <w:p>
      <w:pPr>
        <w:pStyle w:val="style197"/>
        <w:spacing w:after="0" w:before="0" w:line="360" w:lineRule="auto"/>
        <w:jc w:val="both"/>
      </w:pPr>
      <w:r>
        <w:rPr>
          <w:rFonts w:ascii="Arial" w:cs="Arial" w:hAnsi="Arial"/>
          <w:bCs/>
          <w:color w:val="000000"/>
        </w:rPr>
        <w:tab/>
        <w:t xml:space="preserve">Es importante resaltar que este </w:t>
      </w:r>
      <w:r>
        <w:rPr>
          <w:rFonts w:ascii="Arial" w:cs="Arial" w:hAnsi="Arial"/>
        </w:rPr>
        <w:t xml:space="preserve"> cuestionario fue dirigido específicamente al personal administrativo que hace vida en  la Institución y los mismos conocen el día a día que se viven en cada actividad y proceso que la institución  emprende para alcanzar sus objetivos y cristalizar sus metas de manera eficiente y eficaz.</w:t>
      </w:r>
    </w:p>
    <w:p>
      <w:pPr>
        <w:pStyle w:val="style197"/>
        <w:spacing w:after="0" w:before="0" w:line="360" w:lineRule="auto"/>
        <w:jc w:val="both"/>
      </w:pPr>
      <w:r>
        <w:rPr>
          <w:rFonts w:ascii="Arial" w:cs="Arial" w:hAnsi="Arial"/>
        </w:rPr>
      </w:r>
    </w:p>
    <w:p>
      <w:pPr>
        <w:pStyle w:val="style197"/>
        <w:spacing w:after="0" w:before="0" w:line="360" w:lineRule="auto"/>
        <w:jc w:val="both"/>
      </w:pPr>
      <w:r>
        <w:rPr>
          <w:rFonts w:ascii="Arial" w:cs="Arial" w:hAnsi="Arial"/>
          <w:bCs/>
          <w:color w:val="000000"/>
        </w:rPr>
      </w:r>
    </w:p>
    <w:p>
      <w:pPr>
        <w:pStyle w:val="style197"/>
        <w:spacing w:after="0" w:before="0" w:line="360" w:lineRule="auto"/>
        <w:jc w:val="both"/>
      </w:pPr>
      <w:r>
        <w:rPr>
          <w:rFonts w:ascii="Arial" w:cs="Arial" w:hAnsi="Arial"/>
          <w:bCs/>
          <w:color w:val="000000"/>
        </w:rPr>
      </w:r>
    </w:p>
    <w:p>
      <w:pPr>
        <w:pStyle w:val="style196"/>
        <w:spacing w:line="360" w:lineRule="auto"/>
        <w:jc w:val="both"/>
      </w:pPr>
      <w:r>
        <w:rPr>
          <w:rFonts w:ascii="Arial" w:cs="Arial" w:hAnsi="Arial"/>
          <w:sz w:val="24"/>
          <w:szCs w:val="24"/>
          <w:shd w:fill="FFFFFF" w:val="clear"/>
        </w:rPr>
        <w:t>Ítem 1. ¿Los bienes en condición de  Deterioro, obsolescencia y corrosión aún permanecen registrados en los Estados Financieros de la institución como Activo Propiedad, Planta y Equipo?</w:t>
      </w:r>
    </w:p>
    <w:p>
      <w:pPr>
        <w:pStyle w:val="style196"/>
        <w:spacing w:line="360" w:lineRule="auto"/>
        <w:jc w:val="both"/>
      </w:pPr>
      <w:r>
        <w:rPr>
          <w:rFonts w:ascii="Arial" w:cs="Arial" w:hAnsi="Arial"/>
          <w:sz w:val="24"/>
          <w:szCs w:val="24"/>
          <w:shd w:fill="FFFFFF" w:val="clear"/>
        </w:rPr>
      </w:r>
    </w:p>
    <w:tbl>
      <w:tblPr>
        <w:jc w:val="center"/>
        <w:tblBorders>
          <w:top w:color="000000" w:space="0" w:sz="4" w:val="single"/>
          <w:left w:color="000000" w:space="0" w:sz="4" w:val="single"/>
          <w:bottom w:color="000000" w:space="0" w:sz="4" w:val="single"/>
          <w:right w:color="000000" w:space="0" w:sz="4" w:val="single"/>
        </w:tblBorders>
      </w:tblPr>
      <w:tblGrid>
        <w:gridCol w:w="5960"/>
      </w:tblGrid>
      <w:tr>
        <w:trPr>
          <w:trHeight w:hRule="atLeast" w:val="255"/>
          <w:cantSplit w:val="false"/>
        </w:trPr>
        <w:tc>
          <w:tcPr>
            <w:tcW w:type="dxa" w:w="5960"/>
            <w:gridSpan w:val="4"/>
            <w:tcBorders>
              <w:top w:color="000000" w:space="0" w:sz="4" w:val="single"/>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197"/>
              <w:spacing w:after="0" w:before="0" w:line="360" w:lineRule="auto"/>
              <w:jc w:val="center"/>
            </w:pPr>
            <w:r>
              <w:rPr>
                <w:rFonts w:ascii="Arial" w:cs="Arial" w:hAnsi="Arial"/>
                <w:b/>
                <w:shd w:fill="FFFFFF" w:val="clear"/>
              </w:rPr>
              <w:t>Cuadro 4</w:t>
            </w:r>
          </w:p>
          <w:p>
            <w:pPr>
              <w:pStyle w:val="style0"/>
              <w:spacing w:after="200" w:before="0" w:line="360" w:lineRule="auto"/>
              <w:jc w:val="both"/>
            </w:pPr>
            <w:r>
              <w:rPr>
                <w:rFonts w:ascii="Arial" w:cs="Arial" w:hAnsi="Arial"/>
                <w:b/>
                <w:bCs/>
                <w:sz w:val="24"/>
                <w:szCs w:val="24"/>
              </w:rPr>
              <w:t xml:space="preserve">Conocimiento  de la situación de  los  </w:t>
            </w:r>
            <w:r>
              <w:rPr>
                <w:rFonts w:ascii="Arial" w:cs="Arial" w:hAnsi="Arial"/>
                <w:b/>
                <w:sz w:val="24"/>
                <w:szCs w:val="24"/>
                <w:shd w:fill="FFFFFF" w:val="clear"/>
              </w:rPr>
              <w:t>bienes en condición de  deterioro, obsolescencia y corrosión en los Estados Financieros de la institución como Activo Propiedad, Planta y Equipo</w:t>
            </w:r>
          </w:p>
        </w:tc>
      </w:tr>
      <w:tr>
        <w:trPr>
          <w:trHeight w:hRule="atLeast" w:val="255"/>
          <w:cantSplit w:val="false"/>
        </w:trPr>
        <w:tc>
          <w:tcPr>
            <w:tcW w:type="dxa" w:w="991"/>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jc w:val="center"/>
            </w:pPr>
            <w:r>
              <w:rPr>
                <w:rFonts w:ascii="Arial" w:cs="Arial" w:hAnsi="Arial"/>
                <w:b/>
                <w:bCs/>
              </w:rPr>
              <w:t>Ítem</w:t>
            </w:r>
          </w:p>
        </w:tc>
        <w:tc>
          <w:tcPr>
            <w:tcW w:type="dxa" w:w="2102"/>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jc w:val="center"/>
            </w:pPr>
            <w:r>
              <w:rPr>
                <w:rFonts w:ascii="Arial" w:cs="Arial" w:hAnsi="Arial"/>
                <w:b/>
                <w:bCs/>
              </w:rPr>
              <w:t>Opciones  de Repuestas</w:t>
            </w:r>
          </w:p>
        </w:tc>
        <w:tc>
          <w:tcPr>
            <w:tcW w:type="dxa" w:w="1701"/>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jc w:val="center"/>
            </w:pPr>
            <w:r>
              <w:rPr>
                <w:rFonts w:ascii="Arial" w:cs="Arial" w:hAnsi="Arial"/>
                <w:b/>
                <w:bCs/>
              </w:rPr>
              <w:t>Frecuencia</w:t>
            </w:r>
          </w:p>
        </w:tc>
        <w:tc>
          <w:tcPr>
            <w:tcW w:type="dxa" w:w="1166"/>
            <w:tcBorders>
              <w:top w:color="000000" w:space="0" w:sz="4" w:val="single"/>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jc w:val="center"/>
            </w:pPr>
            <w:r>
              <w:rPr>
                <w:rFonts w:ascii="Arial" w:cs="Arial" w:hAnsi="Arial"/>
                <w:b/>
                <w:bCs/>
              </w:rPr>
              <w:t>Valor %</w:t>
            </w:r>
          </w:p>
        </w:tc>
      </w:tr>
      <w:tr>
        <w:trPr>
          <w:trHeight w:hRule="atLeast" w:val="255"/>
          <w:cantSplit w:val="false"/>
        </w:trPr>
        <w:tc>
          <w:tcPr>
            <w:tcW w:type="dxa" w:w="991"/>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jc w:val="center"/>
            </w:pPr>
            <w:r>
              <w:rPr>
                <w:rFonts w:ascii="Arial" w:cs="Arial" w:hAnsi="Arial"/>
                <w:bCs/>
              </w:rPr>
              <w:t>A</w:t>
            </w:r>
          </w:p>
        </w:tc>
        <w:tc>
          <w:tcPr>
            <w:tcW w:type="dxa" w:w="2102"/>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pPr>
            <w:r>
              <w:rPr>
                <w:rFonts w:ascii="Arial" w:cs="Arial" w:hAnsi="Arial"/>
              </w:rPr>
              <w:t>No contestó</w:t>
            </w:r>
          </w:p>
        </w:tc>
        <w:tc>
          <w:tcPr>
            <w:tcW w:type="dxa" w:w="1701"/>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jc w:val="right"/>
            </w:pPr>
            <w:r>
              <w:rPr>
                <w:rFonts w:ascii="Arial" w:cs="Arial" w:hAnsi="Arial"/>
              </w:rPr>
              <w:t>2</w:t>
            </w:r>
          </w:p>
        </w:tc>
        <w:tc>
          <w:tcPr>
            <w:tcW w:type="dxa" w:w="1166"/>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jc w:val="right"/>
            </w:pPr>
            <w:r>
              <w:rPr>
                <w:rFonts w:ascii="Arial" w:cs="Arial" w:hAnsi="Arial"/>
              </w:rPr>
              <w:t>11%</w:t>
            </w:r>
          </w:p>
        </w:tc>
      </w:tr>
      <w:tr>
        <w:trPr>
          <w:trHeight w:hRule="atLeast" w:val="255"/>
          <w:cantSplit w:val="false"/>
        </w:trPr>
        <w:tc>
          <w:tcPr>
            <w:tcW w:type="dxa" w:w="991"/>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jc w:val="center"/>
            </w:pPr>
            <w:r>
              <w:rPr>
                <w:rFonts w:ascii="Arial" w:cs="Arial" w:hAnsi="Arial"/>
              </w:rPr>
              <w:t>B</w:t>
            </w:r>
          </w:p>
        </w:tc>
        <w:tc>
          <w:tcPr>
            <w:tcW w:type="dxa" w:w="2102"/>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pPr>
            <w:r>
              <w:rPr>
                <w:rFonts w:ascii="Arial" w:cs="Arial" w:hAnsi="Arial"/>
              </w:rPr>
              <w:t>Siempre</w:t>
            </w:r>
          </w:p>
        </w:tc>
        <w:tc>
          <w:tcPr>
            <w:tcW w:type="dxa" w:w="1701"/>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jc w:val="right"/>
            </w:pPr>
            <w:r>
              <w:rPr>
                <w:rFonts w:ascii="Arial" w:cs="Arial" w:hAnsi="Arial"/>
              </w:rPr>
              <w:t>12</w:t>
            </w:r>
          </w:p>
        </w:tc>
        <w:tc>
          <w:tcPr>
            <w:tcW w:type="dxa" w:w="1166"/>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jc w:val="right"/>
            </w:pPr>
            <w:r>
              <w:rPr>
                <w:rFonts w:ascii="Arial" w:cs="Arial" w:hAnsi="Arial"/>
              </w:rPr>
              <w:t>63%</w:t>
            </w:r>
          </w:p>
        </w:tc>
      </w:tr>
      <w:tr>
        <w:trPr>
          <w:trHeight w:hRule="atLeast" w:val="255"/>
          <w:cantSplit w:val="false"/>
        </w:trPr>
        <w:tc>
          <w:tcPr>
            <w:tcW w:type="dxa" w:w="991"/>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jc w:val="center"/>
            </w:pPr>
            <w:r>
              <w:rPr>
                <w:rFonts w:ascii="Arial" w:cs="Arial" w:hAnsi="Arial"/>
              </w:rPr>
              <w:t>C</w:t>
            </w:r>
          </w:p>
        </w:tc>
        <w:tc>
          <w:tcPr>
            <w:tcW w:type="dxa" w:w="2102"/>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pPr>
            <w:r>
              <w:rPr>
                <w:rFonts w:ascii="Arial" w:cs="Arial" w:hAnsi="Arial"/>
              </w:rPr>
              <w:t>Casi siempre</w:t>
            </w:r>
          </w:p>
        </w:tc>
        <w:tc>
          <w:tcPr>
            <w:tcW w:type="dxa" w:w="1701"/>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jc w:val="right"/>
            </w:pPr>
            <w:r>
              <w:rPr>
                <w:rFonts w:ascii="Arial" w:cs="Arial" w:hAnsi="Arial"/>
              </w:rPr>
              <w:t>5</w:t>
            </w:r>
          </w:p>
        </w:tc>
        <w:tc>
          <w:tcPr>
            <w:tcW w:type="dxa" w:w="1166"/>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jc w:val="right"/>
            </w:pPr>
            <w:r>
              <w:rPr>
                <w:rFonts w:ascii="Arial" w:cs="Arial" w:hAnsi="Arial"/>
              </w:rPr>
              <w:t>26%</w:t>
            </w:r>
          </w:p>
        </w:tc>
      </w:tr>
      <w:tr>
        <w:trPr>
          <w:trHeight w:hRule="atLeast" w:val="255"/>
          <w:cantSplit w:val="false"/>
        </w:trPr>
        <w:tc>
          <w:tcPr>
            <w:tcW w:type="dxa" w:w="991"/>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jc w:val="center"/>
            </w:pPr>
            <w:r>
              <w:rPr>
                <w:rFonts w:ascii="Arial" w:cs="Arial" w:hAnsi="Arial"/>
              </w:rPr>
              <w:t>D</w:t>
            </w:r>
          </w:p>
        </w:tc>
        <w:tc>
          <w:tcPr>
            <w:tcW w:type="dxa" w:w="2102"/>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pPr>
            <w:r>
              <w:rPr>
                <w:rFonts w:ascii="Arial" w:cs="Arial" w:hAnsi="Arial"/>
              </w:rPr>
              <w:t>A veces</w:t>
            </w:r>
          </w:p>
        </w:tc>
        <w:tc>
          <w:tcPr>
            <w:tcW w:type="dxa" w:w="1701"/>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jc w:val="right"/>
            </w:pPr>
            <w:r>
              <w:rPr>
                <w:rFonts w:ascii="Arial" w:cs="Arial" w:hAnsi="Arial"/>
              </w:rPr>
              <w:t>0</w:t>
            </w:r>
          </w:p>
        </w:tc>
        <w:tc>
          <w:tcPr>
            <w:tcW w:type="dxa" w:w="1166"/>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jc w:val="right"/>
            </w:pPr>
            <w:r>
              <w:rPr>
                <w:rFonts w:ascii="Arial" w:cs="Arial" w:hAnsi="Arial"/>
              </w:rPr>
              <w:t>0%</w:t>
            </w:r>
          </w:p>
        </w:tc>
      </w:tr>
      <w:tr>
        <w:trPr>
          <w:trHeight w:hRule="atLeast" w:val="255"/>
          <w:cantSplit w:val="false"/>
        </w:trPr>
        <w:tc>
          <w:tcPr>
            <w:tcW w:type="dxa" w:w="991"/>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jc w:val="center"/>
            </w:pPr>
            <w:r>
              <w:rPr>
                <w:rFonts w:ascii="Arial" w:cs="Arial" w:hAnsi="Arial"/>
              </w:rPr>
              <w:t>E</w:t>
            </w:r>
          </w:p>
        </w:tc>
        <w:tc>
          <w:tcPr>
            <w:tcW w:type="dxa" w:w="2102"/>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pPr>
            <w:r>
              <w:rPr>
                <w:rFonts w:ascii="Arial" w:cs="Arial" w:hAnsi="Arial"/>
              </w:rPr>
              <w:t>Casi Nunca</w:t>
            </w:r>
          </w:p>
        </w:tc>
        <w:tc>
          <w:tcPr>
            <w:tcW w:type="dxa" w:w="1701"/>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jc w:val="right"/>
            </w:pPr>
            <w:r>
              <w:rPr>
                <w:rFonts w:ascii="Arial" w:cs="Arial" w:hAnsi="Arial"/>
              </w:rPr>
              <w:t>0</w:t>
            </w:r>
          </w:p>
        </w:tc>
        <w:tc>
          <w:tcPr>
            <w:tcW w:type="dxa" w:w="1166"/>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jc w:val="right"/>
            </w:pPr>
            <w:r>
              <w:rPr>
                <w:rFonts w:ascii="Arial" w:cs="Arial" w:hAnsi="Arial"/>
              </w:rPr>
              <w:t>0%</w:t>
            </w:r>
          </w:p>
        </w:tc>
      </w:tr>
      <w:tr>
        <w:trPr>
          <w:trHeight w:hRule="atLeast" w:val="255"/>
          <w:cantSplit w:val="false"/>
        </w:trPr>
        <w:tc>
          <w:tcPr>
            <w:tcW w:type="dxa" w:w="991"/>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jc w:val="center"/>
            </w:pPr>
            <w:r>
              <w:rPr>
                <w:rFonts w:ascii="Arial" w:cs="Arial" w:hAnsi="Arial"/>
              </w:rPr>
              <w:t>F</w:t>
            </w:r>
          </w:p>
        </w:tc>
        <w:tc>
          <w:tcPr>
            <w:tcW w:type="dxa" w:w="2102"/>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pPr>
            <w:r>
              <w:rPr>
                <w:rFonts w:ascii="Arial" w:cs="Arial" w:hAnsi="Arial"/>
              </w:rPr>
              <w:t>Nunca</w:t>
            </w:r>
          </w:p>
        </w:tc>
        <w:tc>
          <w:tcPr>
            <w:tcW w:type="dxa" w:w="1701"/>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jc w:val="right"/>
            </w:pPr>
            <w:r>
              <w:rPr>
                <w:rFonts w:ascii="Arial" w:cs="Arial" w:hAnsi="Arial"/>
              </w:rPr>
              <w:t>0</w:t>
            </w:r>
          </w:p>
        </w:tc>
        <w:tc>
          <w:tcPr>
            <w:tcW w:type="dxa" w:w="1166"/>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jc w:val="right"/>
            </w:pPr>
            <w:r>
              <w:rPr>
                <w:rFonts w:ascii="Arial" w:cs="Arial" w:hAnsi="Arial"/>
              </w:rPr>
              <w:t>0%</w:t>
            </w:r>
          </w:p>
        </w:tc>
      </w:tr>
      <w:tr>
        <w:trPr>
          <w:trHeight w:hRule="atLeast" w:val="255"/>
          <w:cantSplit w:val="false"/>
        </w:trPr>
        <w:tc>
          <w:tcPr>
            <w:tcW w:type="dxa" w:w="991"/>
            <w:tcBorders>
              <w:top w:color="000000" w:space="0" w:sz="4" w:val="single"/>
            </w:tcBorders>
            <w:shd w:fill="auto" w:val="clear"/>
            <w:tcMar>
              <w:top w:type="dxa" w:w="0"/>
              <w:left w:type="dxa" w:w="70"/>
              <w:bottom w:type="dxa" w:w="0"/>
              <w:right w:type="dxa" w:w="70"/>
            </w:tcMar>
            <w:vAlign w:val="bottom"/>
          </w:tcPr>
          <w:p>
            <w:pPr>
              <w:pStyle w:val="style0"/>
              <w:snapToGrid w:val="false"/>
              <w:spacing w:after="200" w:before="0"/>
              <w:jc w:val="center"/>
            </w:pPr>
            <w:r>
              <w:rPr>
                <w:rFonts w:ascii="Arial" w:cs="Arial" w:hAnsi="Arial"/>
                <w:lang w:eastAsia="es-VE" w:val="es-VE"/>
              </w:rPr>
            </w:r>
          </w:p>
        </w:tc>
        <w:p>
          <w:pPr>
            <w:pStyle w:val="style0"/>
            <w:spacing w:after="200" w:before="0"/>
          </w:pPr>
          <w:r>
            <w:rPr>
              <w:rFonts w:ascii="Arial" w:cs="Arial" w:hAnsi="Arial"/>
            </w:rPr>
            <w:t>Fuente: Mendoza (2015)</w:t>
          </w:r>
        </w:p>
        <w:tc>
          <w:tcPr>
            <w:tcW w:type="dxa" w:w="2102"/>
            <w:tcBorders>
              <w:top w:color="000000" w:space="0" w:sz="4" w:val="single"/>
            </w:tcBorders>
            <w:shd w:fill="auto" w:val="clear"/>
            <w:tcMar>
              <w:top w:type="dxa" w:w="0"/>
              <w:left w:type="dxa" w:w="70"/>
              <w:bottom w:type="dxa" w:w="0"/>
              <w:right w:type="dxa" w:w="70"/>
            </w:tcMar>
            <w:vAlign w:val="bottom"/>
          </w:tcPr>
          <w:p>
            <w:pPr>
              <w:pStyle w:val="style0"/>
              <w:snapToGrid w:val="false"/>
              <w:spacing w:after="200" w:before="0"/>
            </w:pPr>
            <w:r>
              <w:rPr>
                <w:rFonts w:ascii="Arial" w:cs="Arial" w:hAnsi="Arial"/>
              </w:rPr>
            </w:r>
          </w:p>
        </w:tc>
        <w:tc>
          <w:tcPr>
            <w:tcW w:type="dxa" w:w="1701"/>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jc w:val="right"/>
            </w:pPr>
            <w:r>
              <w:rPr>
                <w:rFonts w:ascii="Arial" w:cs="Arial" w:hAnsi="Arial"/>
              </w:rPr>
              <w:t>19</w:t>
            </w:r>
          </w:p>
        </w:tc>
        <w:tc>
          <w:tcPr>
            <w:tcW w:type="dxa" w:w="1166"/>
            <w:tcBorders>
              <w:top w:color="000000" w:space="0" w:sz="4" w:val="single"/>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jc w:val="right"/>
            </w:pPr>
            <w:r>
              <w:rPr>
                <w:rFonts w:ascii="Arial" w:cs="Arial" w:hAnsi="Arial"/>
              </w:rPr>
              <w:t>100%</w:t>
            </w:r>
          </w:p>
        </w:tc>
      </w:tr>
    </w:tbl>
    <w:p>
      <w:pPr>
        <w:pStyle w:val="style196"/>
        <w:spacing w:line="360" w:lineRule="auto"/>
        <w:jc w:val="both"/>
      </w:pPr>
      <w:r>
        <w:rPr>
          <w:rFonts w:ascii="Arial" w:cs="Arial" w:eastAsia="Arial" w:hAnsi="Arial"/>
          <w:sz w:val="24"/>
          <w:szCs w:val="24"/>
          <w:shd w:fill="FFFFFF" w:val="clear"/>
        </w:rPr>
        <w:t xml:space="preserve"> </w:t>
      </w:r>
    </w:p>
    <w:p>
      <w:pPr>
        <w:pStyle w:val="style196"/>
        <w:spacing w:line="360" w:lineRule="auto"/>
        <w:jc w:val="both"/>
      </w:pPr>
      <w:r>
        <w:rPr>
          <w:rFonts w:ascii="Arial" w:cs="Arial" w:hAnsi="Arial"/>
          <w:sz w:val="24"/>
          <w:szCs w:val="24"/>
          <w:shd w:fill="FFFFFF" w:val="clear"/>
          <w:lang w:eastAsia="es-VE" w:val="es-VE"/>
        </w:rPr>
        <w:drawing>
          <wp:inline distB="0" distL="0" distR="0" distT="0">
            <wp:extent cx="4761230" cy="2989580"/>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28"/>
                    <a:srcRect/>
                    <a:stretch>
                      <a:fillRect/>
                    </a:stretch>
                  </pic:blipFill>
                  <pic:spPr bwMode="auto">
                    <a:xfrm>
                      <a:off x="0" y="0"/>
                      <a:ext cx="4761230" cy="2989580"/>
                    </a:xfrm>
                    <a:prstGeom prst="rect">
                      <a:avLst/>
                    </a:prstGeom>
                    <a:noFill/>
                    <a:ln w="9525">
                      <a:noFill/>
                      <a:miter lim="800000"/>
                      <a:headEnd/>
                      <a:tailEnd/>
                    </a:ln>
                  </pic:spPr>
                </pic:pic>
              </a:graphicData>
            </a:graphic>
          </wp:inline>
        </w:drawing>
      </w:r>
    </w:p>
    <w:p>
      <w:pPr>
        <w:pStyle w:val="style0"/>
        <w:spacing w:after="200" w:before="0"/>
      </w:pPr>
      <w:r>
        <w:rPr>
          <w:rFonts w:ascii="Arial" w:cs="Arial" w:hAnsi="Arial"/>
        </w:rPr>
        <w:t>Fuente: Mendoza (2015)</w:t>
      </w:r>
    </w:p>
    <w:p>
      <w:pPr>
        <w:pStyle w:val="style197"/>
        <w:spacing w:after="0" w:before="0"/>
        <w:jc w:val="both"/>
      </w:pPr>
      <w:r>
        <w:rPr>
          <w:rFonts w:ascii="Arial" w:cs="Arial" w:hAnsi="Arial"/>
          <w:b/>
          <w:bCs/>
          <w:color w:val="333333"/>
        </w:rPr>
        <w:t xml:space="preserve">Gráfico 1  </w:t>
      </w:r>
      <w:r>
        <w:rPr>
          <w:rFonts w:ascii="Arial" w:cs="Arial" w:hAnsi="Arial"/>
          <w:b/>
          <w:bCs/>
        </w:rPr>
        <w:t xml:space="preserve">Conocimiento  de la situación de  los  </w:t>
      </w:r>
      <w:r>
        <w:rPr>
          <w:rFonts w:ascii="Arial" w:cs="Arial" w:hAnsi="Arial"/>
          <w:b/>
          <w:shd w:fill="FFFFFF" w:val="clear"/>
        </w:rPr>
        <w:t>bienes en condición de  deterioro, obsolescencia y corrosión en los Estados Financieros de la institución como Activo Propiedad, Planta y Equipo</w:t>
      </w:r>
      <w:r>
        <w:rPr>
          <w:rFonts w:ascii="Arial" w:cs="Arial" w:hAnsi="Arial"/>
          <w:b/>
          <w:bCs/>
          <w:color w:val="333333"/>
        </w:rPr>
        <w:t xml:space="preserve"> </w:t>
      </w:r>
    </w:p>
    <w:p>
      <w:pPr>
        <w:pStyle w:val="style197"/>
        <w:spacing w:after="0" w:before="0"/>
        <w:jc w:val="both"/>
      </w:pPr>
      <w:r>
        <w:rPr>
          <w:rFonts w:ascii="Arial" w:cs="Arial" w:hAnsi="Arial"/>
          <w:bCs/>
          <w:color w:val="333333"/>
        </w:rPr>
      </w:r>
    </w:p>
    <w:p>
      <w:pPr>
        <w:pStyle w:val="style197"/>
        <w:spacing w:after="0" w:before="0" w:line="360" w:lineRule="auto"/>
        <w:jc w:val="both"/>
      </w:pPr>
      <w:r>
        <w:rPr>
          <w:rFonts w:ascii="Arial" w:cs="Arial" w:hAnsi="Arial"/>
          <w:b/>
          <w:bCs/>
        </w:rPr>
        <w:t>Análisis:</w:t>
      </w:r>
      <w:r>
        <w:rPr>
          <w:rFonts w:ascii="Arial" w:cs="Arial" w:hAnsi="Arial"/>
          <w:bCs/>
        </w:rPr>
        <w:t xml:space="preserve"> En el cuadro y gráfico se demuestra que el 63% de los encuestados afirma que los bienes en estado de obsolescencia y deterioro aun permanece reflejados en los estados financieros y en los inventarios porque aun no han sido desincorporada aunque su vida útil fue consumida en su totalidad, mientras un 26% opinó que siempre están dentro de los estados financieros y un 11 % no respondió por desconocer la información.</w:t>
      </w:r>
    </w:p>
    <w:p>
      <w:pPr>
        <w:pStyle w:val="style197"/>
        <w:spacing w:after="0" w:before="0" w:line="360" w:lineRule="auto"/>
        <w:jc w:val="both"/>
      </w:pPr>
      <w:r>
        <w:rPr>
          <w:rFonts w:ascii="Arial" w:cs="Arial" w:hAnsi="Arial"/>
          <w:bCs/>
        </w:rPr>
        <w:tab/>
      </w:r>
      <w:r>
        <w:rPr>
          <w:rFonts w:ascii="Arial" w:cs="Arial" w:hAnsi="Arial"/>
          <w:bCs/>
          <w:color w:val="000000"/>
        </w:rPr>
        <w:t xml:space="preserve">Es importante destacar que los </w:t>
      </w:r>
      <w:r>
        <w:rPr>
          <w:rFonts w:ascii="Arial" w:cs="Arial" w:hAnsi="Arial"/>
          <w:color w:val="000000"/>
        </w:rPr>
        <w:t xml:space="preserve"> registros contables son los elementos físicos en el cual se conservan los datos relacionados con las operaciones de la empresa, caso IUTY aparecen reflejado en los Estados Financieros pero parte de sus  comprobantes o facturas física de estos bienes, no se encuentran,  según la  institución solo se  estaba utilizando en su momento autorizaciones de parte de las Autoridades Nacionales  competentes  para poder transitar por el país.</w:t>
      </w:r>
    </w:p>
    <w:p>
      <w:pPr>
        <w:pStyle w:val="style197"/>
        <w:spacing w:after="0" w:before="0" w:line="360" w:lineRule="auto"/>
        <w:jc w:val="both"/>
      </w:pPr>
      <w:r>
        <w:rPr>
          <w:rFonts w:ascii="Arial" w:cs="Arial" w:hAnsi="Arial"/>
          <w:color w:val="000000"/>
        </w:rPr>
        <w:tab/>
        <w:t>Estos bienes se encuentran reflejados en los Estados Financieros en los Activos Fijos no corriente en sus efectos en las partidas Propiedad Planta y Equipos.</w:t>
      </w:r>
    </w:p>
    <w:p>
      <w:pPr>
        <w:pStyle w:val="style197"/>
        <w:spacing w:after="0" w:before="0" w:line="360" w:lineRule="auto"/>
        <w:jc w:val="both"/>
      </w:pPr>
      <w:r>
        <w:rPr>
          <w:rFonts w:ascii="Calibri" w:cs="Calibri" w:hAnsi="Calibri"/>
          <w:color w:val="000000"/>
        </w:rPr>
        <w:tab/>
      </w:r>
      <w:r>
        <w:rPr>
          <w:rFonts w:ascii="Arial" w:cs="Arial" w:hAnsi="Arial"/>
          <w:color w:val="000000"/>
        </w:rPr>
        <w:t xml:space="preserve">En este orden de idea en el resumen  la NIIF 16 establece que  las propiedades, planta y equipo son los activos tangibles que: </w:t>
      </w:r>
    </w:p>
    <w:p>
      <w:pPr>
        <w:pStyle w:val="style197"/>
        <w:numPr>
          <w:ilvl w:val="0"/>
          <w:numId w:val="11"/>
        </w:numPr>
        <w:spacing w:after="0" w:before="0" w:line="360" w:lineRule="auto"/>
        <w:jc w:val="both"/>
      </w:pPr>
      <w:r>
        <w:rPr>
          <w:rFonts w:ascii="Arial" w:cs="Arial" w:hAnsi="Arial"/>
          <w:color w:val="000000"/>
        </w:rPr>
        <w:t>posee una entidad para su uso en la producción o suministro de bienes y servicios, para arrendarlos a terceros o para propósitos administrativos; y</w:t>
      </w:r>
    </w:p>
    <w:p>
      <w:pPr>
        <w:pStyle w:val="style197"/>
        <w:numPr>
          <w:ilvl w:val="0"/>
          <w:numId w:val="11"/>
        </w:numPr>
        <w:spacing w:after="0" w:before="0" w:line="360" w:lineRule="auto"/>
        <w:jc w:val="both"/>
      </w:pPr>
      <w:r>
        <w:rPr>
          <w:rFonts w:ascii="Arial" w:cs="Arial" w:hAnsi="Arial"/>
          <w:color w:val="000000"/>
        </w:rPr>
        <w:t>se esperan usar durante más de un periodo</w:t>
      </w:r>
    </w:p>
    <w:p>
      <w:pPr>
        <w:pStyle w:val="style197"/>
        <w:spacing w:after="0" w:before="0" w:line="360" w:lineRule="auto"/>
        <w:jc w:val="both"/>
      </w:pPr>
      <w:r>
        <w:rPr>
          <w:rFonts w:ascii="Arial" w:cs="Arial" w:hAnsi="Arial"/>
        </w:rPr>
        <w:tab/>
        <w:t>Un elemento de propiedades, planta y equipo deberá reconocerse como activo si, y sólo si</w:t>
      </w:r>
      <w:r>
        <w:rPr>
          <w:rFonts w:ascii="Arial" w:cs="Arial" w:hAnsi="Arial"/>
          <w:color w:val="000000"/>
        </w:rPr>
        <w:t>:</w:t>
      </w:r>
    </w:p>
    <w:p>
      <w:pPr>
        <w:pStyle w:val="style197"/>
        <w:numPr>
          <w:ilvl w:val="0"/>
          <w:numId w:val="42"/>
        </w:numPr>
        <w:spacing w:after="0" w:before="0" w:line="360" w:lineRule="auto"/>
        <w:jc w:val="both"/>
      </w:pPr>
      <w:r>
        <w:rPr>
          <w:rFonts w:ascii="Arial" w:cs="Arial" w:hAnsi="Arial"/>
        </w:rPr>
        <w:t xml:space="preserve">sea probable que la entidad obtenga los beneficios económicos futuros derivados del mismo; y </w:t>
      </w:r>
    </w:p>
    <w:p>
      <w:pPr>
        <w:pStyle w:val="style197"/>
        <w:numPr>
          <w:ilvl w:val="0"/>
          <w:numId w:val="42"/>
        </w:numPr>
        <w:spacing w:after="0" w:before="0" w:line="360" w:lineRule="auto"/>
        <w:jc w:val="both"/>
      </w:pPr>
      <w:r>
        <w:rPr>
          <w:rFonts w:ascii="Arial" w:cs="Arial" w:eastAsia="Arial" w:hAnsi="Arial"/>
        </w:rPr>
        <w:t xml:space="preserve"> </w:t>
      </w:r>
      <w:r>
        <w:rPr>
          <w:rFonts w:ascii="Arial" w:cs="Arial" w:hAnsi="Arial"/>
        </w:rPr>
        <w:t>el costo del activo para la entidad pueda ser valorado con fiabilidad. (p.1)</w:t>
      </w:r>
    </w:p>
    <w:p>
      <w:pPr>
        <w:pStyle w:val="style197"/>
        <w:spacing w:after="0" w:before="0" w:line="360" w:lineRule="auto"/>
        <w:jc w:val="both"/>
      </w:pPr>
      <w:r>
        <w:rPr>
          <w:rFonts w:ascii="Arial" w:cs="Arial" w:hAnsi="Arial"/>
        </w:rPr>
        <w:tab/>
        <w:t xml:space="preserve">Mientras que los Estados Financieros es considerada por muchos autores como  la fotocopia instantánea de la situación real de una organización u empresa. </w:t>
      </w:r>
    </w:p>
    <w:p>
      <w:pPr>
        <w:pStyle w:val="style197"/>
        <w:pageBreakBefore/>
        <w:spacing w:after="0" w:before="0" w:line="360" w:lineRule="auto"/>
        <w:jc w:val="both"/>
      </w:pPr>
      <w:r>
        <w:rPr>
          <w:rFonts w:ascii="Arial" w:cs="Arial" w:hAnsi="Arial"/>
          <w:bCs/>
        </w:rPr>
        <w:t>Ítem 2.</w:t>
      </w:r>
      <w:r>
        <w:rPr>
          <w:rStyle w:val="style168"/>
          <w:rFonts w:ascii="Arial" w:cs="Arial" w:hAnsi="Arial"/>
          <w:color w:val="262626"/>
          <w:shd w:fill="FFFFFF" w:val="clear"/>
        </w:rPr>
        <w:t xml:space="preserve"> ¿</w:t>
      </w:r>
      <w:r>
        <w:rPr>
          <w:rFonts w:ascii="Arial" w:cs="Arial" w:hAnsi="Arial"/>
          <w:szCs w:val="20"/>
          <w:shd w:fill="FFFFFF" w:val="clear"/>
        </w:rPr>
        <w:t>Está</w:t>
      </w:r>
      <w:r>
        <w:rPr>
          <w:rFonts w:ascii="Arial" w:cs="Arial" w:hAnsi="Arial"/>
          <w:sz w:val="32"/>
          <w:szCs w:val="20"/>
          <w:shd w:fill="FFFFFF" w:val="clear"/>
        </w:rPr>
        <w:t xml:space="preserve"> </w:t>
      </w:r>
      <w:r>
        <w:rPr>
          <w:rFonts w:ascii="Arial" w:cs="Arial" w:hAnsi="Arial"/>
          <w:szCs w:val="20"/>
          <w:shd w:fill="FFFFFF" w:val="clear"/>
        </w:rPr>
        <w:t>Usted de acuerdo que se depuren  los Estados Financieros de la Institución con respecto a los Bienes Nacionales en estado de Deterioro, obsolescencia y corrosión</w:t>
      </w:r>
      <w:r>
        <w:rPr>
          <w:rFonts w:ascii="Arial" w:cs="Arial" w:hAnsi="Arial"/>
          <w:sz w:val="20"/>
          <w:szCs w:val="20"/>
        </w:rPr>
        <w:t>?</w:t>
      </w:r>
    </w:p>
    <w:p>
      <w:pPr>
        <w:pStyle w:val="style196"/>
        <w:spacing w:line="360" w:lineRule="auto"/>
        <w:jc w:val="both"/>
      </w:pPr>
      <w:r>
        <w:rPr>
          <w:rFonts w:ascii="Arial" w:cs="Arial" w:hAnsi="Arial"/>
          <w:sz w:val="20"/>
          <w:szCs w:val="20"/>
        </w:rPr>
      </w:r>
    </w:p>
    <w:tbl>
      <w:tblPr>
        <w:jc w:val="center"/>
        <w:tblBorders>
          <w:top w:color="000000" w:space="0" w:sz="4" w:val="single"/>
          <w:left w:color="000000" w:space="0" w:sz="4" w:val="single"/>
          <w:bottom w:color="000000" w:space="0" w:sz="4" w:val="single"/>
          <w:right w:color="000000" w:space="0" w:sz="4" w:val="single"/>
        </w:tblBorders>
      </w:tblPr>
      <w:tblGrid>
        <w:gridCol w:w="6301"/>
      </w:tblGrid>
      <w:tr>
        <w:trPr>
          <w:trHeight w:hRule="atLeast" w:val="255"/>
          <w:cantSplit w:val="false"/>
        </w:trPr>
        <w:tc>
          <w:tcPr>
            <w:tcW w:type="dxa" w:w="6301"/>
            <w:gridSpan w:val="4"/>
            <w:tcBorders>
              <w:top w:color="000000" w:space="0" w:sz="4" w:val="single"/>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197"/>
              <w:spacing w:after="0" w:before="0" w:line="360" w:lineRule="auto"/>
              <w:jc w:val="center"/>
            </w:pPr>
            <w:r>
              <w:rPr>
                <w:rFonts w:ascii="Arial" w:cs="Arial" w:hAnsi="Arial"/>
                <w:b/>
                <w:shd w:fill="FFFFFF" w:val="clear"/>
              </w:rPr>
              <w:t>Cuadro 5</w:t>
            </w:r>
          </w:p>
          <w:p>
            <w:pPr>
              <w:pStyle w:val="style0"/>
              <w:spacing w:after="200" w:before="0" w:line="360" w:lineRule="auto"/>
              <w:jc w:val="both"/>
            </w:pPr>
            <w:r>
              <w:rPr>
                <w:rFonts w:ascii="Arial" w:cs="Arial" w:hAnsi="Arial"/>
                <w:b/>
                <w:bCs/>
                <w:sz w:val="24"/>
                <w:szCs w:val="24"/>
              </w:rPr>
              <w:t xml:space="preserve">Consulta  sobre la depuración de </w:t>
            </w:r>
            <w:r>
              <w:rPr>
                <w:rFonts w:ascii="Arial" w:cs="Arial" w:hAnsi="Arial"/>
                <w:b/>
                <w:sz w:val="24"/>
                <w:szCs w:val="20"/>
                <w:shd w:fill="FFFFFF" w:val="clear"/>
              </w:rPr>
              <w:t>los Estados Financieros de la Institución con respecto a los Bienes Nacionales en estado de Deterioro, obsolescencia y corrosión</w:t>
            </w:r>
          </w:p>
        </w:tc>
      </w:tr>
      <w:tr>
        <w:trPr>
          <w:trHeight w:hRule="atLeast" w:val="255"/>
          <w:cantSplit w:val="false"/>
        </w:trPr>
        <w:tc>
          <w:tcPr>
            <w:tcW w:type="dxa" w:w="1200"/>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jc w:val="center"/>
            </w:pPr>
            <w:r>
              <w:rPr>
                <w:rFonts w:ascii="Arial" w:cs="Arial" w:hAnsi="Arial"/>
                <w:b/>
                <w:bCs/>
              </w:rPr>
              <w:t>Ítem</w:t>
            </w:r>
          </w:p>
        </w:tc>
        <w:tc>
          <w:tcPr>
            <w:tcW w:type="dxa" w:w="1997"/>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jc w:val="center"/>
            </w:pPr>
            <w:r>
              <w:rPr>
                <w:rFonts w:ascii="Arial" w:cs="Arial" w:hAnsi="Arial"/>
                <w:b/>
                <w:bCs/>
              </w:rPr>
              <w:t>Opciones  de Repuestas</w:t>
            </w:r>
          </w:p>
        </w:tc>
        <w:tc>
          <w:tcPr>
            <w:tcW w:type="dxa" w:w="1714"/>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jc w:val="center"/>
            </w:pPr>
            <w:r>
              <w:rPr>
                <w:rFonts w:ascii="Arial" w:cs="Arial" w:hAnsi="Arial"/>
                <w:b/>
                <w:bCs/>
              </w:rPr>
              <w:t>Frecuencia</w:t>
            </w:r>
          </w:p>
        </w:tc>
        <w:tc>
          <w:tcPr>
            <w:tcW w:type="dxa" w:w="1390"/>
            <w:tcBorders>
              <w:top w:color="000000" w:space="0" w:sz="4" w:val="single"/>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jc w:val="center"/>
            </w:pPr>
            <w:r>
              <w:rPr>
                <w:rFonts w:ascii="Arial" w:cs="Arial" w:hAnsi="Arial"/>
                <w:b/>
                <w:bCs/>
              </w:rPr>
              <w:t>Valor %</w:t>
            </w:r>
          </w:p>
        </w:tc>
      </w:tr>
      <w:tr>
        <w:trPr>
          <w:trHeight w:hRule="atLeast" w:val="255"/>
          <w:cantSplit w:val="false"/>
        </w:trPr>
        <w:tc>
          <w:tcPr>
            <w:tcW w:type="dxa" w:w="120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szCs w:val="20"/>
              </w:rPr>
              <w:t>A</w:t>
            </w:r>
          </w:p>
        </w:tc>
        <w:tc>
          <w:tcPr>
            <w:tcW w:type="dxa" w:w="1997"/>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szCs w:val="20"/>
              </w:rPr>
              <w:t>No contestó</w:t>
            </w:r>
          </w:p>
        </w:tc>
        <w:tc>
          <w:tcPr>
            <w:tcW w:type="dxa" w:w="1714"/>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szCs w:val="20"/>
              </w:rPr>
              <w:t>0</w:t>
            </w:r>
          </w:p>
        </w:tc>
        <w:tc>
          <w:tcPr>
            <w:tcW w:type="dxa" w:w="139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szCs w:val="20"/>
              </w:rPr>
              <w:t>0%</w:t>
            </w:r>
          </w:p>
        </w:tc>
      </w:tr>
      <w:tr>
        <w:trPr>
          <w:trHeight w:hRule="atLeast" w:val="255"/>
          <w:cantSplit w:val="false"/>
        </w:trPr>
        <w:tc>
          <w:tcPr>
            <w:tcW w:type="dxa" w:w="120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szCs w:val="20"/>
              </w:rPr>
              <w:t>B</w:t>
            </w:r>
          </w:p>
        </w:tc>
        <w:tc>
          <w:tcPr>
            <w:tcW w:type="dxa" w:w="1997"/>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szCs w:val="20"/>
              </w:rPr>
              <w:t>Siempre</w:t>
            </w:r>
          </w:p>
        </w:tc>
        <w:tc>
          <w:tcPr>
            <w:tcW w:type="dxa" w:w="1714"/>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szCs w:val="20"/>
              </w:rPr>
              <w:t>19</w:t>
            </w:r>
          </w:p>
        </w:tc>
        <w:tc>
          <w:tcPr>
            <w:tcW w:type="dxa" w:w="139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szCs w:val="20"/>
              </w:rPr>
              <w:t>100%</w:t>
            </w:r>
          </w:p>
        </w:tc>
      </w:tr>
      <w:tr>
        <w:trPr>
          <w:trHeight w:hRule="atLeast" w:val="255"/>
          <w:cantSplit w:val="false"/>
        </w:trPr>
        <w:tc>
          <w:tcPr>
            <w:tcW w:type="dxa" w:w="120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szCs w:val="20"/>
              </w:rPr>
              <w:t>C</w:t>
            </w:r>
          </w:p>
        </w:tc>
        <w:tc>
          <w:tcPr>
            <w:tcW w:type="dxa" w:w="1997"/>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szCs w:val="20"/>
              </w:rPr>
              <w:t>Casi siempre</w:t>
            </w:r>
          </w:p>
        </w:tc>
        <w:tc>
          <w:tcPr>
            <w:tcW w:type="dxa" w:w="1714"/>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szCs w:val="20"/>
              </w:rPr>
              <w:t>0</w:t>
            </w:r>
          </w:p>
        </w:tc>
        <w:tc>
          <w:tcPr>
            <w:tcW w:type="dxa" w:w="139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szCs w:val="20"/>
              </w:rPr>
              <w:t>0%</w:t>
            </w:r>
          </w:p>
        </w:tc>
      </w:tr>
      <w:tr>
        <w:trPr>
          <w:trHeight w:hRule="atLeast" w:val="255"/>
          <w:cantSplit w:val="false"/>
        </w:trPr>
        <w:tc>
          <w:tcPr>
            <w:tcW w:type="dxa" w:w="120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szCs w:val="20"/>
              </w:rPr>
              <w:t>D</w:t>
            </w:r>
          </w:p>
        </w:tc>
        <w:tc>
          <w:tcPr>
            <w:tcW w:type="dxa" w:w="1997"/>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szCs w:val="20"/>
              </w:rPr>
              <w:t>A veces</w:t>
            </w:r>
          </w:p>
        </w:tc>
        <w:tc>
          <w:tcPr>
            <w:tcW w:type="dxa" w:w="1714"/>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szCs w:val="20"/>
              </w:rPr>
              <w:t>0</w:t>
            </w:r>
          </w:p>
        </w:tc>
        <w:tc>
          <w:tcPr>
            <w:tcW w:type="dxa" w:w="139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szCs w:val="20"/>
              </w:rPr>
              <w:t>0%</w:t>
            </w:r>
          </w:p>
        </w:tc>
      </w:tr>
      <w:tr>
        <w:trPr>
          <w:trHeight w:hRule="atLeast" w:val="255"/>
          <w:cantSplit w:val="false"/>
        </w:trPr>
        <w:tc>
          <w:tcPr>
            <w:tcW w:type="dxa" w:w="120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szCs w:val="20"/>
              </w:rPr>
              <w:t>E</w:t>
            </w:r>
          </w:p>
        </w:tc>
        <w:tc>
          <w:tcPr>
            <w:tcW w:type="dxa" w:w="1997"/>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szCs w:val="20"/>
              </w:rPr>
              <w:t>Casi Nunca</w:t>
            </w:r>
          </w:p>
        </w:tc>
        <w:tc>
          <w:tcPr>
            <w:tcW w:type="dxa" w:w="1714"/>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szCs w:val="20"/>
              </w:rPr>
              <w:t>0</w:t>
            </w:r>
          </w:p>
        </w:tc>
        <w:tc>
          <w:tcPr>
            <w:tcW w:type="dxa" w:w="139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szCs w:val="20"/>
              </w:rPr>
              <w:t>0%</w:t>
            </w:r>
          </w:p>
        </w:tc>
      </w:tr>
      <w:tr>
        <w:trPr>
          <w:trHeight w:hRule="atLeast" w:val="287"/>
          <w:cantSplit w:val="false"/>
        </w:trPr>
        <w:tc>
          <w:tcPr>
            <w:tcW w:type="dxa" w:w="120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szCs w:val="20"/>
              </w:rPr>
              <w:t>F</w:t>
            </w:r>
          </w:p>
        </w:tc>
        <w:tc>
          <w:tcPr>
            <w:tcW w:type="dxa" w:w="1997"/>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szCs w:val="20"/>
              </w:rPr>
              <w:t>Nunca</w:t>
            </w:r>
          </w:p>
        </w:tc>
        <w:tc>
          <w:tcPr>
            <w:tcW w:type="dxa" w:w="1714"/>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szCs w:val="20"/>
              </w:rPr>
              <w:t>0</w:t>
            </w:r>
          </w:p>
        </w:tc>
        <w:tc>
          <w:tcPr>
            <w:tcW w:type="dxa" w:w="139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szCs w:val="20"/>
              </w:rPr>
              <w:t>0%</w:t>
            </w:r>
          </w:p>
        </w:tc>
      </w:tr>
      <w:tr>
        <w:trPr>
          <w:trHeight w:hRule="atLeast" w:val="251"/>
          <w:cantSplit w:val="false"/>
        </w:trPr>
        <w:tc>
          <w:tcPr>
            <w:tcW w:type="dxa" w:w="1200"/>
            <w:tcBorders>
              <w:top w:color="000000" w:space="0" w:sz="4" w:val="single"/>
            </w:tcBorders>
            <w:shd w:fill="auto" w:val="clear"/>
            <w:tcMar>
              <w:top w:type="dxa" w:w="0"/>
              <w:left w:type="dxa" w:w="70"/>
              <w:bottom w:type="dxa" w:w="0"/>
              <w:right w:type="dxa" w:w="70"/>
            </w:tcMar>
            <w:vAlign w:val="bottom"/>
          </w:tcPr>
          <w:p>
            <w:pPr>
              <w:pStyle w:val="style0"/>
              <w:snapToGrid w:val="false"/>
              <w:spacing w:after="200" w:before="0" w:line="240" w:lineRule="auto"/>
            </w:pPr>
            <w:r>
              <w:rPr>
                <w:rFonts w:ascii="Arial" w:cs="Arial" w:hAnsi="Arial"/>
                <w:szCs w:val="20"/>
                <w:lang w:eastAsia="es-VE" w:val="es-VE"/>
              </w:rPr>
            </w:r>
          </w:p>
        </w:tc>
        <w:p>
          <w:pPr>
            <w:pStyle w:val="style0"/>
            <w:spacing w:after="200" w:before="0"/>
          </w:pPr>
          <w:r>
            <w:rPr>
              <w:rFonts w:ascii="Arial" w:cs="Arial" w:hAnsi="Arial"/>
            </w:rPr>
            <w:t>Fuente: Mendoza (2015)</w:t>
          </w:r>
        </w:p>
        <w:tc>
          <w:tcPr>
            <w:tcW w:type="dxa" w:w="1997"/>
            <w:tcBorders>
              <w:top w:color="000000" w:space="0" w:sz="4" w:val="single"/>
            </w:tcBorders>
            <w:shd w:fill="auto" w:val="clear"/>
            <w:tcMar>
              <w:top w:type="dxa" w:w="0"/>
              <w:left w:type="dxa" w:w="70"/>
              <w:bottom w:type="dxa" w:w="0"/>
              <w:right w:type="dxa" w:w="70"/>
            </w:tcMar>
            <w:vAlign w:val="bottom"/>
          </w:tcPr>
          <w:p>
            <w:pPr>
              <w:pStyle w:val="style0"/>
              <w:snapToGrid w:val="false"/>
              <w:spacing w:after="200" w:before="0" w:line="240" w:lineRule="auto"/>
            </w:pPr>
            <w:r>
              <w:rPr>
                <w:rFonts w:ascii="Arial" w:cs="Arial" w:hAnsi="Arial"/>
                <w:szCs w:val="20"/>
              </w:rPr>
            </w:r>
          </w:p>
        </w:tc>
        <w:tc>
          <w:tcPr>
            <w:tcW w:type="dxa" w:w="1714"/>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szCs w:val="20"/>
              </w:rPr>
              <w:t>19</w:t>
            </w:r>
          </w:p>
        </w:tc>
        <w:tc>
          <w:tcPr>
            <w:tcW w:type="dxa" w:w="1390"/>
            <w:tcBorders>
              <w:top w:color="000000" w:space="0" w:sz="4" w:val="single"/>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szCs w:val="20"/>
              </w:rPr>
              <w:t>100%</w:t>
            </w:r>
          </w:p>
        </w:tc>
      </w:tr>
    </w:tbl>
    <w:p>
      <w:pPr>
        <w:pStyle w:val="style196"/>
        <w:spacing w:line="360" w:lineRule="auto"/>
        <w:jc w:val="center"/>
      </w:pPr>
      <w:r>
        <w:rPr>
          <w:rStyle w:val="style168"/>
          <w:rFonts w:ascii="Arial" w:cs="Arial" w:hAnsi="Arial"/>
          <w:color w:val="262626"/>
          <w:sz w:val="24"/>
          <w:szCs w:val="24"/>
          <w:lang w:eastAsia="es-VE" w:val="es-VE"/>
        </w:rPr>
        <w:drawing>
          <wp:inline distB="0" distL="0" distR="0" distT="0">
            <wp:extent cx="5247005" cy="3048635"/>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29"/>
                    <a:srcRect/>
                    <a:stretch>
                      <a:fillRect/>
                    </a:stretch>
                  </pic:blipFill>
                  <pic:spPr bwMode="auto">
                    <a:xfrm>
                      <a:off x="0" y="0"/>
                      <a:ext cx="5247005" cy="3048635"/>
                    </a:xfrm>
                    <a:prstGeom prst="rect">
                      <a:avLst/>
                    </a:prstGeom>
                    <a:noFill/>
                    <a:ln w="9525">
                      <a:noFill/>
                      <a:miter lim="800000"/>
                      <a:headEnd/>
                      <a:tailEnd/>
                    </a:ln>
                  </pic:spPr>
                </pic:pic>
              </a:graphicData>
            </a:graphic>
          </wp:inline>
        </w:drawing>
      </w:r>
    </w:p>
    <w:p>
      <w:pPr>
        <w:pStyle w:val="style0"/>
        <w:spacing w:after="200" w:before="0"/>
      </w:pPr>
      <w:r>
        <w:rPr>
          <w:rFonts w:ascii="Arial" w:cs="Arial" w:hAnsi="Arial"/>
        </w:rPr>
        <w:t>Fuente: Mendoza (2015)</w:t>
      </w:r>
    </w:p>
    <w:p>
      <w:pPr>
        <w:pStyle w:val="style197"/>
        <w:spacing w:after="0" w:before="0"/>
        <w:jc w:val="both"/>
      </w:pPr>
      <w:r>
        <w:rPr>
          <w:rFonts w:ascii="Arial" w:cs="Arial" w:hAnsi="Arial"/>
          <w:b/>
          <w:bCs/>
          <w:color w:val="000000"/>
        </w:rPr>
        <w:t xml:space="preserve">Gráfico 2 </w:t>
      </w:r>
      <w:r>
        <w:rPr>
          <w:rFonts w:ascii="Arial" w:cs="Arial" w:hAnsi="Arial"/>
          <w:b/>
          <w:bCs/>
        </w:rPr>
        <w:t xml:space="preserve">Consulta  sobre la depuración de </w:t>
      </w:r>
      <w:r>
        <w:rPr>
          <w:rFonts w:ascii="Arial" w:cs="Arial" w:hAnsi="Arial"/>
          <w:b/>
          <w:szCs w:val="20"/>
          <w:shd w:fill="FFFFFF" w:val="clear"/>
        </w:rPr>
        <w:t>los Estados Financieros de la Institución con respecto a los Bienes Nacionales en estado de Deterioro, obsolescencia y corrosión</w:t>
      </w:r>
    </w:p>
    <w:p>
      <w:pPr>
        <w:pStyle w:val="style197"/>
        <w:spacing w:after="0" w:before="0"/>
      </w:pPr>
      <w:r>
        <w:rPr>
          <w:rFonts w:ascii="Arial" w:cs="Arial" w:hAnsi="Arial"/>
        </w:rPr>
      </w:r>
    </w:p>
    <w:p>
      <w:pPr>
        <w:pStyle w:val="style197"/>
        <w:spacing w:after="0" w:before="0" w:line="360" w:lineRule="auto"/>
        <w:jc w:val="both"/>
      </w:pPr>
      <w:r>
        <w:rPr>
          <w:rFonts w:ascii="Arial" w:cs="Arial" w:hAnsi="Arial"/>
          <w:b/>
          <w:bCs/>
          <w:color w:val="000000"/>
        </w:rPr>
        <w:t>Análisis</w:t>
      </w:r>
      <w:r>
        <w:rPr>
          <w:rFonts w:ascii="Arial" w:cs="Arial" w:hAnsi="Arial"/>
          <w:bCs/>
          <w:color w:val="000000"/>
        </w:rPr>
        <w:t xml:space="preserve">: Según los resultados obtenidos se puede visualizar que  todos los encuestados manifiestan estar de acuerdo con  que se depure los Estados Financiero de la Institución  con respecto a los bienes que  ya no prestan ningún servicio y  utilidad. Así los estados financieros presentan valores razonables, fiables, exactos y confiables. </w:t>
      </w:r>
    </w:p>
    <w:p>
      <w:pPr>
        <w:pStyle w:val="style197"/>
        <w:pageBreakBefore/>
        <w:spacing w:after="0" w:before="0" w:line="360" w:lineRule="auto"/>
        <w:jc w:val="both"/>
      </w:pPr>
      <w:r>
        <w:rPr>
          <w:rFonts w:ascii="Arial" w:cs="Arial" w:hAnsi="Arial"/>
          <w:bCs/>
          <w:color w:val="000000"/>
        </w:rPr>
        <w:t xml:space="preserve">Ítem 3 .- </w:t>
      </w:r>
      <w:r>
        <w:rPr>
          <w:rFonts w:ascii="Arial" w:cs="Arial" w:hAnsi="Arial"/>
          <w:shd w:fill="FFFFFF" w:val="clear"/>
        </w:rPr>
        <w:t>¿</w:t>
      </w:r>
      <w:r>
        <w:rPr>
          <w:rFonts w:ascii="Arial" w:cs="Arial" w:hAnsi="Arial"/>
          <w:sz w:val="20"/>
          <w:szCs w:val="20"/>
          <w:shd w:fill="FFFFFF" w:val="clear"/>
        </w:rPr>
        <w:t xml:space="preserve"> </w:t>
      </w:r>
      <w:r>
        <w:rPr>
          <w:rFonts w:ascii="Arial" w:cs="Arial" w:hAnsi="Arial"/>
          <w:shd w:fill="FFFFFF" w:val="clear"/>
        </w:rPr>
        <w:t>Conoce Usted si existe una Comisión designada por el Cuerpo Directivo, y  que este  avalada por la Superintendencia de Bienes Públicos que</w:t>
      </w:r>
      <w:r>
        <w:rPr>
          <w:rFonts w:ascii="Arial" w:cs="Arial" w:hAnsi="Arial"/>
        </w:rPr>
        <w:t xml:space="preserve"> garantice el éxito del proceso en cuanto a la </w:t>
      </w:r>
      <w:r>
        <w:rPr>
          <w:rFonts w:ascii="Arial" w:cs="Arial" w:hAnsi="Arial"/>
          <w:shd w:fill="FFFFFF" w:val="clear"/>
        </w:rPr>
        <w:t>desincorporación de los Bienes Nacionales en Estado de Obsolescencia, Deterioro y Corrosión?</w:t>
      </w:r>
    </w:p>
    <w:p>
      <w:pPr>
        <w:pStyle w:val="style197"/>
        <w:spacing w:after="0" w:before="0" w:line="360" w:lineRule="auto"/>
        <w:jc w:val="both"/>
      </w:pPr>
      <w:r>
        <w:rPr>
          <w:rFonts w:ascii="Arial" w:cs="Arial" w:hAnsi="Arial"/>
          <w:b/>
          <w:bCs/>
          <w:color w:val="333333"/>
        </w:rPr>
      </w:r>
    </w:p>
    <w:tbl>
      <w:tblPr>
        <w:jc w:val="center"/>
        <w:tblBorders>
          <w:top w:color="000000" w:space="0" w:sz="4" w:val="single"/>
          <w:left w:color="000000" w:space="0" w:sz="4" w:val="single"/>
          <w:bottom w:color="000000" w:space="0" w:sz="4" w:val="single"/>
          <w:right w:color="000000" w:space="0" w:sz="4" w:val="single"/>
        </w:tblBorders>
      </w:tblPr>
      <w:tblGrid>
        <w:gridCol w:w="6624"/>
      </w:tblGrid>
      <w:tr>
        <w:trPr>
          <w:trHeight w:hRule="atLeast" w:val="315"/>
          <w:cantSplit w:val="false"/>
        </w:trPr>
        <w:tc>
          <w:tcPr>
            <w:tcW w:type="dxa" w:w="6624"/>
            <w:gridSpan w:val="4"/>
            <w:tcBorders>
              <w:top w:color="000000" w:space="0" w:sz="4" w:val="single"/>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197"/>
              <w:spacing w:after="0" w:before="0" w:line="360" w:lineRule="auto"/>
              <w:jc w:val="center"/>
            </w:pPr>
            <w:r>
              <w:rPr>
                <w:rFonts w:ascii="Arial" w:cs="Arial" w:hAnsi="Arial"/>
                <w:b/>
                <w:sz w:val="22"/>
                <w:szCs w:val="22"/>
                <w:shd w:fill="FFFFFF" w:val="clear"/>
              </w:rPr>
              <w:t>Cuadro 6</w:t>
            </w:r>
          </w:p>
          <w:p>
            <w:pPr>
              <w:pStyle w:val="style0"/>
              <w:spacing w:after="200" w:before="0" w:line="360" w:lineRule="auto"/>
              <w:jc w:val="both"/>
            </w:pPr>
            <w:r>
              <w:rPr>
                <w:rFonts w:ascii="Arial" w:cs="Arial" w:hAnsi="Arial"/>
                <w:b/>
                <w:bCs/>
              </w:rPr>
              <w:t xml:space="preserve">Conocimiento de la existencia de una </w:t>
            </w:r>
            <w:r>
              <w:rPr>
                <w:rFonts w:ascii="Arial" w:cs="Arial" w:hAnsi="Arial"/>
                <w:b/>
                <w:shd w:fill="FFFFFF" w:val="clear"/>
              </w:rPr>
              <w:t xml:space="preserve">  Comisión designada por el Cuerpo Directivo, y  que este  avalada por la Superintendencia de Bienes Públicos que</w:t>
            </w:r>
            <w:r>
              <w:rPr>
                <w:rFonts w:ascii="Arial" w:cs="Arial" w:hAnsi="Arial"/>
                <w:b/>
              </w:rPr>
              <w:t xml:space="preserve"> garantice el éxito del proceso</w:t>
            </w:r>
            <w:r>
              <w:rPr>
                <w:rFonts w:ascii="Arial" w:cs="Arial" w:hAnsi="Arial"/>
              </w:rPr>
              <w:t xml:space="preserve"> </w:t>
            </w:r>
            <w:r>
              <w:rPr>
                <w:rFonts w:ascii="Arial" w:cs="Arial" w:hAnsi="Arial"/>
                <w:b/>
              </w:rPr>
              <w:t>de</w:t>
            </w:r>
            <w:r>
              <w:rPr>
                <w:rFonts w:ascii="Arial" w:cs="Arial" w:hAnsi="Arial"/>
              </w:rPr>
              <w:t xml:space="preserve"> </w:t>
            </w:r>
            <w:r>
              <w:rPr>
                <w:rFonts w:ascii="Arial" w:cs="Arial" w:hAnsi="Arial"/>
                <w:b/>
                <w:shd w:fill="FFFFFF" w:val="clear"/>
              </w:rPr>
              <w:t>desincorporación de los Bienes Nacionales</w:t>
            </w:r>
          </w:p>
        </w:tc>
      </w:tr>
      <w:tr>
        <w:trPr>
          <w:trHeight w:hRule="atLeast" w:val="315"/>
          <w:cantSplit w:val="false"/>
        </w:trPr>
        <w:tc>
          <w:tcPr>
            <w:tcW w:type="dxa" w:w="1540"/>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jc w:val="center"/>
            </w:pPr>
            <w:r>
              <w:rPr>
                <w:rFonts w:ascii="Arial" w:cs="Arial" w:hAnsi="Arial"/>
                <w:b/>
                <w:bCs/>
              </w:rPr>
              <w:t>Ítem</w:t>
            </w:r>
          </w:p>
        </w:tc>
        <w:tc>
          <w:tcPr>
            <w:tcW w:type="dxa" w:w="1820"/>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jc w:val="center"/>
            </w:pPr>
            <w:r>
              <w:rPr>
                <w:rFonts w:ascii="Arial" w:cs="Arial" w:hAnsi="Arial"/>
                <w:b/>
                <w:bCs/>
              </w:rPr>
              <w:t>Opciones  de Repuestas</w:t>
            </w:r>
          </w:p>
        </w:tc>
        <w:tc>
          <w:tcPr>
            <w:tcW w:type="dxa" w:w="1714"/>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jc w:val="center"/>
            </w:pPr>
            <w:r>
              <w:rPr>
                <w:rFonts w:ascii="Arial" w:cs="Arial" w:hAnsi="Arial"/>
                <w:b/>
                <w:bCs/>
              </w:rPr>
              <w:t>Frecuencia</w:t>
            </w:r>
          </w:p>
        </w:tc>
        <w:tc>
          <w:tcPr>
            <w:tcW w:type="dxa" w:w="1550"/>
            <w:tcBorders>
              <w:top w:color="000000" w:space="0" w:sz="4" w:val="single"/>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jc w:val="center"/>
            </w:pPr>
            <w:r>
              <w:rPr>
                <w:rFonts w:ascii="Arial" w:cs="Arial" w:hAnsi="Arial"/>
                <w:b/>
                <w:bCs/>
              </w:rPr>
              <w:t>Valor %</w:t>
            </w:r>
          </w:p>
        </w:tc>
      </w:tr>
      <w:tr>
        <w:trPr>
          <w:trHeight w:hRule="atLeast" w:val="315"/>
          <w:cantSplit w:val="false"/>
        </w:trPr>
        <w:tc>
          <w:tcPr>
            <w:tcW w:type="dxa" w:w="154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bCs/>
              </w:rPr>
              <w:t>A</w:t>
            </w:r>
          </w:p>
        </w:tc>
        <w:tc>
          <w:tcPr>
            <w:tcW w:type="dxa" w:w="182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rPr>
              <w:t>No contestó</w:t>
            </w:r>
          </w:p>
        </w:tc>
        <w:tc>
          <w:tcPr>
            <w:tcW w:type="dxa" w:w="1714"/>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rPr>
              <w:t>2</w:t>
            </w:r>
          </w:p>
        </w:tc>
        <w:tc>
          <w:tcPr>
            <w:tcW w:type="dxa" w:w="155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rPr>
              <w:t>11%</w:t>
            </w:r>
          </w:p>
        </w:tc>
      </w:tr>
      <w:tr>
        <w:trPr>
          <w:trHeight w:hRule="atLeast" w:val="300"/>
          <w:cantSplit w:val="false"/>
        </w:trPr>
        <w:tc>
          <w:tcPr>
            <w:tcW w:type="dxa" w:w="154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rPr>
              <w:t>B</w:t>
            </w:r>
          </w:p>
        </w:tc>
        <w:tc>
          <w:tcPr>
            <w:tcW w:type="dxa" w:w="182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rPr>
              <w:t>Siempre</w:t>
            </w:r>
          </w:p>
        </w:tc>
        <w:tc>
          <w:tcPr>
            <w:tcW w:type="dxa" w:w="1714"/>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rPr>
              <w:t>12</w:t>
            </w:r>
          </w:p>
        </w:tc>
        <w:tc>
          <w:tcPr>
            <w:tcW w:type="dxa" w:w="155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rPr>
              <w:t>63%</w:t>
            </w:r>
          </w:p>
        </w:tc>
      </w:tr>
      <w:tr>
        <w:trPr>
          <w:trHeight w:hRule="atLeast" w:val="300"/>
          <w:cantSplit w:val="false"/>
        </w:trPr>
        <w:tc>
          <w:tcPr>
            <w:tcW w:type="dxa" w:w="154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rPr>
              <w:t>C</w:t>
            </w:r>
          </w:p>
        </w:tc>
        <w:tc>
          <w:tcPr>
            <w:tcW w:type="dxa" w:w="182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rPr>
              <w:t>Casi siempre</w:t>
            </w:r>
          </w:p>
        </w:tc>
        <w:tc>
          <w:tcPr>
            <w:tcW w:type="dxa" w:w="1714"/>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rPr>
              <w:t>5</w:t>
            </w:r>
          </w:p>
        </w:tc>
        <w:tc>
          <w:tcPr>
            <w:tcW w:type="dxa" w:w="155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rPr>
              <w:t>26%</w:t>
            </w:r>
          </w:p>
        </w:tc>
      </w:tr>
      <w:tr>
        <w:trPr>
          <w:trHeight w:hRule="atLeast" w:val="300"/>
          <w:cantSplit w:val="false"/>
        </w:trPr>
        <w:tc>
          <w:tcPr>
            <w:tcW w:type="dxa" w:w="154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rPr>
              <w:t>D</w:t>
            </w:r>
          </w:p>
        </w:tc>
        <w:tc>
          <w:tcPr>
            <w:tcW w:type="dxa" w:w="182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rPr>
              <w:t>A veces</w:t>
            </w:r>
          </w:p>
        </w:tc>
        <w:tc>
          <w:tcPr>
            <w:tcW w:type="dxa" w:w="1714"/>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rPr>
              <w:t>0</w:t>
            </w:r>
          </w:p>
        </w:tc>
        <w:tc>
          <w:tcPr>
            <w:tcW w:type="dxa" w:w="155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rPr>
              <w:t>0%</w:t>
            </w:r>
          </w:p>
        </w:tc>
      </w:tr>
      <w:tr>
        <w:trPr>
          <w:trHeight w:hRule="atLeast" w:val="300"/>
          <w:cantSplit w:val="false"/>
        </w:trPr>
        <w:tc>
          <w:tcPr>
            <w:tcW w:type="dxa" w:w="154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rPr>
              <w:t>E</w:t>
            </w:r>
          </w:p>
        </w:tc>
        <w:tc>
          <w:tcPr>
            <w:tcW w:type="dxa" w:w="182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rPr>
              <w:t>Casi Nunca</w:t>
            </w:r>
          </w:p>
        </w:tc>
        <w:tc>
          <w:tcPr>
            <w:tcW w:type="dxa" w:w="1714"/>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rPr>
              <w:t>0</w:t>
            </w:r>
          </w:p>
        </w:tc>
        <w:tc>
          <w:tcPr>
            <w:tcW w:type="dxa" w:w="155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rPr>
              <w:t>0%</w:t>
            </w:r>
          </w:p>
        </w:tc>
      </w:tr>
      <w:tr>
        <w:trPr>
          <w:trHeight w:hRule="atLeast" w:val="300"/>
          <w:cantSplit w:val="false"/>
        </w:trPr>
        <w:tc>
          <w:tcPr>
            <w:tcW w:type="dxa" w:w="1540"/>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rPr>
              <w:t>F</w:t>
            </w:r>
          </w:p>
        </w:tc>
        <w:tc>
          <w:tcPr>
            <w:tcW w:type="dxa" w:w="1820"/>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rPr>
              <w:t>Nunca</w:t>
            </w:r>
          </w:p>
        </w:tc>
        <w:tc>
          <w:tcPr>
            <w:tcW w:type="dxa" w:w="1714"/>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rPr>
              <w:t>0</w:t>
            </w:r>
          </w:p>
        </w:tc>
        <w:tc>
          <w:tcPr>
            <w:tcW w:type="dxa" w:w="1550"/>
            <w:tcBorders>
              <w:top w:color="000000" w:space="0" w:sz="4" w:val="single"/>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rPr>
              <w:t>0%</w:t>
            </w:r>
          </w:p>
        </w:tc>
      </w:tr>
      <w:tr>
        <w:trPr>
          <w:trHeight w:hRule="atLeast" w:val="300"/>
          <w:cantSplit w:val="false"/>
        </w:trPr>
        <w:tc>
          <w:tcPr>
            <w:tcW w:type="dxa" w:w="1540"/>
            <w:tcBorders>
              <w:top w:color="000000" w:space="0" w:sz="4" w:val="single"/>
            </w:tcBorders>
            <w:shd w:fill="auto" w:val="clear"/>
            <w:tcMar>
              <w:top w:type="dxa" w:w="0"/>
              <w:left w:type="dxa" w:w="70"/>
              <w:bottom w:type="dxa" w:w="0"/>
              <w:right w:type="dxa" w:w="70"/>
            </w:tcMar>
            <w:vAlign w:val="bottom"/>
          </w:tcPr>
          <w:p>
            <w:pPr>
              <w:pStyle w:val="style0"/>
              <w:snapToGrid w:val="false"/>
              <w:spacing w:after="200" w:before="0" w:line="240" w:lineRule="auto"/>
            </w:pPr>
            <w:r>
              <w:rPr>
                <w:rFonts w:ascii="Arial" w:cs="Arial" w:hAnsi="Arial"/>
                <w:lang w:eastAsia="es-VE" w:val="es-VE"/>
              </w:rPr>
            </w:r>
          </w:p>
        </w:tc>
        <w:p>
          <w:pPr>
            <w:pStyle w:val="style0"/>
            <w:spacing w:after="200" w:before="0"/>
          </w:pPr>
          <w:r>
            <w:rPr>
              <w:rFonts w:ascii="Arial" w:cs="Arial" w:hAnsi="Arial"/>
            </w:rPr>
            <w:t>Fuente: Mendoza (2015)</w:t>
          </w:r>
        </w:p>
        <w:tc>
          <w:tcPr>
            <w:tcW w:type="dxa" w:w="1820"/>
            <w:tcBorders>
              <w:top w:color="000000" w:space="0" w:sz="4" w:val="single"/>
            </w:tcBorders>
            <w:shd w:fill="auto" w:val="clear"/>
            <w:tcMar>
              <w:top w:type="dxa" w:w="0"/>
              <w:left w:type="dxa" w:w="70"/>
              <w:bottom w:type="dxa" w:w="0"/>
              <w:right w:type="dxa" w:w="70"/>
            </w:tcMar>
            <w:vAlign w:val="bottom"/>
          </w:tcPr>
          <w:p>
            <w:pPr>
              <w:pStyle w:val="style0"/>
              <w:snapToGrid w:val="false"/>
              <w:spacing w:after="200" w:before="0" w:line="240" w:lineRule="auto"/>
            </w:pPr>
            <w:r>
              <w:rPr>
                <w:rFonts w:ascii="Arial" w:cs="Arial" w:hAnsi="Arial"/>
              </w:rPr>
            </w:r>
          </w:p>
        </w:tc>
        <w:tc>
          <w:tcPr>
            <w:tcW w:type="dxa" w:w="1714"/>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rPr>
              <w:t>19</w:t>
            </w:r>
          </w:p>
        </w:tc>
        <w:tc>
          <w:tcPr>
            <w:tcW w:type="dxa" w:w="1550"/>
            <w:tcBorders>
              <w:top w:color="000000" w:space="0" w:sz="4" w:val="single"/>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rPr>
              <w:t>100%</w:t>
            </w:r>
          </w:p>
        </w:tc>
      </w:tr>
    </w:tbl>
    <w:p>
      <w:pPr>
        <w:pStyle w:val="style197"/>
        <w:spacing w:after="0" w:before="0" w:line="360" w:lineRule="auto"/>
        <w:jc w:val="center"/>
      </w:pPr>
      <w:r>
        <w:rPr>
          <w:rFonts w:ascii="Arial" w:cs="Arial" w:hAnsi="Arial"/>
          <w:shd w:fill="FFFFFF" w:val="clear"/>
          <w:lang w:eastAsia="es-VE" w:val="es-ES"/>
        </w:rPr>
        <w:drawing>
          <wp:inline distB="0" distL="0" distR="0" distT="0">
            <wp:extent cx="4340225" cy="1381125"/>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30"/>
                    <a:srcRect/>
                    <a:stretch>
                      <a:fillRect/>
                    </a:stretch>
                  </pic:blipFill>
                  <pic:spPr bwMode="auto">
                    <a:xfrm>
                      <a:off x="0" y="0"/>
                      <a:ext cx="4340225" cy="1381125"/>
                    </a:xfrm>
                    <a:prstGeom prst="rect">
                      <a:avLst/>
                    </a:prstGeom>
                    <a:noFill/>
                    <a:ln w="9525">
                      <a:noFill/>
                      <a:miter lim="800000"/>
                      <a:headEnd/>
                      <a:tailEnd/>
                    </a:ln>
                  </pic:spPr>
                </pic:pic>
              </a:graphicData>
            </a:graphic>
          </wp:inline>
        </w:drawing>
      </w:r>
    </w:p>
    <w:p>
      <w:pPr>
        <w:pStyle w:val="style0"/>
        <w:spacing w:after="200" w:before="0"/>
      </w:pPr>
      <w:r>
        <w:rPr>
          <w:rFonts w:ascii="Arial" w:cs="Arial" w:hAnsi="Arial"/>
        </w:rPr>
        <w:t>Fuente: Mendoza (2015)</w:t>
      </w:r>
    </w:p>
    <w:p>
      <w:pPr>
        <w:pStyle w:val="style197"/>
        <w:spacing w:after="0" w:before="0"/>
        <w:jc w:val="both"/>
      </w:pPr>
      <w:r>
        <w:rPr>
          <w:rFonts w:ascii="Arial" w:cs="Arial" w:hAnsi="Arial"/>
          <w:b/>
          <w:bCs/>
          <w:color w:val="333333"/>
        </w:rPr>
        <w:t>G</w:t>
      </w:r>
      <w:r>
        <w:rPr>
          <w:rFonts w:ascii="Arial" w:cs="Arial" w:hAnsi="Arial"/>
          <w:b/>
          <w:bCs/>
          <w:color w:val="333333"/>
        </w:rPr>
        <w:t xml:space="preserve">ráfico 3 </w:t>
      </w:r>
      <w:r>
        <w:rPr>
          <w:rFonts w:ascii="Arial" w:cs="Arial" w:hAnsi="Arial"/>
          <w:b/>
          <w:bCs/>
          <w:sz w:val="22"/>
          <w:szCs w:val="22"/>
        </w:rPr>
        <w:t xml:space="preserve">Conocimiento de la existencia de una </w:t>
      </w:r>
      <w:r>
        <w:rPr>
          <w:rFonts w:ascii="Arial" w:cs="Arial" w:hAnsi="Arial"/>
          <w:b/>
          <w:sz w:val="22"/>
          <w:szCs w:val="22"/>
          <w:shd w:fill="FFFFFF" w:val="clear"/>
        </w:rPr>
        <w:t xml:space="preserve">  Comisión designada por el Cuerpo Directivo, y  que este  avalada por la Superintendencia de Bienes Públicos que</w:t>
      </w:r>
      <w:r>
        <w:rPr>
          <w:rFonts w:ascii="Arial" w:cs="Arial" w:hAnsi="Arial"/>
          <w:b/>
          <w:sz w:val="22"/>
          <w:szCs w:val="22"/>
        </w:rPr>
        <w:t xml:space="preserve"> garantice el éxito del </w:t>
      </w:r>
      <w:r>
        <w:rPr>
          <w:rFonts w:ascii="Arial" w:cs="Arial" w:hAnsi="Arial"/>
          <w:b/>
        </w:rPr>
        <w:t>proceso</w:t>
      </w:r>
      <w:r>
        <w:rPr>
          <w:rFonts w:ascii="Arial" w:cs="Arial" w:hAnsi="Arial"/>
        </w:rPr>
        <w:t xml:space="preserve"> </w:t>
      </w:r>
      <w:r>
        <w:rPr>
          <w:rFonts w:ascii="Arial" w:cs="Arial" w:hAnsi="Arial"/>
          <w:b/>
        </w:rPr>
        <w:t>de</w:t>
      </w:r>
      <w:r>
        <w:rPr>
          <w:rFonts w:ascii="Arial" w:cs="Arial" w:hAnsi="Arial"/>
        </w:rPr>
        <w:t xml:space="preserve"> </w:t>
      </w:r>
      <w:r>
        <w:rPr>
          <w:rFonts w:ascii="Arial" w:cs="Arial" w:hAnsi="Arial"/>
          <w:b/>
          <w:shd w:fill="FFFFFF" w:val="clear"/>
        </w:rPr>
        <w:t>desincorporación de los Bienes Nacionales</w:t>
      </w:r>
    </w:p>
    <w:p>
      <w:pPr>
        <w:pStyle w:val="style0"/>
        <w:spacing w:after="200" w:before="0"/>
      </w:pPr>
      <w:r>
        <w:rPr>
          <w:rFonts w:ascii="Arial" w:cs="Arial" w:hAnsi="Arial"/>
        </w:rPr>
        <w:t>Fuente: Mendoza (2015)</w:t>
      </w:r>
    </w:p>
    <w:p>
      <w:pPr>
        <w:pStyle w:val="style197"/>
        <w:spacing w:after="0" w:before="0" w:line="360" w:lineRule="auto"/>
        <w:jc w:val="both"/>
      </w:pPr>
      <w:r>
        <w:rPr>
          <w:rFonts w:ascii="Arial" w:cs="Arial" w:hAnsi="Arial"/>
          <w:b/>
        </w:rPr>
        <w:t>Análisis</w:t>
      </w:r>
      <w:r>
        <w:rPr>
          <w:rFonts w:ascii="Arial" w:cs="Arial" w:hAnsi="Arial"/>
          <w:bCs/>
          <w:color w:val="333333"/>
        </w:rPr>
        <w:t xml:space="preserve">: </w:t>
      </w:r>
      <w:r>
        <w:rPr>
          <w:rFonts w:ascii="Arial" w:cs="Arial" w:hAnsi="Arial"/>
          <w:bCs/>
          <w:color w:val="000000"/>
        </w:rPr>
        <w:t>En el cuadro 7 y  gráfico 1, se aprecia que el 63% de los funcionarios encuestados adscritos al Departamento de Administración afirman que desconocen  si existe alguna comisión y que la misma este adscrita a la superintendencia de Bienes Públicos, mientras que el 26 % respondió que están al tanto  sobre quienes  llevan el proceso son los funcionarios de bienes Público del IUTY  igualmente  desconocen que exista una comisión, y 11% no respondió al ítem  por desconocer quién ejecuta tal acción.</w:t>
      </w:r>
    </w:p>
    <w:p>
      <w:pPr>
        <w:pStyle w:val="style197"/>
        <w:spacing w:after="0" w:before="0" w:line="360" w:lineRule="auto"/>
        <w:jc w:val="both"/>
      </w:pPr>
      <w:r>
        <w:rPr>
          <w:rFonts w:ascii="Arial" w:cs="Arial" w:hAnsi="Arial"/>
          <w:bCs/>
          <w:color w:val="000000"/>
        </w:rPr>
        <w:tab/>
        <w:t xml:space="preserve"> Es importante destacar que en la encuesta se encontró que  si existe una comisión integrada por: el Sub Director Administrativo de la Institución, el Jefe de Bienes Público del IUTY y el Jefe de Transporte del IUTY. Esta comisión fue nombrada de acuerdo al  Manual de Normas y Procedimientos para el Registro y Control de los Bienes Nacionales de los Institutos y Colegios Universitarios (2007), pero la existencia de la misma no fue divulgada para conocimiento de la comunidad universitaria.</w:t>
      </w:r>
    </w:p>
    <w:p>
      <w:pPr>
        <w:pStyle w:val="style197"/>
        <w:spacing w:after="0" w:before="0" w:line="360" w:lineRule="auto"/>
        <w:jc w:val="both"/>
      </w:pPr>
      <w:r>
        <w:rPr>
          <w:rFonts w:ascii="Arial" w:cs="Arial" w:hAnsi="Arial"/>
          <w:bCs/>
          <w:color w:val="000000"/>
        </w:rPr>
        <w:tab/>
        <w:t xml:space="preserve">Además esta comisión no está adscrita a ningún ente rector es decir  la Superintendencia de Bienes Público ya que la misma fue creada en el 2012 y la que existía anteriormente era el  Comisión para la Enajenación de Bienes del Sector Público no Afectos a la Industrias Básicas (CENBISP) la cual estaba adscrita a la Presidencia de la República, y según el Manual de Normas y Procedimientos para el Registro y Control de los Bienes Nacionales de los Institutos y Colegios Universitarios (2007) ellos deben de rendir cuenta y solicitar autorización es  la Oficina de Gestión Administrativa del Ministerio del Poder Popular para la Educación Universitaria, Ciencia y Tecnología o  en su efecto a la Coordinación de Contabilidad y Bienes Público del Ministerio del Poder Popular para la Educación Universitaria, Ciencia y Tecnología.   </w:t>
      </w:r>
    </w:p>
    <w:p>
      <w:pPr>
        <w:pStyle w:val="style197"/>
        <w:spacing w:after="0" w:before="0" w:line="360" w:lineRule="auto"/>
        <w:jc w:val="both"/>
      </w:pPr>
      <w:r>
        <w:rPr>
          <w:rFonts w:ascii="Arial" w:cs="Arial" w:hAnsi="Arial"/>
          <w:bCs/>
          <w:color w:val="000000"/>
        </w:rPr>
        <w:tab/>
        <w:t>En este ítem se indica  la Comisión de enajenación puesto que es la  autorizada  por la Superintendencia de Bienes Públicos adscrita al Ministerio del Poder</w:t>
      </w:r>
      <w:r>
        <w:rPr>
          <w:rFonts w:ascii="Tahoma" w:cs="Tahoma" w:hAnsi="Tahoma"/>
          <w:color w:val="4D4D4D"/>
          <w:sz w:val="18"/>
          <w:szCs w:val="18"/>
          <w:shd w:fill="FFFFFF" w:val="clear"/>
        </w:rPr>
        <w:t xml:space="preserve"> </w:t>
      </w:r>
      <w:r>
        <w:rPr>
          <w:rFonts w:ascii="Arial" w:cs="Arial" w:hAnsi="Arial"/>
          <w:color w:val="000000"/>
          <w:shd w:fill="FFFFFF" w:val="clear"/>
        </w:rPr>
        <w:t xml:space="preserve"> Popular de Planificación y Finanzas, a través de la Providencia Administrativa 003-2012,</w:t>
      </w:r>
      <w:r>
        <w:rPr>
          <w:rFonts w:ascii="Arial" w:cs="Arial" w:hAnsi="Arial"/>
          <w:bCs/>
          <w:color w:val="000000"/>
        </w:rPr>
        <w:t xml:space="preserve">  para dar visto bueno de   enajenar los bienes propiedad del Estado, </w:t>
      </w:r>
      <w:r>
        <w:rPr>
          <w:rFonts w:ascii="Arial" w:cs="Arial" w:hAnsi="Arial"/>
          <w:color w:val="000000"/>
          <w:shd w:fill="FFFFFF" w:val="clear"/>
        </w:rPr>
        <w:t>ésta comisión tiene la potestad de determinar el precio base según lo establecido en el artículo 78  tomando en consideración los avaluaos presentados así como también cualquier otro criterio válido a juicio de la misma</w:t>
      </w:r>
    </w:p>
    <w:p>
      <w:pPr>
        <w:pStyle w:val="style197"/>
        <w:spacing w:after="0" w:before="0" w:line="360" w:lineRule="auto"/>
        <w:jc w:val="both"/>
      </w:pPr>
      <w:r>
        <w:rPr>
          <w:rFonts w:ascii="Arial" w:cs="Arial" w:hAnsi="Arial"/>
          <w:color w:val="000000"/>
          <w:shd w:fill="FFFFFF" w:val="clear"/>
        </w:rPr>
        <w:tab/>
        <w:t xml:space="preserve">Para que la comisión tome en consideración el precio base  de acuerdo a los avalúos se debe realizar unas series de procedimientos o proceso administrativo de acuerdo al artículo 80 de la LOB. </w:t>
      </w:r>
    </w:p>
    <w:p>
      <w:pPr>
        <w:pStyle w:val="style197"/>
        <w:spacing w:after="0" w:before="0" w:line="360" w:lineRule="auto"/>
        <w:jc w:val="both"/>
      </w:pPr>
      <w:r>
        <w:rPr/>
        <w:tab/>
      </w:r>
      <w:r>
        <w:rPr>
          <w:rFonts w:ascii="Arial" w:cs="Arial" w:hAnsi="Arial"/>
        </w:rPr>
        <w:t>En relación a la definición de  Proceso Farías  (2003:1) sostiene que “</w:t>
      </w:r>
      <w:r>
        <w:rPr>
          <w:rFonts w:ascii="Arial" w:cs="Arial" w:hAnsi="Arial"/>
          <w:color w:val="000000"/>
          <w:shd w:fill="FFFFFF" w:val="clear"/>
        </w:rPr>
        <w:t>es el conjunto de pasos o etapas necesarios para llevar a cabo una actividad o lograr un objetivo”</w:t>
      </w:r>
      <w:r>
        <w:rPr>
          <w:rFonts w:ascii="Arial" w:cs="Arial" w:hAnsi="Arial"/>
          <w:color w:val="000000"/>
        </w:rPr>
        <w:t xml:space="preserve"> </w:t>
      </w:r>
    </w:p>
    <w:p>
      <w:pPr>
        <w:pStyle w:val="style197"/>
        <w:spacing w:after="0" w:before="0" w:line="360" w:lineRule="auto"/>
        <w:jc w:val="both"/>
      </w:pPr>
      <w:r>
        <w:rPr>
          <w:rFonts w:ascii="Arial" w:cs="Arial" w:hAnsi="Arial"/>
          <w:color w:val="000000"/>
        </w:rPr>
        <w:tab/>
        <w:t xml:space="preserve"> Igualmente Farías (2003:1)  define </w:t>
      </w:r>
      <w:r>
        <w:rPr>
          <w:rFonts w:ascii="Arial" w:cs="Arial" w:hAnsi="Arial"/>
        </w:rPr>
        <w:t xml:space="preserve"> proceso administrativo así “es el conjunto de fases o etapas sucesivas a través de las cuales se efectúa la administración, mismas que se interrelacionan y forman un proceso integral”.</w:t>
      </w:r>
    </w:p>
    <w:p>
      <w:pPr>
        <w:pStyle w:val="style197"/>
        <w:spacing w:after="0" w:before="0" w:line="360" w:lineRule="auto"/>
        <w:jc w:val="both"/>
      </w:pPr>
      <w:r>
        <w:rPr>
          <w:rFonts w:ascii="Arial" w:cs="Arial" w:hAnsi="Arial"/>
          <w:color w:val="000000"/>
          <w:shd w:fill="FFFFFF" w:val="clear"/>
        </w:rPr>
        <w:tab/>
      </w:r>
      <w:r>
        <w:rPr>
          <w:rFonts w:ascii="Arial" w:cs="Arial" w:hAnsi="Arial"/>
          <w:color w:val="000000"/>
        </w:rPr>
        <w:tab/>
        <w:t>Por lo tanto para ejecutar un proceso es necesario realizar unas series de pasos establecidos en la Ley de Contrataciones Pública anteriormente denominada Comisión de Licitación como lo señala la LOB.</w:t>
      </w:r>
    </w:p>
    <w:p>
      <w:pPr>
        <w:pStyle w:val="style197"/>
        <w:spacing w:after="0" w:before="0" w:line="360" w:lineRule="auto"/>
        <w:jc w:val="both"/>
      </w:pPr>
      <w:r>
        <w:rPr>
          <w:rFonts w:ascii="Arial" w:cs="Arial" w:hAnsi="Arial"/>
          <w:color w:val="000000"/>
          <w:shd w:fill="FFFFFF" w:val="clear"/>
        </w:rPr>
        <w:tab/>
      </w:r>
    </w:p>
    <w:p>
      <w:pPr>
        <w:pStyle w:val="style197"/>
        <w:pageBreakBefore/>
        <w:spacing w:after="0" w:before="0" w:line="360" w:lineRule="auto"/>
        <w:jc w:val="both"/>
      </w:pPr>
      <w:r>
        <w:rPr>
          <w:rFonts w:ascii="Arial" w:cs="Arial" w:hAnsi="Arial"/>
          <w:bCs/>
        </w:rPr>
        <w:t>Ítem 4. ¿</w:t>
      </w:r>
      <w:r>
        <w:rPr>
          <w:rStyle w:val="style168"/>
          <w:rFonts w:ascii="Arial" w:cs="Arial" w:hAnsi="Arial"/>
          <w:color w:val="262626"/>
          <w:shd w:fill="FFFFFF" w:val="clear"/>
        </w:rPr>
        <w:t xml:space="preserve">Cree Usted que la enajenación, permuta o donación en cuanto a la desincorporación de   los </w:t>
      </w:r>
      <w:r>
        <w:rPr>
          <w:rFonts w:ascii="Arial" w:cs="Arial" w:hAnsi="Arial"/>
          <w:color w:val="000000"/>
          <w:shd w:fill="FFFFFF" w:val="clear"/>
        </w:rPr>
        <w:t>Bienes Nacionales,  en Estado de Obsolescencia, deterioro y corrosión</w:t>
      </w:r>
      <w:r>
        <w:rPr>
          <w:rStyle w:val="style168"/>
          <w:rFonts w:ascii="Arial" w:cs="Arial" w:hAnsi="Arial"/>
          <w:color w:val="000000"/>
          <w:shd w:fill="FFFFFF" w:val="clear"/>
        </w:rPr>
        <w:t xml:space="preserve"> esto traerá recursos económicos adicionales a la Institución?</w:t>
      </w:r>
    </w:p>
    <w:p>
      <w:pPr>
        <w:pStyle w:val="style197"/>
        <w:spacing w:after="0" w:before="0" w:line="360" w:lineRule="auto"/>
        <w:jc w:val="center"/>
      </w:pPr>
      <w:r>
        <w:rPr>
          <w:rFonts w:ascii="Arial" w:cs="Arial" w:hAnsi="Arial"/>
          <w:color w:val="000000"/>
          <w:shd w:fill="FFFFFF" w:val="clear"/>
        </w:rPr>
      </w:r>
    </w:p>
    <w:tbl>
      <w:tblPr>
        <w:jc w:val="center"/>
        <w:tblBorders>
          <w:top w:color="000000" w:space="0" w:sz="4" w:val="single"/>
          <w:left w:color="000000" w:space="0" w:sz="4" w:val="single"/>
          <w:bottom w:color="000000" w:space="0" w:sz="4" w:val="single"/>
          <w:right w:color="000000" w:space="0" w:sz="4" w:val="single"/>
        </w:tblBorders>
      </w:tblPr>
      <w:tblGrid>
        <w:gridCol w:w="6407"/>
      </w:tblGrid>
      <w:tr>
        <w:trPr>
          <w:trHeight w:hRule="atLeast" w:val="315"/>
          <w:cantSplit w:val="false"/>
        </w:trPr>
        <w:tc>
          <w:tcPr>
            <w:tcW w:type="dxa" w:w="6407"/>
            <w:gridSpan w:val="4"/>
            <w:tcBorders>
              <w:top w:color="000000" w:space="0" w:sz="4" w:val="single"/>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197"/>
              <w:spacing w:after="0" w:before="0" w:line="360" w:lineRule="auto"/>
              <w:jc w:val="center"/>
            </w:pPr>
            <w:r>
              <w:rPr>
                <w:rFonts w:ascii="Arial" w:cs="Arial" w:hAnsi="Arial"/>
                <w:b/>
                <w:sz w:val="22"/>
                <w:szCs w:val="22"/>
                <w:shd w:fill="FFFFFF" w:val="clear"/>
              </w:rPr>
              <w:t>Cuadro 7</w:t>
            </w:r>
          </w:p>
          <w:p>
            <w:pPr>
              <w:pStyle w:val="style0"/>
              <w:spacing w:after="200" w:before="0" w:line="360" w:lineRule="auto"/>
              <w:jc w:val="both"/>
            </w:pPr>
            <w:r>
              <w:rPr>
                <w:rFonts w:ascii="Arial" w:cs="Arial" w:hAnsi="Arial"/>
                <w:b/>
                <w:bCs/>
              </w:rPr>
              <w:t>Opinión sobre los beneficios económicos que proporcionara la enajenación</w:t>
            </w:r>
            <w:r>
              <w:rPr>
                <w:rStyle w:val="style168"/>
                <w:rFonts w:ascii="Arial" w:cs="Arial" w:hAnsi="Arial"/>
                <w:color w:val="262626"/>
                <w:shd w:fill="FFFFFF" w:val="clear"/>
              </w:rPr>
              <w:t xml:space="preserve">, </w:t>
            </w:r>
            <w:r>
              <w:rPr>
                <w:rStyle w:val="style168"/>
                <w:rFonts w:ascii="Arial" w:cs="Arial" w:hAnsi="Arial"/>
                <w:b/>
                <w:color w:val="262626"/>
                <w:shd w:fill="FFFFFF" w:val="clear"/>
              </w:rPr>
              <w:t xml:space="preserve">permuta o donación de   los </w:t>
            </w:r>
            <w:r>
              <w:rPr>
                <w:rFonts w:ascii="Arial" w:cs="Arial" w:hAnsi="Arial"/>
                <w:b/>
                <w:color w:val="000000"/>
                <w:shd w:fill="FFFFFF" w:val="clear"/>
              </w:rPr>
              <w:t>Bienes Nacionales,  en Estado de Obsolescencia, deterioro y corrosión</w:t>
            </w:r>
            <w:r>
              <w:rPr>
                <w:rFonts w:ascii="Arial" w:cs="Arial" w:hAnsi="Arial"/>
                <w:b/>
                <w:bCs/>
              </w:rPr>
              <w:t xml:space="preserve">  </w:t>
            </w:r>
          </w:p>
        </w:tc>
      </w:tr>
      <w:tr>
        <w:trPr>
          <w:trHeight w:hRule="atLeast" w:val="315"/>
          <w:cantSplit w:val="false"/>
        </w:trPr>
        <w:tc>
          <w:tcPr>
            <w:tcW w:type="dxa" w:w="937"/>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jc w:val="center"/>
            </w:pPr>
            <w:r>
              <w:rPr>
                <w:rFonts w:ascii="Arial" w:cs="Arial" w:hAnsi="Arial"/>
                <w:b/>
                <w:bCs/>
              </w:rPr>
              <w:t>Ítem</w:t>
            </w:r>
          </w:p>
        </w:tc>
        <w:tc>
          <w:tcPr>
            <w:tcW w:type="dxa" w:w="2020"/>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jc w:val="center"/>
            </w:pPr>
            <w:r>
              <w:rPr>
                <w:rFonts w:ascii="Arial" w:cs="Arial" w:hAnsi="Arial"/>
                <w:b/>
                <w:bCs/>
              </w:rPr>
              <w:t>Opciones  de Repuestas</w:t>
            </w:r>
          </w:p>
        </w:tc>
        <w:tc>
          <w:tcPr>
            <w:tcW w:type="dxa" w:w="1900"/>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jc w:val="center"/>
            </w:pPr>
            <w:r>
              <w:rPr>
                <w:rFonts w:ascii="Arial" w:cs="Arial" w:hAnsi="Arial"/>
                <w:b/>
                <w:bCs/>
              </w:rPr>
              <w:t>Frecuencia</w:t>
            </w:r>
          </w:p>
        </w:tc>
        <w:tc>
          <w:tcPr>
            <w:tcW w:type="dxa" w:w="1550"/>
            <w:tcBorders>
              <w:top w:color="000000" w:space="0" w:sz="4" w:val="single"/>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jc w:val="center"/>
            </w:pPr>
            <w:r>
              <w:rPr>
                <w:rFonts w:ascii="Arial" w:cs="Arial" w:hAnsi="Arial"/>
                <w:b/>
                <w:bCs/>
              </w:rPr>
              <w:t>Valor %</w:t>
            </w:r>
          </w:p>
        </w:tc>
      </w:tr>
      <w:tr>
        <w:trPr>
          <w:trHeight w:hRule="atLeast" w:val="300"/>
          <w:cantSplit w:val="false"/>
        </w:trPr>
        <w:tc>
          <w:tcPr>
            <w:tcW w:type="dxa" w:w="937"/>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rPr>
              <w:t>A</w:t>
            </w:r>
          </w:p>
        </w:tc>
        <w:tc>
          <w:tcPr>
            <w:tcW w:type="dxa" w:w="202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rPr>
              <w:t>No contestó</w:t>
            </w:r>
          </w:p>
        </w:tc>
        <w:tc>
          <w:tcPr>
            <w:tcW w:type="dxa" w:w="190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rPr>
              <w:t>0</w:t>
            </w:r>
          </w:p>
        </w:tc>
        <w:tc>
          <w:tcPr>
            <w:tcW w:type="dxa" w:w="155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rPr>
              <w:t>0%</w:t>
            </w:r>
          </w:p>
        </w:tc>
      </w:tr>
      <w:tr>
        <w:trPr>
          <w:trHeight w:hRule="atLeast" w:val="300"/>
          <w:cantSplit w:val="false"/>
        </w:trPr>
        <w:tc>
          <w:tcPr>
            <w:tcW w:type="dxa" w:w="937"/>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rPr>
              <w:t>B</w:t>
            </w:r>
          </w:p>
        </w:tc>
        <w:tc>
          <w:tcPr>
            <w:tcW w:type="dxa" w:w="202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rPr>
              <w:t>Siempre</w:t>
            </w:r>
          </w:p>
        </w:tc>
        <w:tc>
          <w:tcPr>
            <w:tcW w:type="dxa" w:w="190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rPr>
              <w:t>13</w:t>
            </w:r>
          </w:p>
        </w:tc>
        <w:tc>
          <w:tcPr>
            <w:tcW w:type="dxa" w:w="155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rPr>
              <w:t>68%</w:t>
            </w:r>
          </w:p>
        </w:tc>
      </w:tr>
      <w:tr>
        <w:trPr>
          <w:trHeight w:hRule="atLeast" w:val="300"/>
          <w:cantSplit w:val="false"/>
        </w:trPr>
        <w:tc>
          <w:tcPr>
            <w:tcW w:type="dxa" w:w="937"/>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rPr>
              <w:t>C</w:t>
            </w:r>
          </w:p>
        </w:tc>
        <w:tc>
          <w:tcPr>
            <w:tcW w:type="dxa" w:w="202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rPr>
              <w:t>Casi siempre</w:t>
            </w:r>
          </w:p>
        </w:tc>
        <w:tc>
          <w:tcPr>
            <w:tcW w:type="dxa" w:w="190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rPr>
              <w:t>2</w:t>
            </w:r>
          </w:p>
        </w:tc>
        <w:tc>
          <w:tcPr>
            <w:tcW w:type="dxa" w:w="155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rPr>
              <w:t>11%</w:t>
            </w:r>
          </w:p>
        </w:tc>
      </w:tr>
      <w:tr>
        <w:trPr>
          <w:trHeight w:hRule="atLeast" w:val="300"/>
          <w:cantSplit w:val="false"/>
        </w:trPr>
        <w:tc>
          <w:tcPr>
            <w:tcW w:type="dxa" w:w="937"/>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rPr>
              <w:t>D</w:t>
            </w:r>
          </w:p>
        </w:tc>
        <w:tc>
          <w:tcPr>
            <w:tcW w:type="dxa" w:w="202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rPr>
              <w:t>A veces</w:t>
            </w:r>
          </w:p>
        </w:tc>
        <w:tc>
          <w:tcPr>
            <w:tcW w:type="dxa" w:w="190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rPr>
              <w:t>2</w:t>
            </w:r>
          </w:p>
        </w:tc>
        <w:tc>
          <w:tcPr>
            <w:tcW w:type="dxa" w:w="155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rPr>
              <w:t>11%</w:t>
            </w:r>
          </w:p>
        </w:tc>
      </w:tr>
      <w:tr>
        <w:trPr>
          <w:trHeight w:hRule="atLeast" w:val="300"/>
          <w:cantSplit w:val="false"/>
        </w:trPr>
        <w:tc>
          <w:tcPr>
            <w:tcW w:type="dxa" w:w="937"/>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rPr>
              <w:t>E</w:t>
            </w:r>
          </w:p>
        </w:tc>
        <w:tc>
          <w:tcPr>
            <w:tcW w:type="dxa" w:w="202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rPr>
              <w:t>Casi Nunca</w:t>
            </w:r>
          </w:p>
        </w:tc>
        <w:tc>
          <w:tcPr>
            <w:tcW w:type="dxa" w:w="190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rPr>
              <w:t>0</w:t>
            </w:r>
          </w:p>
        </w:tc>
        <w:tc>
          <w:tcPr>
            <w:tcW w:type="dxa" w:w="155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rPr>
              <w:t>0%</w:t>
            </w:r>
          </w:p>
        </w:tc>
      </w:tr>
      <w:tr>
        <w:trPr>
          <w:trHeight w:hRule="atLeast" w:val="300"/>
          <w:cantSplit w:val="false"/>
        </w:trPr>
        <w:tc>
          <w:tcPr>
            <w:tcW w:type="dxa" w:w="937"/>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rPr>
              <w:t>F</w:t>
            </w:r>
          </w:p>
        </w:tc>
        <w:tc>
          <w:tcPr>
            <w:tcW w:type="dxa" w:w="202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rPr>
              <w:t>Nunca</w:t>
            </w:r>
          </w:p>
        </w:tc>
        <w:tc>
          <w:tcPr>
            <w:tcW w:type="dxa" w:w="190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rPr>
              <w:t>2</w:t>
            </w:r>
          </w:p>
        </w:tc>
        <w:tc>
          <w:tcPr>
            <w:tcW w:type="dxa" w:w="155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rPr>
              <w:t>11%</w:t>
            </w:r>
          </w:p>
        </w:tc>
      </w:tr>
      <w:tr>
        <w:trPr>
          <w:trHeight w:hRule="atLeast" w:val="300"/>
          <w:cantSplit w:val="false"/>
        </w:trPr>
        <w:tc>
          <w:tcPr>
            <w:tcW w:type="dxa" w:w="937"/>
            <w:tcBorders>
              <w:top w:color="000000" w:space="0" w:sz="4" w:val="single"/>
            </w:tcBorders>
            <w:shd w:fill="auto" w:val="clear"/>
            <w:tcMar>
              <w:top w:type="dxa" w:w="0"/>
              <w:left w:type="dxa" w:w="70"/>
              <w:bottom w:type="dxa" w:w="0"/>
              <w:right w:type="dxa" w:w="70"/>
            </w:tcMar>
            <w:vAlign w:val="bottom"/>
          </w:tcPr>
          <w:p>
            <w:pPr>
              <w:pStyle w:val="style0"/>
              <w:snapToGrid w:val="false"/>
              <w:spacing w:after="200" w:before="0" w:line="240" w:lineRule="auto"/>
            </w:pPr>
            <w:r>
              <w:rPr>
                <w:rFonts w:ascii="Arial" w:cs="Arial" w:hAnsi="Arial"/>
                <w:bCs/>
                <w:lang w:eastAsia="es-VE" w:val="es-VE"/>
              </w:rPr>
            </w:r>
          </w:p>
        </w:tc>
        <w:p>
          <w:pPr>
            <w:pStyle w:val="style0"/>
            <w:spacing w:after="200" w:before="0"/>
          </w:pPr>
          <w:r>
            <w:rPr>
              <w:rFonts w:ascii="Arial" w:cs="Arial" w:hAnsi="Arial"/>
            </w:rPr>
            <w:t>Fuente: Mendoza (2015)</w:t>
          </w:r>
        </w:p>
        <w:tc>
          <w:tcPr>
            <w:tcW w:type="dxa" w:w="2020"/>
            <w:tcBorders>
              <w:top w:color="000000" w:space="0" w:sz="4" w:val="single"/>
            </w:tcBorders>
            <w:shd w:fill="auto" w:val="clear"/>
            <w:tcMar>
              <w:top w:type="dxa" w:w="0"/>
              <w:left w:type="dxa" w:w="70"/>
              <w:bottom w:type="dxa" w:w="0"/>
              <w:right w:type="dxa" w:w="70"/>
            </w:tcMar>
            <w:vAlign w:val="bottom"/>
          </w:tcPr>
          <w:p>
            <w:pPr>
              <w:pStyle w:val="style0"/>
              <w:snapToGrid w:val="false"/>
              <w:spacing w:after="200" w:before="0" w:line="240" w:lineRule="auto"/>
            </w:pPr>
            <w:r>
              <w:rPr>
                <w:rFonts w:ascii="Arial" w:cs="Arial" w:hAnsi="Arial"/>
              </w:rPr>
            </w:r>
          </w:p>
        </w:tc>
        <w:tc>
          <w:tcPr>
            <w:tcW w:type="dxa" w:w="1900"/>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rPr>
              <w:t>19</w:t>
            </w:r>
          </w:p>
        </w:tc>
        <w:tc>
          <w:tcPr>
            <w:tcW w:type="dxa" w:w="1550"/>
            <w:tcBorders>
              <w:top w:color="000000" w:space="0" w:sz="4" w:val="single"/>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rPr>
              <w:t>100%</w:t>
            </w:r>
          </w:p>
        </w:tc>
      </w:tr>
    </w:tbl>
    <w:p>
      <w:pPr>
        <w:pStyle w:val="style197"/>
        <w:spacing w:after="0" w:before="0" w:line="360" w:lineRule="auto"/>
        <w:jc w:val="both"/>
      </w:pPr>
      <w:r>
        <w:rPr>
          <w:rFonts w:ascii="Arial" w:cs="Arial" w:hAnsi="Arial"/>
          <w:bCs/>
        </w:rPr>
      </w:r>
    </w:p>
    <w:p>
      <w:pPr>
        <w:pStyle w:val="style197"/>
        <w:spacing w:after="0" w:before="0" w:line="360" w:lineRule="auto"/>
        <w:jc w:val="center"/>
      </w:pPr>
      <w:r>
        <w:rPr>
          <w:lang w:eastAsia="es-VE" w:val="es-VE"/>
        </w:rPr>
        <w:t xml:space="preserve"> </w:t>
      </w:r>
      <w:r>
        <w:rPr>
          <w:lang w:eastAsia="es-VE" w:val="es-ES"/>
        </w:rPr>
        <w:drawing>
          <wp:inline distB="0" distL="0" distR="0" distT="0">
            <wp:extent cx="5255260" cy="3048000"/>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31"/>
                    <a:srcRect/>
                    <a:stretch>
                      <a:fillRect/>
                    </a:stretch>
                  </pic:blipFill>
                  <pic:spPr bwMode="auto">
                    <a:xfrm>
                      <a:off x="0" y="0"/>
                      <a:ext cx="5255260" cy="3048000"/>
                    </a:xfrm>
                    <a:prstGeom prst="rect">
                      <a:avLst/>
                    </a:prstGeom>
                    <a:noFill/>
                    <a:ln w="9525">
                      <a:noFill/>
                      <a:miter lim="800000"/>
                      <a:headEnd/>
                      <a:tailEnd/>
                    </a:ln>
                  </pic:spPr>
                </pic:pic>
              </a:graphicData>
            </a:graphic>
          </wp:inline>
        </w:drawing>
      </w:r>
    </w:p>
    <w:p>
      <w:pPr>
        <w:pStyle w:val="style0"/>
        <w:spacing w:after="200" w:before="0"/>
      </w:pPr>
      <w:r>
        <w:rPr>
          <w:rFonts w:ascii="Arial" w:cs="Arial" w:hAnsi="Arial"/>
        </w:rPr>
        <w:t>Fuente: Mendoza (2015)</w:t>
      </w:r>
    </w:p>
    <w:p>
      <w:pPr>
        <w:pStyle w:val="style197"/>
        <w:spacing w:after="0" w:before="0"/>
        <w:jc w:val="both"/>
      </w:pPr>
      <w:r>
        <w:rPr>
          <w:rFonts w:ascii="Arial" w:cs="Arial" w:hAnsi="Arial"/>
          <w:b/>
          <w:bCs/>
          <w:color w:val="333333"/>
        </w:rPr>
        <w:t xml:space="preserve">Gráfico 4 </w:t>
      </w:r>
      <w:r>
        <w:rPr>
          <w:rFonts w:ascii="Arial" w:cs="Arial" w:hAnsi="Arial"/>
          <w:b/>
          <w:bCs/>
        </w:rPr>
        <w:t>Opinión  sobre los beneficios económicos que proporcionara la enajenación</w:t>
      </w:r>
      <w:r>
        <w:rPr>
          <w:rStyle w:val="style168"/>
          <w:rFonts w:ascii="Arial" w:cs="Arial" w:hAnsi="Arial"/>
          <w:b/>
          <w:color w:val="262626"/>
          <w:shd w:fill="FFFFFF" w:val="clear"/>
        </w:rPr>
        <w:t xml:space="preserve">, permuta o donación de   los </w:t>
      </w:r>
      <w:r>
        <w:rPr>
          <w:rFonts w:ascii="Arial" w:cs="Arial" w:hAnsi="Arial"/>
          <w:b/>
          <w:color w:val="000000"/>
          <w:shd w:fill="FFFFFF" w:val="clear"/>
        </w:rPr>
        <w:t>Bienes Nacionales,  en Estado de Obsolescencia, deterioro y corrosión</w:t>
      </w:r>
      <w:r>
        <w:rPr>
          <w:rFonts w:ascii="Arial" w:cs="Arial" w:hAnsi="Arial"/>
          <w:b/>
          <w:bCs/>
        </w:rPr>
        <w:t xml:space="preserve">  </w:t>
      </w:r>
    </w:p>
    <w:p>
      <w:pPr>
        <w:pStyle w:val="style197"/>
        <w:spacing w:after="0" w:before="0" w:line="360" w:lineRule="auto"/>
        <w:jc w:val="both"/>
      </w:pPr>
      <w:r>
        <w:rPr>
          <w:rFonts w:ascii="Arial" w:cs="Arial" w:hAnsi="Arial"/>
          <w:bCs/>
        </w:rPr>
      </w:r>
    </w:p>
    <w:p>
      <w:pPr>
        <w:pStyle w:val="style197"/>
        <w:spacing w:after="0" w:before="0" w:line="360" w:lineRule="auto"/>
        <w:jc w:val="both"/>
      </w:pPr>
      <w:r>
        <w:rPr>
          <w:rFonts w:ascii="Arial" w:cs="Arial" w:hAnsi="Arial"/>
          <w:b/>
          <w:bCs/>
          <w:color w:val="000000"/>
        </w:rPr>
        <w:t>Análisis:</w:t>
      </w:r>
      <w:r>
        <w:rPr>
          <w:rFonts w:ascii="Arial" w:cs="Arial" w:hAnsi="Arial"/>
          <w:bCs/>
          <w:color w:val="000000"/>
        </w:rPr>
        <w:t xml:space="preserve"> De acuerdo a los resultados obtenidos un porcentaje de los encuestados manifestó como se evidencia en el cuadro y gráfico  que al desarrollarse el proceso de desincorporación producto de la venta de las mismos, este aportará recursos material o inmaterial que permitirá invertirlo en las actividades productiva de la institución,  que estén dirigidos a la comunidad universitaria y  el resto de los encuestado opinó que tal vez o  no traerá ningún beneficio, de ser el caso contrario de que no se produzca ningún ingresos lo importante es el bienestar que este genere a la comunidad universitaria  y   en la  disminución de   la  contaminación  ambiental.</w:t>
      </w:r>
    </w:p>
    <w:p>
      <w:pPr>
        <w:pStyle w:val="style197"/>
        <w:spacing w:after="0" w:before="0" w:line="360" w:lineRule="auto"/>
        <w:jc w:val="both"/>
      </w:pPr>
      <w:r>
        <w:rPr>
          <w:rFonts w:ascii="Arial" w:cs="Arial" w:hAnsi="Arial"/>
          <w:bCs/>
          <w:color w:val="000000"/>
        </w:rPr>
      </w:r>
    </w:p>
    <w:p>
      <w:pPr>
        <w:pStyle w:val="style197"/>
        <w:spacing w:after="0" w:before="0" w:line="360" w:lineRule="auto"/>
        <w:jc w:val="both"/>
      </w:pPr>
      <w:r>
        <w:rPr>
          <w:rFonts w:ascii="Arial" w:cs="Arial" w:hAnsi="Arial"/>
          <w:bCs/>
          <w:color w:val="000000"/>
        </w:rPr>
      </w:r>
    </w:p>
    <w:p>
      <w:pPr>
        <w:pStyle w:val="style197"/>
        <w:spacing w:after="0" w:before="0" w:line="360" w:lineRule="auto"/>
        <w:jc w:val="both"/>
      </w:pPr>
      <w:r>
        <w:rPr>
          <w:rFonts w:ascii="Arial" w:cs="Arial" w:hAnsi="Arial"/>
          <w:bCs/>
          <w:color w:val="333333"/>
        </w:rPr>
      </w:r>
    </w:p>
    <w:p>
      <w:pPr>
        <w:pStyle w:val="style197"/>
        <w:spacing w:after="0" w:before="0" w:line="360" w:lineRule="auto"/>
        <w:jc w:val="both"/>
      </w:pPr>
      <w:r>
        <w:rPr>
          <w:rFonts w:ascii="Arial" w:cs="Arial" w:hAnsi="Arial"/>
          <w:bCs/>
          <w:color w:val="333333"/>
        </w:rPr>
        <w:t xml:space="preserve">Ítem 5. </w:t>
      </w:r>
      <w:r>
        <w:rPr>
          <w:rFonts w:ascii="Arial" w:cs="Arial" w:hAnsi="Arial"/>
          <w:shd w:fill="FFFFFF" w:val="clear"/>
        </w:rPr>
        <w:t>¿Sabe Usted que es reutilizar materiales usados?</w:t>
      </w:r>
    </w:p>
    <w:p>
      <w:pPr>
        <w:pStyle w:val="style197"/>
        <w:spacing w:after="0" w:before="0" w:line="360" w:lineRule="auto"/>
        <w:jc w:val="both"/>
      </w:pPr>
      <w:r>
        <w:rPr>
          <w:rFonts w:ascii="Arial" w:cs="Arial" w:hAnsi="Arial"/>
          <w:shd w:fill="FFFFFF" w:val="clear"/>
        </w:rPr>
      </w:r>
    </w:p>
    <w:tbl>
      <w:tblPr>
        <w:jc w:val="center"/>
        <w:tblBorders>
          <w:top w:color="000000" w:space="0" w:sz="4" w:val="single"/>
          <w:left w:color="000000" w:space="0" w:sz="4" w:val="single"/>
          <w:bottom w:color="000000" w:space="0" w:sz="4" w:val="single"/>
          <w:right w:color="000000" w:space="0" w:sz="4" w:val="single"/>
        </w:tblBorders>
      </w:tblPr>
      <w:tblGrid>
        <w:gridCol w:w="6582"/>
      </w:tblGrid>
      <w:tr>
        <w:trPr>
          <w:trHeight w:hRule="atLeast" w:val="255"/>
          <w:cantSplit w:val="false"/>
        </w:trPr>
        <w:tc>
          <w:tcPr>
            <w:tcW w:type="dxa" w:w="6582"/>
            <w:gridSpan w:val="4"/>
            <w:tcBorders>
              <w:top w:color="000000" w:space="0" w:sz="4" w:val="single"/>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197"/>
              <w:spacing w:after="0" w:before="0" w:line="360" w:lineRule="auto"/>
              <w:jc w:val="center"/>
            </w:pPr>
            <w:r>
              <w:rPr>
                <w:rFonts w:ascii="Arial" w:cs="Arial" w:hAnsi="Arial"/>
                <w:b/>
                <w:shd w:fill="FFFFFF" w:val="clear"/>
              </w:rPr>
              <w:t>Cuadro 8</w:t>
            </w:r>
          </w:p>
          <w:p>
            <w:pPr>
              <w:pStyle w:val="style0"/>
              <w:spacing w:after="200" w:before="0" w:line="240" w:lineRule="auto"/>
              <w:jc w:val="both"/>
            </w:pPr>
            <w:r>
              <w:rPr>
                <w:rFonts w:ascii="Arial" w:cs="Arial" w:hAnsi="Arial"/>
                <w:b/>
                <w:bCs/>
                <w:szCs w:val="20"/>
              </w:rPr>
              <w:t>Conocimiento sobre reutilización de materiales usados</w:t>
            </w:r>
          </w:p>
        </w:tc>
      </w:tr>
      <w:tr>
        <w:trPr>
          <w:trHeight w:hRule="atLeast" w:val="255"/>
          <w:cantSplit w:val="false"/>
        </w:trPr>
        <w:tc>
          <w:tcPr>
            <w:tcW w:type="dxa" w:w="700"/>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jc w:val="center"/>
            </w:pPr>
            <w:r>
              <w:rPr>
                <w:rFonts w:ascii="Arial" w:cs="Arial" w:hAnsi="Arial"/>
                <w:b/>
                <w:bCs/>
              </w:rPr>
              <w:t>Ítem</w:t>
            </w:r>
          </w:p>
        </w:tc>
        <w:tc>
          <w:tcPr>
            <w:tcW w:type="dxa" w:w="2562"/>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jc w:val="center"/>
            </w:pPr>
            <w:r>
              <w:rPr>
                <w:rFonts w:ascii="Arial" w:cs="Arial" w:hAnsi="Arial"/>
                <w:b/>
                <w:bCs/>
              </w:rPr>
              <w:t>Opciones  de Repuestas</w:t>
            </w:r>
          </w:p>
        </w:tc>
        <w:tc>
          <w:tcPr>
            <w:tcW w:type="dxa" w:w="2110"/>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jc w:val="center"/>
            </w:pPr>
            <w:r>
              <w:rPr>
                <w:rFonts w:ascii="Arial" w:cs="Arial" w:hAnsi="Arial"/>
                <w:b/>
                <w:bCs/>
              </w:rPr>
              <w:t>Frecuencia</w:t>
            </w:r>
          </w:p>
        </w:tc>
        <w:tc>
          <w:tcPr>
            <w:tcW w:type="dxa" w:w="1210"/>
            <w:tcBorders>
              <w:top w:color="000000" w:space="0" w:sz="4" w:val="single"/>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jc w:val="center"/>
            </w:pPr>
            <w:r>
              <w:rPr>
                <w:rFonts w:ascii="Arial" w:cs="Arial" w:hAnsi="Arial"/>
                <w:b/>
                <w:bCs/>
              </w:rPr>
              <w:t>Valor %</w:t>
            </w:r>
          </w:p>
        </w:tc>
      </w:tr>
      <w:tr>
        <w:trPr>
          <w:trHeight w:hRule="atLeast" w:val="255"/>
          <w:cantSplit w:val="false"/>
        </w:trPr>
        <w:tc>
          <w:tcPr>
            <w:tcW w:type="dxa" w:w="70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rPr>
              <w:t>A</w:t>
            </w:r>
          </w:p>
        </w:tc>
        <w:tc>
          <w:tcPr>
            <w:tcW w:type="dxa" w:w="2562"/>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rPr>
              <w:t>No contestó</w:t>
            </w:r>
          </w:p>
        </w:tc>
        <w:tc>
          <w:tcPr>
            <w:tcW w:type="dxa" w:w="211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rPr>
              <w:t>0</w:t>
            </w:r>
          </w:p>
        </w:tc>
        <w:tc>
          <w:tcPr>
            <w:tcW w:type="dxa" w:w="121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rPr>
              <w:t>0%</w:t>
            </w:r>
          </w:p>
        </w:tc>
      </w:tr>
      <w:tr>
        <w:trPr>
          <w:trHeight w:hRule="atLeast" w:val="255"/>
          <w:cantSplit w:val="false"/>
        </w:trPr>
        <w:tc>
          <w:tcPr>
            <w:tcW w:type="dxa" w:w="70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rPr>
              <w:t>B</w:t>
            </w:r>
          </w:p>
        </w:tc>
        <w:tc>
          <w:tcPr>
            <w:tcW w:type="dxa" w:w="2562"/>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rPr>
              <w:t>Siempre</w:t>
            </w:r>
          </w:p>
        </w:tc>
        <w:tc>
          <w:tcPr>
            <w:tcW w:type="dxa" w:w="211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rPr>
              <w:t>16</w:t>
            </w:r>
          </w:p>
        </w:tc>
        <w:tc>
          <w:tcPr>
            <w:tcW w:type="dxa" w:w="121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rPr>
              <w:t>84%</w:t>
            </w:r>
          </w:p>
        </w:tc>
      </w:tr>
      <w:tr>
        <w:trPr>
          <w:trHeight w:hRule="atLeast" w:val="255"/>
          <w:cantSplit w:val="false"/>
        </w:trPr>
        <w:tc>
          <w:tcPr>
            <w:tcW w:type="dxa" w:w="70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rPr>
              <w:t>C</w:t>
            </w:r>
          </w:p>
        </w:tc>
        <w:tc>
          <w:tcPr>
            <w:tcW w:type="dxa" w:w="2562"/>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rPr>
              <w:t>Casi siempre</w:t>
            </w:r>
          </w:p>
        </w:tc>
        <w:tc>
          <w:tcPr>
            <w:tcW w:type="dxa" w:w="211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rPr>
              <w:t>0</w:t>
            </w:r>
          </w:p>
        </w:tc>
        <w:tc>
          <w:tcPr>
            <w:tcW w:type="dxa" w:w="121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rPr>
              <w:t>0%</w:t>
            </w:r>
          </w:p>
        </w:tc>
      </w:tr>
      <w:tr>
        <w:trPr>
          <w:trHeight w:hRule="atLeast" w:val="255"/>
          <w:cantSplit w:val="false"/>
        </w:trPr>
        <w:tc>
          <w:tcPr>
            <w:tcW w:type="dxa" w:w="70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rPr>
              <w:t>D</w:t>
            </w:r>
          </w:p>
        </w:tc>
        <w:tc>
          <w:tcPr>
            <w:tcW w:type="dxa" w:w="2562"/>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rPr>
              <w:t>A veces</w:t>
            </w:r>
          </w:p>
        </w:tc>
        <w:tc>
          <w:tcPr>
            <w:tcW w:type="dxa" w:w="211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rPr>
              <w:t>0</w:t>
            </w:r>
          </w:p>
        </w:tc>
        <w:tc>
          <w:tcPr>
            <w:tcW w:type="dxa" w:w="121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rPr>
              <w:t>0%</w:t>
            </w:r>
          </w:p>
        </w:tc>
      </w:tr>
      <w:tr>
        <w:trPr>
          <w:trHeight w:hRule="atLeast" w:val="255"/>
          <w:cantSplit w:val="false"/>
        </w:trPr>
        <w:tc>
          <w:tcPr>
            <w:tcW w:type="dxa" w:w="70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rPr>
              <w:t>E</w:t>
            </w:r>
          </w:p>
        </w:tc>
        <w:tc>
          <w:tcPr>
            <w:tcW w:type="dxa" w:w="2562"/>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rPr>
              <w:t>Casi Nunca</w:t>
            </w:r>
          </w:p>
        </w:tc>
        <w:tc>
          <w:tcPr>
            <w:tcW w:type="dxa" w:w="211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rPr>
              <w:t>0</w:t>
            </w:r>
          </w:p>
        </w:tc>
        <w:tc>
          <w:tcPr>
            <w:tcW w:type="dxa" w:w="121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rPr>
              <w:t>0%</w:t>
            </w:r>
          </w:p>
        </w:tc>
      </w:tr>
      <w:tr>
        <w:trPr>
          <w:trHeight w:hRule="atLeast" w:val="255"/>
          <w:cantSplit w:val="false"/>
        </w:trPr>
        <w:tc>
          <w:tcPr>
            <w:tcW w:type="dxa" w:w="70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rPr>
              <w:t>F</w:t>
            </w:r>
          </w:p>
        </w:tc>
        <w:tc>
          <w:tcPr>
            <w:tcW w:type="dxa" w:w="2562"/>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rPr>
              <w:t>Nunca</w:t>
            </w:r>
          </w:p>
        </w:tc>
        <w:tc>
          <w:tcPr>
            <w:tcW w:type="dxa" w:w="211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rPr>
              <w:t>3</w:t>
            </w:r>
          </w:p>
        </w:tc>
        <w:tc>
          <w:tcPr>
            <w:tcW w:type="dxa" w:w="121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rPr>
              <w:t>16%</w:t>
            </w:r>
          </w:p>
        </w:tc>
      </w:tr>
      <w:tr>
        <w:trPr>
          <w:trHeight w:hRule="atLeast" w:val="255"/>
          <w:cantSplit w:val="false"/>
        </w:trPr>
        <w:tc>
          <w:tcPr>
            <w:tcW w:type="dxa" w:w="700"/>
            <w:tcBorders>
              <w:top w:color="000000" w:space="0" w:sz="4" w:val="single"/>
            </w:tcBorders>
            <w:shd w:fill="auto" w:val="clear"/>
            <w:tcMar>
              <w:top w:type="dxa" w:w="0"/>
              <w:left w:type="dxa" w:w="70"/>
              <w:bottom w:type="dxa" w:w="0"/>
              <w:right w:type="dxa" w:w="70"/>
            </w:tcMar>
            <w:vAlign w:val="bottom"/>
          </w:tcPr>
          <w:p>
            <w:pPr>
              <w:pStyle w:val="style0"/>
              <w:snapToGrid w:val="false"/>
              <w:spacing w:after="200" w:before="0" w:line="240" w:lineRule="auto"/>
            </w:pPr>
            <w:r>
              <w:rPr>
                <w:rFonts w:ascii="Arial" w:cs="Arial" w:hAnsi="Arial"/>
                <w:bCs/>
                <w:lang w:eastAsia="es-VE" w:val="es-VE"/>
              </w:rPr>
            </w:r>
          </w:p>
        </w:tc>
        <w:p>
          <w:pPr>
            <w:pStyle w:val="style0"/>
            <w:spacing w:after="200" w:before="0"/>
          </w:pPr>
          <w:r>
            <w:rPr>
              <w:rFonts w:ascii="Arial" w:cs="Arial" w:hAnsi="Arial"/>
            </w:rPr>
            <w:t>Fuente: Mendoza (2015)</w:t>
          </w:r>
        </w:p>
        <w:tc>
          <w:tcPr>
            <w:tcW w:type="dxa" w:w="2562"/>
            <w:tcBorders>
              <w:top w:color="000000" w:space="0" w:sz="4" w:val="single"/>
            </w:tcBorders>
            <w:shd w:fill="auto" w:val="clear"/>
            <w:tcMar>
              <w:top w:type="dxa" w:w="0"/>
              <w:left w:type="dxa" w:w="70"/>
              <w:bottom w:type="dxa" w:w="0"/>
              <w:right w:type="dxa" w:w="70"/>
            </w:tcMar>
            <w:vAlign w:val="bottom"/>
          </w:tcPr>
          <w:p>
            <w:pPr>
              <w:pStyle w:val="style0"/>
              <w:snapToGrid w:val="false"/>
              <w:spacing w:after="200" w:before="0" w:line="240" w:lineRule="auto"/>
            </w:pPr>
            <w:r>
              <w:rPr>
                <w:rFonts w:ascii="Arial" w:cs="Arial" w:hAnsi="Arial"/>
              </w:rPr>
            </w:r>
          </w:p>
        </w:tc>
        <w:tc>
          <w:tcPr>
            <w:tcW w:type="dxa" w:w="2110"/>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rPr>
              <w:t>19</w:t>
            </w:r>
          </w:p>
        </w:tc>
        <w:tc>
          <w:tcPr>
            <w:tcW w:type="dxa" w:w="1210"/>
            <w:tcBorders>
              <w:top w:color="000000" w:space="0" w:sz="4" w:val="single"/>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rPr>
              <w:t>100%</w:t>
            </w:r>
          </w:p>
        </w:tc>
      </w:tr>
    </w:tbl>
    <w:p>
      <w:pPr>
        <w:pStyle w:val="style197"/>
        <w:spacing w:after="0" w:before="0" w:line="360" w:lineRule="auto"/>
        <w:jc w:val="both"/>
      </w:pPr>
      <w:r>
        <w:rPr>
          <w:rFonts w:ascii="Arial" w:cs="Arial" w:hAnsi="Arial"/>
          <w:bCs/>
        </w:rPr>
      </w:r>
    </w:p>
    <w:p>
      <w:pPr>
        <w:pStyle w:val="style197"/>
        <w:spacing w:after="0" w:before="0" w:line="360" w:lineRule="auto"/>
        <w:jc w:val="center"/>
      </w:pPr>
      <w:r>
        <w:rPr>
          <w:lang w:eastAsia="es-VE" w:val="es-VE"/>
        </w:rPr>
        <w:t xml:space="preserve"> </w:t>
      </w:r>
      <w:r>
        <w:rPr>
          <w:lang w:eastAsia="es-VE" w:val="es-ES"/>
        </w:rPr>
        <w:drawing>
          <wp:inline distB="0" distL="0" distR="0" distT="0">
            <wp:extent cx="4529455" cy="1819275"/>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32"/>
                    <a:srcRect/>
                    <a:stretch>
                      <a:fillRect/>
                    </a:stretch>
                  </pic:blipFill>
                  <pic:spPr bwMode="auto">
                    <a:xfrm>
                      <a:off x="0" y="0"/>
                      <a:ext cx="4529455" cy="1819275"/>
                    </a:xfrm>
                    <a:prstGeom prst="rect">
                      <a:avLst/>
                    </a:prstGeom>
                    <a:noFill/>
                    <a:ln w="9525">
                      <a:noFill/>
                      <a:miter lim="800000"/>
                      <a:headEnd/>
                      <a:tailEnd/>
                    </a:ln>
                  </pic:spPr>
                </pic:pic>
              </a:graphicData>
            </a:graphic>
          </wp:inline>
        </w:drawing>
      </w:r>
    </w:p>
    <w:p>
      <w:pPr>
        <w:pStyle w:val="style0"/>
        <w:spacing w:after="200" w:before="0"/>
      </w:pPr>
      <w:r>
        <w:rPr>
          <w:rFonts w:ascii="Arial" w:cs="Arial" w:hAnsi="Arial"/>
        </w:rPr>
        <w:t>Fuente: Mendoza (2015)</w:t>
      </w:r>
    </w:p>
    <w:p>
      <w:pPr>
        <w:pStyle w:val="style197"/>
        <w:spacing w:after="0" w:before="0"/>
        <w:jc w:val="both"/>
      </w:pPr>
      <w:r>
        <w:rPr>
          <w:rFonts w:ascii="Arial" w:cs="Arial" w:hAnsi="Arial"/>
          <w:b/>
          <w:bCs/>
          <w:color w:val="333333"/>
        </w:rPr>
        <w:t xml:space="preserve">Gráfico 5 </w:t>
      </w:r>
      <w:r>
        <w:rPr>
          <w:rFonts w:ascii="Arial" w:cs="Arial" w:hAnsi="Arial"/>
          <w:b/>
          <w:bCs/>
          <w:sz w:val="22"/>
          <w:szCs w:val="20"/>
        </w:rPr>
        <w:t>Conocimiento sobre reutilización de materiales usados</w:t>
      </w:r>
    </w:p>
    <w:p>
      <w:pPr>
        <w:pStyle w:val="style197"/>
        <w:spacing w:after="0" w:before="0" w:line="360" w:lineRule="auto"/>
        <w:jc w:val="both"/>
      </w:pPr>
      <w:r>
        <w:rPr>
          <w:rFonts w:ascii="Arial" w:cs="Arial" w:hAnsi="Arial"/>
          <w:bCs/>
          <w:i/>
        </w:rPr>
      </w:r>
    </w:p>
    <w:p>
      <w:pPr>
        <w:pStyle w:val="style197"/>
        <w:spacing w:after="0" w:before="0" w:line="360" w:lineRule="auto"/>
        <w:jc w:val="both"/>
      </w:pPr>
      <w:r>
        <w:rPr>
          <w:rFonts w:ascii="Arial" w:cs="Arial" w:hAnsi="Arial"/>
          <w:b/>
        </w:rPr>
        <w:t xml:space="preserve">Análisis: </w:t>
        <w:tab/>
      </w:r>
      <w:r>
        <w:rPr>
          <w:rFonts w:ascii="Arial" w:cs="Arial" w:hAnsi="Arial"/>
        </w:rPr>
        <w:t xml:space="preserve">De los resultados obtenidos en la tabla y gráfico correspondiente al ítem Nº 05, se </w:t>
      </w:r>
      <w:r>
        <w:rPr>
          <w:rFonts w:ascii="Arial" w:cs="Arial" w:hAnsi="Arial"/>
          <w:color w:val="000000"/>
        </w:rPr>
        <w:t>acota que el ochenta y cuatro (84) por ciento (%)de los encuestados, opinaron,  que si tienen conocimientos sobre reutilizar los materiales usados, mientras que el  dieciséis (16) por ciento (%) expresaron no saber, es importante resaltar que a pesar de que la mayoría de los encuestados dice  conocer sobre el reciclaje de los materiales usados; se debe realizar acciones de divulgación del mismo en la comunidad universitaria para concienciar a la población en la  protección y  el cuidado del ambiente, y  así  mejorar nuestra calidad de vida,  como también  ayudar a disminuir  el calentamiento global.</w:t>
      </w:r>
    </w:p>
    <w:p>
      <w:pPr>
        <w:pStyle w:val="style0"/>
        <w:spacing w:line="360" w:lineRule="auto"/>
        <w:jc w:val="both"/>
      </w:pPr>
      <w:r>
        <w:rPr>
          <w:rFonts w:ascii="Arial" w:cs="Arial" w:hAnsi="Arial"/>
          <w:color w:val="000000"/>
          <w:sz w:val="24"/>
          <w:szCs w:val="24"/>
        </w:rPr>
        <w:tab/>
        <w:t xml:space="preserve">Según la página Web del </w:t>
      </w:r>
      <w:hyperlink r:id="rId33">
        <w:r>
          <w:rPr>
            <w:rStyle w:val="style147"/>
            <w:rStyle w:val="style148"/>
            <w:rFonts w:ascii="Arial" w:hAnsi="Arial"/>
            <w:sz w:val="24"/>
            <w:szCs w:val="24"/>
          </w:rPr>
          <w:t>http://elreciclaje.org/</w:t>
        </w:r>
      </w:hyperlink>
      <w:r>
        <w:rPr>
          <w:rFonts w:ascii="Arial" w:cs="Arial" w:hAnsi="Arial"/>
          <w:color w:val="000000"/>
          <w:sz w:val="24"/>
          <w:szCs w:val="24"/>
        </w:rPr>
        <w:t xml:space="preserve">   señala que con el</w:t>
      </w:r>
      <w:r>
        <w:rPr>
          <w:rFonts w:ascii="Arial" w:cs="Arial" w:hAnsi="Arial"/>
          <w:bCs/>
          <w:color w:val="000000"/>
          <w:sz w:val="24"/>
          <w:szCs w:val="24"/>
        </w:rPr>
        <w:t xml:space="preserve"> Reciclaje se </w:t>
      </w:r>
      <w:r>
        <w:rPr>
          <w:rFonts w:ascii="Arial" w:cs="Arial" w:hAnsi="Arial"/>
          <w:color w:val="000000"/>
          <w:sz w:val="24"/>
          <w:szCs w:val="24"/>
        </w:rPr>
        <w:t xml:space="preserve">transforma los materiales usados, que de otro modo serían simplemente desechos, en recursos muy valiosos. Para hacer tal acción hay que llevarlos a una instalación o puesto de recogida, siendo este el  primer paso para una serie de pasos generadores de una gran cantidad de recursos financieros, ambientales y cómo no de beneficios sociales. Algunos de estos beneficios se acumulan tanto a nivel mundial como a nivel local. </w:t>
        <w:tab/>
      </w:r>
      <w:r>
        <w:rPr>
          <w:rFonts w:ascii="Arial" w:cs="Arial" w:hAnsi="Arial"/>
          <w:bCs/>
          <w:color w:val="000000"/>
          <w:sz w:val="24"/>
          <w:szCs w:val="24"/>
        </w:rPr>
        <w:t>Entre los beneficios del Reciclaje se encuentra según el reciclaje.org los siguientes:</w:t>
      </w:r>
    </w:p>
    <w:p>
      <w:pPr>
        <w:pStyle w:val="style0"/>
        <w:numPr>
          <w:ilvl w:val="0"/>
          <w:numId w:val="37"/>
        </w:numPr>
        <w:spacing w:after="48" w:before="48" w:line="360" w:lineRule="auto"/>
        <w:ind w:hanging="357" w:left="714" w:right="0"/>
        <w:jc w:val="both"/>
      </w:pPr>
      <w:r>
        <w:rPr>
          <w:rFonts w:ascii="Arial" w:cs="Arial" w:hAnsi="Arial"/>
          <w:color w:val="000000"/>
          <w:sz w:val="24"/>
          <w:szCs w:val="24"/>
        </w:rPr>
        <w:t>Reduce la necesidad de vertederos y del proceso de incineración.</w:t>
      </w:r>
    </w:p>
    <w:p>
      <w:pPr>
        <w:pStyle w:val="style0"/>
        <w:numPr>
          <w:ilvl w:val="0"/>
          <w:numId w:val="37"/>
        </w:numPr>
        <w:spacing w:after="48" w:before="48" w:line="360" w:lineRule="auto"/>
        <w:ind w:hanging="357" w:left="714" w:right="0"/>
        <w:jc w:val="both"/>
      </w:pPr>
      <w:r>
        <w:rPr>
          <w:rFonts w:ascii="Arial" w:cs="Arial" w:hAnsi="Arial"/>
          <w:color w:val="000000"/>
          <w:sz w:val="24"/>
          <w:szCs w:val="24"/>
        </w:rPr>
        <w:t>Evita la contaminación causada por la fabricación de productos de materiales vírgenes.</w:t>
      </w:r>
    </w:p>
    <w:p>
      <w:pPr>
        <w:pStyle w:val="style0"/>
        <w:numPr>
          <w:ilvl w:val="0"/>
          <w:numId w:val="37"/>
        </w:numPr>
        <w:spacing w:after="48" w:before="48" w:line="360" w:lineRule="auto"/>
        <w:ind w:hanging="357" w:left="714" w:right="0"/>
        <w:jc w:val="both"/>
      </w:pPr>
      <w:r>
        <w:rPr>
          <w:rFonts w:ascii="Arial" w:cs="Arial" w:hAnsi="Arial"/>
          <w:color w:val="000000"/>
          <w:sz w:val="24"/>
          <w:szCs w:val="24"/>
        </w:rPr>
        <w:t>Ahorra energía.</w:t>
      </w:r>
    </w:p>
    <w:p>
      <w:pPr>
        <w:pStyle w:val="style0"/>
        <w:numPr>
          <w:ilvl w:val="0"/>
          <w:numId w:val="37"/>
        </w:numPr>
        <w:spacing w:after="48" w:before="48" w:line="360" w:lineRule="auto"/>
        <w:ind w:hanging="357" w:left="714" w:right="0"/>
        <w:jc w:val="both"/>
      </w:pPr>
      <w:r>
        <w:rPr>
          <w:rFonts w:ascii="Arial" w:cs="Arial" w:hAnsi="Arial"/>
          <w:color w:val="000000"/>
          <w:sz w:val="24"/>
          <w:szCs w:val="24"/>
        </w:rPr>
        <w:t>Reduce las emisiones de Gases de</w:t>
      </w:r>
      <w:r>
        <w:rPr>
          <w:rStyle w:val="style147"/>
          <w:rFonts w:ascii="Arial" w:cs="Arial" w:hAnsi="Arial"/>
          <w:color w:val="000000"/>
          <w:sz w:val="24"/>
          <w:szCs w:val="24"/>
        </w:rPr>
        <w:t xml:space="preserve"> </w:t>
      </w:r>
      <w:hyperlink r:id="rId34">
        <w:r>
          <w:rPr>
            <w:rStyle w:val="style148"/>
            <w:rStyle w:val="style148"/>
            <w:rFonts w:ascii="Arial" w:cs="Arial" w:hAnsi="Arial"/>
            <w:color w:val="000000"/>
            <w:sz w:val="24"/>
            <w:szCs w:val="24"/>
            <w:u w:val="none"/>
          </w:rPr>
          <w:t>efecto invernadero</w:t>
        </w:r>
      </w:hyperlink>
      <w:r>
        <w:rPr>
          <w:rStyle w:val="style147"/>
          <w:rFonts w:ascii="Arial" w:cs="Arial" w:hAnsi="Arial"/>
          <w:color w:val="000000"/>
          <w:sz w:val="24"/>
          <w:szCs w:val="24"/>
        </w:rPr>
        <w:t xml:space="preserve"> </w:t>
      </w:r>
      <w:r>
        <w:rPr>
          <w:rFonts w:ascii="Arial" w:cs="Arial" w:hAnsi="Arial"/>
          <w:color w:val="000000"/>
          <w:sz w:val="24"/>
          <w:szCs w:val="24"/>
        </w:rPr>
        <w:t>que contribuyen al cambio climático y global.</w:t>
      </w:r>
    </w:p>
    <w:p>
      <w:pPr>
        <w:pStyle w:val="style0"/>
        <w:numPr>
          <w:ilvl w:val="0"/>
          <w:numId w:val="37"/>
        </w:numPr>
        <w:spacing w:after="48" w:before="48" w:line="360" w:lineRule="auto"/>
        <w:ind w:hanging="357" w:left="714" w:right="0"/>
        <w:jc w:val="both"/>
      </w:pPr>
      <w:r>
        <w:rPr>
          <w:rFonts w:ascii="Arial" w:cs="Arial" w:hAnsi="Arial"/>
          <w:color w:val="000000"/>
          <w:sz w:val="24"/>
          <w:szCs w:val="24"/>
        </w:rPr>
        <w:t>Ahorra en Recursos naturales como son el uso de la madera, el agua y los minerales.</w:t>
      </w:r>
    </w:p>
    <w:p>
      <w:pPr>
        <w:pStyle w:val="style0"/>
        <w:numPr>
          <w:ilvl w:val="0"/>
          <w:numId w:val="37"/>
        </w:numPr>
        <w:spacing w:after="48" w:before="48" w:line="360" w:lineRule="auto"/>
        <w:ind w:hanging="357" w:left="714" w:right="0"/>
        <w:jc w:val="both"/>
      </w:pPr>
      <w:r>
        <w:rPr>
          <w:rFonts w:ascii="Arial" w:cs="Arial" w:hAnsi="Arial"/>
          <w:color w:val="000000"/>
          <w:sz w:val="24"/>
          <w:szCs w:val="24"/>
        </w:rPr>
        <w:t>Ayuda a mantener y proteger el medio ambiente para las generaciones futuras.</w:t>
      </w:r>
    </w:p>
    <w:p>
      <w:pPr>
        <w:pStyle w:val="style197"/>
        <w:spacing w:after="0" w:before="0" w:line="360" w:lineRule="auto"/>
        <w:jc w:val="both"/>
      </w:pPr>
      <w:r>
        <w:rPr>
          <w:rFonts w:ascii="Arial" w:cs="Arial" w:hAnsi="Arial"/>
          <w:color w:val="000000"/>
        </w:rPr>
        <w:tab/>
        <w:t>Como se visualiza todo y cada uno de estos beneficios tiene un solo fin que es la preservación del ambiente y el aprovechamiento de los materiales para minimizar costos y producir utilidades financieras para quien aplique esta estrategia.</w:t>
      </w:r>
    </w:p>
    <w:p>
      <w:pPr>
        <w:pStyle w:val="style0"/>
        <w:pageBreakBefore/>
        <w:spacing w:after="0" w:before="0" w:line="240" w:lineRule="auto"/>
      </w:pPr>
      <w:r>
        <w:rPr>
          <w:rFonts w:ascii="Arial" w:cs="Arial" w:hAnsi="Arial"/>
          <w:bCs/>
          <w:sz w:val="24"/>
        </w:rPr>
        <w:t>Ítem 6</w:t>
      </w:r>
      <w:r>
        <w:rPr>
          <w:rFonts w:ascii="Arial" w:cs="Arial" w:hAnsi="Arial"/>
          <w:bCs/>
          <w:i/>
          <w:sz w:val="24"/>
        </w:rPr>
        <w:t xml:space="preserve"> </w:t>
      </w:r>
      <w:r>
        <w:rPr>
          <w:rFonts w:ascii="Arial" w:cs="Arial" w:hAnsi="Arial"/>
          <w:sz w:val="24"/>
          <w:shd w:fill="FFFFFF" w:val="clear"/>
        </w:rPr>
        <w:t>¿Sabe Usted que el metal se puede reciclar?</w:t>
      </w:r>
    </w:p>
    <w:p>
      <w:pPr>
        <w:pStyle w:val="style197"/>
        <w:spacing w:after="0" w:before="0" w:line="360" w:lineRule="auto"/>
        <w:jc w:val="center"/>
      </w:pPr>
      <w:r>
        <w:rPr>
          <w:rFonts w:ascii="Arial" w:cs="Arial" w:hAnsi="Arial"/>
          <w:b/>
          <w:shd w:fill="FFFFFF" w:val="clear"/>
        </w:rPr>
      </w:r>
    </w:p>
    <w:tbl>
      <w:tblPr>
        <w:jc w:val="center"/>
        <w:tblBorders>
          <w:top w:color="000000" w:space="0" w:sz="4" w:val="single"/>
          <w:left w:color="000000" w:space="0" w:sz="4" w:val="single"/>
          <w:bottom w:color="000000" w:space="0" w:sz="4" w:val="single"/>
          <w:right w:color="000000" w:space="0" w:sz="4" w:val="single"/>
        </w:tblBorders>
      </w:tblPr>
      <w:tblGrid>
        <w:gridCol w:w="6407"/>
      </w:tblGrid>
      <w:tr>
        <w:trPr>
          <w:trHeight w:hRule="atLeast" w:val="255"/>
          <w:cantSplit w:val="false"/>
        </w:trPr>
        <w:tc>
          <w:tcPr>
            <w:tcW w:type="dxa" w:w="6407"/>
            <w:gridSpan w:val="4"/>
            <w:tcBorders>
              <w:top w:color="000000" w:space="0" w:sz="4" w:val="single"/>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197"/>
              <w:spacing w:after="0" w:before="0" w:line="360" w:lineRule="auto"/>
              <w:jc w:val="center"/>
            </w:pPr>
            <w:r>
              <w:rPr>
                <w:rFonts w:ascii="Arial" w:cs="Arial" w:hAnsi="Arial"/>
                <w:b/>
                <w:shd w:fill="FFFFFF" w:val="clear"/>
              </w:rPr>
              <w:t>Cuadro 9</w:t>
            </w:r>
          </w:p>
          <w:p>
            <w:pPr>
              <w:pStyle w:val="style0"/>
              <w:spacing w:after="200" w:before="0" w:line="240" w:lineRule="auto"/>
              <w:jc w:val="both"/>
            </w:pPr>
            <w:r>
              <w:rPr>
                <w:rFonts w:ascii="Arial" w:cs="Arial" w:hAnsi="Arial"/>
                <w:b/>
                <w:bCs/>
                <w:color w:val="000000"/>
                <w:szCs w:val="20"/>
              </w:rPr>
              <w:t>Conocimiento sobre el reciclar el metal</w:t>
            </w:r>
          </w:p>
        </w:tc>
      </w:tr>
      <w:tr>
        <w:trPr>
          <w:trHeight w:hRule="atLeast" w:val="255"/>
          <w:cantSplit w:val="false"/>
        </w:trPr>
        <w:tc>
          <w:tcPr>
            <w:tcW w:type="dxa" w:w="714"/>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jc w:val="center"/>
            </w:pPr>
            <w:r>
              <w:rPr>
                <w:rFonts w:ascii="Arial" w:cs="Arial" w:hAnsi="Arial"/>
                <w:b/>
                <w:bCs/>
              </w:rPr>
              <w:t>Ítem</w:t>
            </w:r>
          </w:p>
        </w:tc>
        <w:tc>
          <w:tcPr>
            <w:tcW w:type="dxa" w:w="2318"/>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jc w:val="center"/>
            </w:pPr>
            <w:r>
              <w:rPr>
                <w:rFonts w:ascii="Arial" w:cs="Arial" w:hAnsi="Arial"/>
                <w:b/>
                <w:bCs/>
              </w:rPr>
              <w:t>Opciones  de Repuestas</w:t>
            </w:r>
          </w:p>
        </w:tc>
        <w:tc>
          <w:tcPr>
            <w:tcW w:type="dxa" w:w="2268"/>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jc w:val="center"/>
            </w:pPr>
            <w:r>
              <w:rPr>
                <w:rFonts w:ascii="Arial" w:cs="Arial" w:hAnsi="Arial"/>
                <w:b/>
                <w:bCs/>
              </w:rPr>
              <w:t>Frecuencia</w:t>
            </w:r>
          </w:p>
        </w:tc>
        <w:tc>
          <w:tcPr>
            <w:tcW w:type="dxa" w:w="1107"/>
            <w:tcBorders>
              <w:top w:color="000000" w:space="0" w:sz="4" w:val="single"/>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jc w:val="center"/>
            </w:pPr>
            <w:r>
              <w:rPr>
                <w:rFonts w:ascii="Arial" w:cs="Arial" w:hAnsi="Arial"/>
                <w:b/>
                <w:bCs/>
              </w:rPr>
              <w:t>Valor %</w:t>
            </w:r>
          </w:p>
        </w:tc>
      </w:tr>
      <w:tr>
        <w:trPr>
          <w:trHeight w:hRule="atLeast" w:val="255"/>
          <w:cantSplit w:val="false"/>
        </w:trPr>
        <w:tc>
          <w:tcPr>
            <w:tcW w:type="dxa" w:w="714"/>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szCs w:val="20"/>
              </w:rPr>
              <w:t>A</w:t>
            </w:r>
          </w:p>
        </w:tc>
        <w:tc>
          <w:tcPr>
            <w:tcW w:type="dxa" w:w="2318"/>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color w:val="000000"/>
                <w:szCs w:val="20"/>
              </w:rPr>
              <w:t>No contestó</w:t>
            </w:r>
          </w:p>
        </w:tc>
        <w:tc>
          <w:tcPr>
            <w:tcW w:type="dxa" w:w="2268"/>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Cs w:val="20"/>
              </w:rPr>
              <w:t>0</w:t>
            </w:r>
          </w:p>
        </w:tc>
        <w:tc>
          <w:tcPr>
            <w:tcW w:type="dxa" w:w="1107"/>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Cs w:val="20"/>
              </w:rPr>
              <w:t>0%</w:t>
            </w:r>
          </w:p>
        </w:tc>
      </w:tr>
      <w:tr>
        <w:trPr>
          <w:trHeight w:hRule="atLeast" w:val="255"/>
          <w:cantSplit w:val="false"/>
        </w:trPr>
        <w:tc>
          <w:tcPr>
            <w:tcW w:type="dxa" w:w="714"/>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szCs w:val="20"/>
              </w:rPr>
              <w:t>B</w:t>
            </w:r>
          </w:p>
        </w:tc>
        <w:tc>
          <w:tcPr>
            <w:tcW w:type="dxa" w:w="2318"/>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color w:val="000000"/>
                <w:szCs w:val="20"/>
              </w:rPr>
              <w:t>Siempre</w:t>
            </w:r>
          </w:p>
        </w:tc>
        <w:tc>
          <w:tcPr>
            <w:tcW w:type="dxa" w:w="2268"/>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Cs w:val="20"/>
              </w:rPr>
              <w:t>14</w:t>
            </w:r>
          </w:p>
        </w:tc>
        <w:tc>
          <w:tcPr>
            <w:tcW w:type="dxa" w:w="1107"/>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Cs w:val="20"/>
              </w:rPr>
              <w:t>74%</w:t>
            </w:r>
          </w:p>
        </w:tc>
      </w:tr>
      <w:tr>
        <w:trPr>
          <w:trHeight w:hRule="atLeast" w:val="255"/>
          <w:cantSplit w:val="false"/>
        </w:trPr>
        <w:tc>
          <w:tcPr>
            <w:tcW w:type="dxa" w:w="714"/>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szCs w:val="20"/>
              </w:rPr>
              <w:t>C</w:t>
            </w:r>
          </w:p>
        </w:tc>
        <w:tc>
          <w:tcPr>
            <w:tcW w:type="dxa" w:w="2318"/>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color w:val="000000"/>
                <w:szCs w:val="20"/>
              </w:rPr>
              <w:t>Casi siempre</w:t>
            </w:r>
          </w:p>
        </w:tc>
        <w:tc>
          <w:tcPr>
            <w:tcW w:type="dxa" w:w="2268"/>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Cs w:val="20"/>
              </w:rPr>
              <w:t>0</w:t>
            </w:r>
          </w:p>
        </w:tc>
        <w:tc>
          <w:tcPr>
            <w:tcW w:type="dxa" w:w="1107"/>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Cs w:val="20"/>
              </w:rPr>
              <w:t>0%</w:t>
            </w:r>
          </w:p>
        </w:tc>
      </w:tr>
      <w:tr>
        <w:trPr>
          <w:trHeight w:hRule="atLeast" w:val="255"/>
          <w:cantSplit w:val="false"/>
        </w:trPr>
        <w:tc>
          <w:tcPr>
            <w:tcW w:type="dxa" w:w="714"/>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szCs w:val="20"/>
              </w:rPr>
              <w:t>D</w:t>
            </w:r>
          </w:p>
        </w:tc>
        <w:tc>
          <w:tcPr>
            <w:tcW w:type="dxa" w:w="2318"/>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color w:val="000000"/>
                <w:szCs w:val="20"/>
              </w:rPr>
              <w:t>A veces</w:t>
            </w:r>
          </w:p>
        </w:tc>
        <w:tc>
          <w:tcPr>
            <w:tcW w:type="dxa" w:w="2268"/>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Cs w:val="20"/>
              </w:rPr>
              <w:t>4</w:t>
            </w:r>
          </w:p>
        </w:tc>
        <w:tc>
          <w:tcPr>
            <w:tcW w:type="dxa" w:w="1107"/>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Cs w:val="20"/>
              </w:rPr>
              <w:t>21%</w:t>
            </w:r>
          </w:p>
        </w:tc>
      </w:tr>
      <w:tr>
        <w:trPr>
          <w:trHeight w:hRule="atLeast" w:val="255"/>
          <w:cantSplit w:val="false"/>
        </w:trPr>
        <w:tc>
          <w:tcPr>
            <w:tcW w:type="dxa" w:w="714"/>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szCs w:val="20"/>
              </w:rPr>
              <w:t>E</w:t>
            </w:r>
          </w:p>
        </w:tc>
        <w:tc>
          <w:tcPr>
            <w:tcW w:type="dxa" w:w="2318"/>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color w:val="000000"/>
                <w:szCs w:val="20"/>
              </w:rPr>
              <w:t>Casi Nunca</w:t>
            </w:r>
          </w:p>
        </w:tc>
        <w:tc>
          <w:tcPr>
            <w:tcW w:type="dxa" w:w="2268"/>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Cs w:val="20"/>
              </w:rPr>
              <w:t>0</w:t>
            </w:r>
          </w:p>
        </w:tc>
        <w:tc>
          <w:tcPr>
            <w:tcW w:type="dxa" w:w="1107"/>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Cs w:val="20"/>
              </w:rPr>
              <w:t>0%</w:t>
            </w:r>
          </w:p>
        </w:tc>
      </w:tr>
      <w:tr>
        <w:trPr>
          <w:trHeight w:hRule="atLeast" w:val="255"/>
          <w:cantSplit w:val="false"/>
        </w:trPr>
        <w:tc>
          <w:tcPr>
            <w:tcW w:type="dxa" w:w="714"/>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szCs w:val="20"/>
              </w:rPr>
              <w:t>F</w:t>
            </w:r>
          </w:p>
        </w:tc>
        <w:tc>
          <w:tcPr>
            <w:tcW w:type="dxa" w:w="2318"/>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color w:val="000000"/>
                <w:szCs w:val="20"/>
              </w:rPr>
              <w:t>Nunca</w:t>
            </w:r>
          </w:p>
        </w:tc>
        <w:tc>
          <w:tcPr>
            <w:tcW w:type="dxa" w:w="2268"/>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Cs w:val="20"/>
              </w:rPr>
              <w:t>1</w:t>
            </w:r>
          </w:p>
        </w:tc>
        <w:tc>
          <w:tcPr>
            <w:tcW w:type="dxa" w:w="1107"/>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Cs w:val="20"/>
              </w:rPr>
              <w:t>5%</w:t>
            </w:r>
          </w:p>
        </w:tc>
      </w:tr>
      <w:tr>
        <w:trPr>
          <w:trHeight w:hRule="atLeast" w:val="255"/>
          <w:cantSplit w:val="false"/>
        </w:trPr>
        <w:tc>
          <w:tcPr>
            <w:tcW w:type="dxa" w:w="714"/>
            <w:tcBorders>
              <w:top w:color="000000" w:space="0" w:sz="4" w:val="single"/>
            </w:tcBorders>
            <w:shd w:fill="auto" w:val="clear"/>
            <w:tcMar>
              <w:top w:type="dxa" w:w="0"/>
              <w:left w:type="dxa" w:w="70"/>
              <w:bottom w:type="dxa" w:w="0"/>
              <w:right w:type="dxa" w:w="70"/>
            </w:tcMar>
            <w:vAlign w:val="bottom"/>
          </w:tcPr>
          <w:p>
            <w:pPr>
              <w:pStyle w:val="style0"/>
              <w:snapToGrid w:val="false"/>
              <w:spacing w:after="200" w:before="0" w:line="240" w:lineRule="auto"/>
            </w:pPr>
            <w:r>
              <w:rPr>
                <w:rFonts w:ascii="Arial" w:cs="Arial" w:hAnsi="Arial"/>
                <w:color w:val="000000"/>
                <w:szCs w:val="20"/>
                <w:lang w:eastAsia="es-VE" w:val="es-VE"/>
              </w:rPr>
            </w:r>
          </w:p>
        </w:tc>
        <w:p>
          <w:pPr>
            <w:pStyle w:val="style0"/>
            <w:spacing w:after="200" w:before="0"/>
          </w:pPr>
          <w:r>
            <w:rPr>
              <w:rFonts w:ascii="Arial" w:cs="Arial" w:hAnsi="Arial"/>
            </w:rPr>
            <w:t>Fuente: Mendoza  (2015)</w:t>
          </w:r>
        </w:p>
        <w:tc>
          <w:tcPr>
            <w:tcW w:type="dxa" w:w="2318"/>
            <w:tcBorders>
              <w:top w:color="000000" w:space="0" w:sz="4" w:val="single"/>
            </w:tcBorders>
            <w:shd w:fill="auto" w:val="clear"/>
            <w:tcMar>
              <w:top w:type="dxa" w:w="0"/>
              <w:left w:type="dxa" w:w="70"/>
              <w:bottom w:type="dxa" w:w="0"/>
              <w:right w:type="dxa" w:w="70"/>
            </w:tcMar>
            <w:vAlign w:val="bottom"/>
          </w:tcPr>
          <w:p>
            <w:pPr>
              <w:pStyle w:val="style0"/>
              <w:snapToGrid w:val="false"/>
              <w:spacing w:after="200" w:before="0" w:line="240" w:lineRule="auto"/>
            </w:pPr>
            <w:r>
              <w:rPr>
                <w:rFonts w:ascii="Arial" w:cs="Arial" w:hAnsi="Arial"/>
                <w:color w:val="000000"/>
                <w:szCs w:val="20"/>
              </w:rPr>
            </w:r>
          </w:p>
        </w:tc>
        <w:tc>
          <w:tcPr>
            <w:tcW w:type="dxa" w:w="2268"/>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Cs w:val="20"/>
              </w:rPr>
              <w:t>19</w:t>
            </w:r>
          </w:p>
        </w:tc>
        <w:tc>
          <w:tcPr>
            <w:tcW w:type="dxa" w:w="1107"/>
            <w:tcBorders>
              <w:top w:color="000000" w:space="0" w:sz="4" w:val="single"/>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Cs w:val="20"/>
              </w:rPr>
              <w:t>100%</w:t>
            </w:r>
          </w:p>
        </w:tc>
      </w:tr>
    </w:tbl>
    <w:p>
      <w:pPr>
        <w:pStyle w:val="style197"/>
        <w:spacing w:after="0" w:before="0" w:line="360" w:lineRule="auto"/>
        <w:jc w:val="both"/>
      </w:pPr>
      <w:r>
        <w:rPr>
          <w:rFonts w:ascii="Arial" w:cs="Arial" w:hAnsi="Arial"/>
          <w:color w:val="000000"/>
          <w:shd w:fill="FFFFFF" w:val="clear"/>
        </w:rPr>
      </w:r>
    </w:p>
    <w:p>
      <w:pPr>
        <w:pStyle w:val="style197"/>
        <w:spacing w:after="0" w:before="0" w:line="360" w:lineRule="auto"/>
        <w:jc w:val="center"/>
      </w:pPr>
      <w:r>
        <w:rPr>
          <w:rFonts w:ascii="Arial" w:cs="Arial" w:hAnsi="Arial"/>
          <w:shd w:fill="FFFFFF" w:val="clear"/>
          <w:lang w:eastAsia="es-VE" w:val="es-ES"/>
        </w:rPr>
        <w:drawing>
          <wp:inline distB="0" distL="0" distR="0" distT="0">
            <wp:extent cx="4529455" cy="1663700"/>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35"/>
                    <a:srcRect/>
                    <a:stretch>
                      <a:fillRect/>
                    </a:stretch>
                  </pic:blipFill>
                  <pic:spPr bwMode="auto">
                    <a:xfrm>
                      <a:off x="0" y="0"/>
                      <a:ext cx="4529455" cy="1663700"/>
                    </a:xfrm>
                    <a:prstGeom prst="rect">
                      <a:avLst/>
                    </a:prstGeom>
                    <a:noFill/>
                    <a:ln w="9525">
                      <a:noFill/>
                      <a:miter lim="800000"/>
                      <a:headEnd/>
                      <a:tailEnd/>
                    </a:ln>
                  </pic:spPr>
                </pic:pic>
              </a:graphicData>
            </a:graphic>
          </wp:inline>
        </w:drawing>
      </w:r>
    </w:p>
    <w:p>
      <w:pPr>
        <w:pStyle w:val="style0"/>
        <w:spacing w:after="200" w:before="0"/>
      </w:pPr>
      <w:r>
        <w:rPr>
          <w:rFonts w:ascii="Arial" w:cs="Arial" w:hAnsi="Arial"/>
        </w:rPr>
        <w:t>Fuente: Mendoza (2015)</w:t>
      </w:r>
    </w:p>
    <w:p>
      <w:pPr>
        <w:pStyle w:val="style197"/>
        <w:spacing w:after="0" w:before="0"/>
        <w:jc w:val="both"/>
      </w:pPr>
      <w:r>
        <w:rPr>
          <w:rFonts w:ascii="Arial" w:cs="Arial" w:hAnsi="Arial"/>
          <w:b/>
          <w:bCs/>
          <w:color w:val="000000"/>
        </w:rPr>
        <w:t xml:space="preserve">Gráfico 6 </w:t>
      </w:r>
      <w:r>
        <w:rPr>
          <w:rFonts w:ascii="Arial" w:cs="Arial" w:hAnsi="Arial"/>
          <w:b/>
          <w:bCs/>
          <w:color w:val="000000"/>
          <w:szCs w:val="20"/>
        </w:rPr>
        <w:t>Conocimiento sobre el reciclar el metal</w:t>
      </w:r>
    </w:p>
    <w:p>
      <w:pPr>
        <w:pStyle w:val="style197"/>
        <w:spacing w:after="0" w:before="0"/>
        <w:jc w:val="both"/>
      </w:pPr>
      <w:r>
        <w:rPr>
          <w:rFonts w:ascii="Arial" w:cs="Arial" w:hAnsi="Arial"/>
          <w:bCs/>
          <w:i/>
          <w:color w:val="000000"/>
        </w:rPr>
      </w:r>
    </w:p>
    <w:p>
      <w:pPr>
        <w:pStyle w:val="style197"/>
        <w:spacing w:after="0" w:before="0" w:line="360" w:lineRule="auto"/>
        <w:jc w:val="both"/>
      </w:pPr>
      <w:r>
        <w:rPr>
          <w:rFonts w:ascii="Arial" w:cs="Arial" w:hAnsi="Arial"/>
          <w:b/>
        </w:rPr>
        <w:t xml:space="preserve">Análisis: </w:t>
      </w:r>
      <w:r>
        <w:rPr>
          <w:rFonts w:ascii="Arial" w:cs="Arial" w:hAnsi="Arial"/>
        </w:rPr>
        <w:t>En el cuadro 10, gráfico 6, se observa  que el  setenta y cuatro (74) por ciento (%) de los encuestados afirma que el metal si se puede reciclar, mientras que un veintiuno (21) por ciento (%) opinan que avece se puede reciclar  y un 5% respondió  que no se puede reciclar, en cuanto a la respuesta negativa se admite que la misma fue provocada por el mal estado de corrosión en que se encuentran las chatarras de IUTY.</w:t>
      </w:r>
    </w:p>
    <w:p>
      <w:pPr>
        <w:pStyle w:val="style197"/>
        <w:spacing w:after="0" w:before="0" w:line="360" w:lineRule="auto"/>
        <w:jc w:val="both"/>
      </w:pPr>
      <w:r>
        <w:rPr>
          <w:rFonts w:ascii="Arial" w:cs="Arial" w:hAnsi="Arial"/>
        </w:rPr>
        <w:tab/>
      </w:r>
      <w:r>
        <w:rPr>
          <w:rFonts w:ascii="Arial" w:cs="Arial" w:hAnsi="Arial"/>
          <w:color w:val="000000"/>
        </w:rPr>
        <w:t>Referente el concepto del Reciclaje de Metal se tiene que reciclaje.nsf señala que la chatarra es un producto comercializado internacionalmente con una gran demanda como materia prima para la fabricación de acero. No obstante, los diferentes tipos de chatarra requieren distintos procesos, debido al tamaño, grosor y composición del material.</w:t>
      </w:r>
    </w:p>
    <w:p>
      <w:pPr>
        <w:pStyle w:val="style197"/>
        <w:spacing w:after="0" w:before="0" w:line="360" w:lineRule="auto"/>
        <w:jc w:val="both"/>
      </w:pPr>
      <w:r>
        <w:rPr>
          <w:rFonts w:ascii="Arial" w:cs="Arial" w:hAnsi="Arial"/>
          <w:color w:val="000000"/>
        </w:rPr>
        <w:tab/>
        <w:t>Para realizar el proceso del reciclaje de metal se deben de seguir las siguientes etapas:</w:t>
      </w:r>
    </w:p>
    <w:p>
      <w:pPr>
        <w:pStyle w:val="style197"/>
        <w:numPr>
          <w:ilvl w:val="0"/>
          <w:numId w:val="58"/>
        </w:numPr>
        <w:spacing w:after="0" w:before="0" w:line="360" w:lineRule="auto"/>
        <w:jc w:val="both"/>
      </w:pPr>
      <w:r>
        <w:rPr>
          <w:rFonts w:ascii="Arial" w:cs="Arial" w:hAnsi="Arial"/>
          <w:iCs/>
          <w:color w:val="000000"/>
          <w:shd w:fill="FFFFFF" w:val="clear"/>
        </w:rPr>
        <w:t xml:space="preserve">La recopilación, </w:t>
      </w:r>
    </w:p>
    <w:p>
      <w:pPr>
        <w:pStyle w:val="style197"/>
        <w:numPr>
          <w:ilvl w:val="0"/>
          <w:numId w:val="58"/>
        </w:numPr>
        <w:spacing w:after="0" w:before="0" w:line="360" w:lineRule="auto"/>
        <w:jc w:val="both"/>
      </w:pPr>
      <w:r>
        <w:rPr>
          <w:rFonts w:ascii="Arial" w:cs="Arial" w:hAnsi="Arial"/>
          <w:iCs/>
          <w:color w:val="000000"/>
          <w:shd w:fill="FFFFFF" w:val="clear"/>
        </w:rPr>
        <w:t xml:space="preserve">El procesamiento, </w:t>
      </w:r>
    </w:p>
    <w:p>
      <w:pPr>
        <w:pStyle w:val="style197"/>
        <w:numPr>
          <w:ilvl w:val="0"/>
          <w:numId w:val="58"/>
        </w:numPr>
        <w:spacing w:after="0" w:before="0" w:line="360" w:lineRule="auto"/>
        <w:jc w:val="both"/>
      </w:pPr>
      <w:r>
        <w:rPr>
          <w:rFonts w:ascii="Arial" w:cs="Arial" w:hAnsi="Arial"/>
          <w:iCs/>
          <w:color w:val="000000"/>
          <w:shd w:fill="FFFFFF" w:val="clear"/>
        </w:rPr>
        <w:t>La fragmentación y</w:t>
      </w:r>
    </w:p>
    <w:p>
      <w:pPr>
        <w:pStyle w:val="style197"/>
        <w:numPr>
          <w:ilvl w:val="0"/>
          <w:numId w:val="58"/>
        </w:numPr>
        <w:spacing w:after="0" w:before="0" w:line="360" w:lineRule="auto"/>
        <w:jc w:val="both"/>
      </w:pPr>
      <w:r>
        <w:rPr>
          <w:rFonts w:ascii="Arial" w:cs="Arial" w:hAnsi="Arial"/>
          <w:iCs/>
          <w:color w:val="000000"/>
          <w:shd w:fill="FFFFFF" w:val="clear"/>
        </w:rPr>
        <w:t>La distribución</w:t>
      </w:r>
      <w:r>
        <w:rPr>
          <w:rFonts w:ascii="Georgia" w:cs="Georgia" w:hAnsi="Georgia"/>
          <w:i/>
          <w:iCs/>
          <w:color w:val="666666"/>
          <w:sz w:val="23"/>
          <w:szCs w:val="23"/>
          <w:shd w:fill="FFFFFF" w:val="clear"/>
        </w:rPr>
        <w:t>.</w:t>
      </w:r>
    </w:p>
    <w:p>
      <w:pPr>
        <w:pStyle w:val="style197"/>
        <w:spacing w:after="0" w:before="0" w:line="360" w:lineRule="auto"/>
        <w:jc w:val="both"/>
      </w:pPr>
      <w:r>
        <w:rPr>
          <w:rFonts w:ascii="Arial" w:cs="Arial" w:hAnsi="Arial"/>
        </w:rPr>
        <w:tab/>
      </w:r>
      <w:r>
        <w:rPr>
          <w:rFonts w:ascii="Arial" w:cs="Arial" w:hAnsi="Arial"/>
          <w:color w:val="000000"/>
        </w:rPr>
        <w:t xml:space="preserve">En referencia al </w:t>
      </w:r>
      <w:r>
        <w:rPr>
          <w:rFonts w:ascii="Arial" w:cs="Arial" w:hAnsi="Arial"/>
          <w:color w:val="000000"/>
          <w:shd w:fill="FFFFFF" w:val="clear"/>
        </w:rPr>
        <w:t xml:space="preserve"> reciclaje de los metales </w:t>
      </w:r>
      <w:r>
        <w:rPr>
          <w:rFonts w:ascii="Arial" w:cs="Arial" w:hAnsi="Arial"/>
          <w:color w:val="000000"/>
        </w:rPr>
        <w:t>interempresas.net</w:t>
      </w:r>
      <w:r>
        <w:rPr>
          <w:rFonts w:ascii="Arial" w:cs="Arial" w:hAnsi="Arial"/>
          <w:color w:val="000000"/>
          <w:shd w:fill="FFFFFF" w:val="clear"/>
        </w:rPr>
        <w:t xml:space="preserve">  señala que el mismo contribuye significativamente a no empeorar el entorno medioambiental actual. Al reciclar chatarra, se reduce significativamente la contaminación de agua, aire y los desechos de la minería en un 70 por ciento.</w:t>
      </w:r>
    </w:p>
    <w:p>
      <w:pPr>
        <w:pStyle w:val="style0"/>
        <w:shd w:fill="FFFFFF" w:val="clear"/>
        <w:spacing w:after="150" w:before="0" w:line="300" w:lineRule="atLeast"/>
        <w:jc w:val="both"/>
      </w:pPr>
      <w:r>
        <w:rPr>
          <w:rFonts w:ascii="Arial" w:cs="Arial" w:hAnsi="Arial"/>
          <w:color w:val="000000"/>
        </w:rPr>
        <w:tab/>
      </w:r>
      <w:r>
        <w:rPr>
          <w:rFonts w:ascii="Arial" w:cs="Arial" w:hAnsi="Arial"/>
          <w:color w:val="000000"/>
          <w:sz w:val="24"/>
          <w:szCs w:val="24"/>
        </w:rPr>
        <w:t>Además, el reciclaje del metal aporta dos principales beneficios:</w:t>
      </w:r>
    </w:p>
    <w:p>
      <w:pPr>
        <w:pStyle w:val="style0"/>
        <w:numPr>
          <w:ilvl w:val="0"/>
          <w:numId w:val="4"/>
        </w:numPr>
        <w:shd w:fill="FFFFFF" w:val="clear"/>
        <w:spacing w:after="150" w:before="0" w:line="360" w:lineRule="auto"/>
        <w:jc w:val="both"/>
      </w:pPr>
      <w:r>
        <w:rPr>
          <w:rFonts w:ascii="Arial" w:cs="Arial" w:hAnsi="Arial"/>
          <w:color w:val="000000"/>
          <w:sz w:val="24"/>
          <w:szCs w:val="24"/>
        </w:rPr>
        <w:t>Reducción del impacto ambiental que produce la extracción de materias primas</w:t>
      </w:r>
      <w:r>
        <w:rPr>
          <w:rFonts w:ascii="Arial" w:cs="Arial" w:hAnsi="Arial"/>
          <w:color w:val="000000"/>
        </w:rPr>
        <w:t>.</w:t>
      </w:r>
    </w:p>
    <w:p>
      <w:pPr>
        <w:pStyle w:val="style0"/>
        <w:numPr>
          <w:ilvl w:val="0"/>
          <w:numId w:val="4"/>
        </w:numPr>
        <w:shd w:fill="FFFFFF" w:val="clear"/>
        <w:spacing w:after="150" w:before="0" w:line="360" w:lineRule="auto"/>
        <w:jc w:val="both"/>
      </w:pPr>
      <w:r>
        <w:rPr>
          <w:rFonts w:ascii="Arial" w:cs="Arial" w:hAnsi="Arial"/>
          <w:color w:val="000000"/>
          <w:sz w:val="24"/>
        </w:rPr>
        <w:t>Recuperación del acero de las latas usadas es infinitamente menos contaminante y nocivo que la producción de acero nuevo</w:t>
      </w:r>
    </w:p>
    <w:p>
      <w:pPr>
        <w:pStyle w:val="style197"/>
        <w:spacing w:after="0" w:before="0" w:line="360" w:lineRule="auto"/>
        <w:jc w:val="both"/>
      </w:pPr>
      <w:r>
        <w:rPr>
          <w:rFonts w:ascii="Arial" w:cs="Arial" w:hAnsi="Arial"/>
          <w:color w:val="000000"/>
          <w:shd w:fill="FFFFFF" w:val="clear"/>
        </w:rPr>
        <w:tab/>
        <w:t>Conociendo la bondad que tiene reciclar de metal se hace la  demanda sobre  la desincorporación de las chatarras de las instalaciones del Instituto Universitario de Tecnología de Yaracuy y así aprovechar eso espacios para la construcción bien sea para el Comedor Estudiantil o para el  Centro de Educación Inicial del IUTY (IUTYCOS) que ya  ambos sus capacidades son insuficientes.</w:t>
      </w:r>
    </w:p>
    <w:p>
      <w:pPr>
        <w:pStyle w:val="style197"/>
        <w:spacing w:after="0" w:before="0" w:line="360" w:lineRule="auto"/>
        <w:jc w:val="both"/>
      </w:pPr>
      <w:r>
        <w:rPr>
          <w:rFonts w:ascii="Arial" w:cs="Arial" w:hAnsi="Arial"/>
          <w:color w:val="000000"/>
          <w:shd w:fill="FFFFFF" w:val="clear"/>
        </w:rPr>
      </w:r>
    </w:p>
    <w:p>
      <w:pPr>
        <w:pStyle w:val="style197"/>
        <w:spacing w:after="0" w:before="0" w:line="360" w:lineRule="auto"/>
        <w:jc w:val="both"/>
      </w:pPr>
      <w:r>
        <w:rPr>
          <w:rFonts w:ascii="Arial" w:cs="Arial" w:hAnsi="Arial"/>
          <w:color w:val="000000"/>
          <w:shd w:fill="FFFFFF" w:val="clear"/>
        </w:rPr>
        <w:t>Ítem 7 ¿Cr</w:t>
      </w:r>
      <w:r>
        <w:rPr>
          <w:rFonts w:ascii="Arial" w:cs="Arial" w:hAnsi="Arial"/>
          <w:shd w:fill="FFFFFF" w:val="clear"/>
        </w:rPr>
        <w:t>ee Usted que las chatarras acumuladas en los espacios de la institución, parte de las misma se podría reciclar?</w:t>
      </w:r>
    </w:p>
    <w:p>
      <w:pPr>
        <w:pStyle w:val="style197"/>
        <w:spacing w:after="0" w:before="0" w:line="360" w:lineRule="auto"/>
        <w:jc w:val="both"/>
      </w:pPr>
      <w:r>
        <w:rPr>
          <w:rFonts w:ascii="Arial" w:cs="Arial" w:hAnsi="Arial"/>
          <w:shd w:fill="FFFFFF" w:val="clear"/>
        </w:rPr>
      </w:r>
    </w:p>
    <w:tbl>
      <w:tblPr>
        <w:jc w:val="center"/>
        <w:tblBorders>
          <w:top w:color="000000" w:space="0" w:sz="4" w:val="single"/>
          <w:left w:color="000000" w:space="0" w:sz="4" w:val="single"/>
          <w:bottom w:color="000000" w:space="0" w:sz="4" w:val="single"/>
          <w:right w:color="000000" w:space="0" w:sz="4" w:val="single"/>
        </w:tblBorders>
      </w:tblPr>
      <w:tblGrid>
        <w:gridCol w:w="6160"/>
      </w:tblGrid>
      <w:tr>
        <w:trPr>
          <w:trHeight w:hRule="atLeast" w:val="255"/>
          <w:cantSplit w:val="false"/>
        </w:trPr>
        <w:tc>
          <w:tcPr>
            <w:tcW w:type="dxa" w:w="6160"/>
            <w:gridSpan w:val="4"/>
            <w:tcBorders>
              <w:top w:color="000000" w:space="0" w:sz="4" w:val="single"/>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197"/>
              <w:spacing w:after="0" w:before="0" w:line="360" w:lineRule="auto"/>
              <w:jc w:val="center"/>
            </w:pPr>
            <w:r>
              <w:rPr>
                <w:rFonts w:ascii="Arial" w:cs="Arial" w:hAnsi="Arial"/>
                <w:b/>
                <w:shd w:fill="FFFFFF" w:val="clear"/>
              </w:rPr>
              <w:t>Cuadro 10</w:t>
            </w:r>
          </w:p>
          <w:p>
            <w:pPr>
              <w:pStyle w:val="style0"/>
              <w:spacing w:after="200" w:before="0" w:line="360" w:lineRule="auto"/>
              <w:jc w:val="both"/>
            </w:pPr>
            <w:r>
              <w:rPr>
                <w:rFonts w:ascii="Arial" w:cs="Arial" w:hAnsi="Arial"/>
                <w:b/>
                <w:szCs w:val="20"/>
              </w:rPr>
              <w:t xml:space="preserve">Opinión concerniente al reciclaje de las chatarras acumuladas en el IUTY.  </w:t>
            </w:r>
          </w:p>
        </w:tc>
      </w:tr>
      <w:tr>
        <w:trPr>
          <w:trHeight w:hRule="atLeast" w:val="255"/>
          <w:cantSplit w:val="false"/>
        </w:trPr>
        <w:tc>
          <w:tcPr>
            <w:tcW w:type="dxa" w:w="1067"/>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b/>
                <w:szCs w:val="20"/>
              </w:rPr>
              <w:t>Ítem</w:t>
            </w:r>
          </w:p>
        </w:tc>
        <w:tc>
          <w:tcPr>
            <w:tcW w:type="dxa" w:w="2409"/>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b/>
                <w:szCs w:val="20"/>
              </w:rPr>
              <w:t>Opciones  de Repuestas</w:t>
            </w:r>
          </w:p>
        </w:tc>
        <w:tc>
          <w:tcPr>
            <w:tcW w:type="dxa" w:w="156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b/>
                <w:szCs w:val="20"/>
              </w:rPr>
              <w:t>Frecuencia</w:t>
            </w:r>
          </w:p>
        </w:tc>
        <w:tc>
          <w:tcPr>
            <w:tcW w:type="dxa" w:w="1124"/>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b/>
                <w:szCs w:val="20"/>
              </w:rPr>
              <w:t>Valor %</w:t>
            </w:r>
          </w:p>
        </w:tc>
      </w:tr>
      <w:tr>
        <w:trPr>
          <w:trHeight w:hRule="atLeast" w:val="255"/>
          <w:cantSplit w:val="false"/>
        </w:trPr>
        <w:tc>
          <w:tcPr>
            <w:tcW w:type="dxa" w:w="1067"/>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szCs w:val="20"/>
              </w:rPr>
              <w:t>A</w:t>
            </w:r>
          </w:p>
        </w:tc>
        <w:tc>
          <w:tcPr>
            <w:tcW w:type="dxa" w:w="2409"/>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szCs w:val="20"/>
              </w:rPr>
              <w:t>No contestó</w:t>
            </w:r>
          </w:p>
        </w:tc>
        <w:tc>
          <w:tcPr>
            <w:tcW w:type="dxa" w:w="156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szCs w:val="20"/>
              </w:rPr>
              <w:t>0</w:t>
            </w:r>
          </w:p>
        </w:tc>
        <w:tc>
          <w:tcPr>
            <w:tcW w:type="dxa" w:w="1124"/>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szCs w:val="20"/>
              </w:rPr>
              <w:t>0%</w:t>
            </w:r>
          </w:p>
        </w:tc>
      </w:tr>
      <w:tr>
        <w:trPr>
          <w:trHeight w:hRule="atLeast" w:val="255"/>
          <w:cantSplit w:val="false"/>
        </w:trPr>
        <w:tc>
          <w:tcPr>
            <w:tcW w:type="dxa" w:w="1067"/>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szCs w:val="20"/>
              </w:rPr>
              <w:t>B</w:t>
            </w:r>
          </w:p>
        </w:tc>
        <w:tc>
          <w:tcPr>
            <w:tcW w:type="dxa" w:w="2409"/>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szCs w:val="20"/>
              </w:rPr>
              <w:t>Siempre</w:t>
            </w:r>
          </w:p>
        </w:tc>
        <w:tc>
          <w:tcPr>
            <w:tcW w:type="dxa" w:w="156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szCs w:val="20"/>
              </w:rPr>
              <w:t>13</w:t>
            </w:r>
          </w:p>
        </w:tc>
        <w:tc>
          <w:tcPr>
            <w:tcW w:type="dxa" w:w="1124"/>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szCs w:val="20"/>
              </w:rPr>
              <w:t>68%</w:t>
            </w:r>
          </w:p>
        </w:tc>
      </w:tr>
      <w:tr>
        <w:trPr>
          <w:trHeight w:hRule="atLeast" w:val="255"/>
          <w:cantSplit w:val="false"/>
        </w:trPr>
        <w:tc>
          <w:tcPr>
            <w:tcW w:type="dxa" w:w="1067"/>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szCs w:val="20"/>
              </w:rPr>
              <w:t>C</w:t>
            </w:r>
          </w:p>
        </w:tc>
        <w:tc>
          <w:tcPr>
            <w:tcW w:type="dxa" w:w="2409"/>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szCs w:val="20"/>
              </w:rPr>
              <w:t>Casi siempre</w:t>
            </w:r>
          </w:p>
        </w:tc>
        <w:tc>
          <w:tcPr>
            <w:tcW w:type="dxa" w:w="156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szCs w:val="20"/>
              </w:rPr>
              <w:t>4</w:t>
            </w:r>
          </w:p>
        </w:tc>
        <w:tc>
          <w:tcPr>
            <w:tcW w:type="dxa" w:w="1124"/>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szCs w:val="20"/>
              </w:rPr>
              <w:t>21%</w:t>
            </w:r>
          </w:p>
        </w:tc>
      </w:tr>
      <w:tr>
        <w:trPr>
          <w:trHeight w:hRule="atLeast" w:val="255"/>
          <w:cantSplit w:val="false"/>
        </w:trPr>
        <w:tc>
          <w:tcPr>
            <w:tcW w:type="dxa" w:w="1067"/>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szCs w:val="20"/>
              </w:rPr>
              <w:t>D</w:t>
            </w:r>
          </w:p>
        </w:tc>
        <w:tc>
          <w:tcPr>
            <w:tcW w:type="dxa" w:w="2409"/>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szCs w:val="20"/>
              </w:rPr>
              <w:t>A veces</w:t>
            </w:r>
          </w:p>
        </w:tc>
        <w:tc>
          <w:tcPr>
            <w:tcW w:type="dxa" w:w="156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szCs w:val="20"/>
              </w:rPr>
              <w:t>0</w:t>
            </w:r>
          </w:p>
        </w:tc>
        <w:tc>
          <w:tcPr>
            <w:tcW w:type="dxa" w:w="1124"/>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szCs w:val="20"/>
              </w:rPr>
              <w:t>0%</w:t>
            </w:r>
          </w:p>
        </w:tc>
      </w:tr>
      <w:tr>
        <w:trPr>
          <w:trHeight w:hRule="atLeast" w:val="255"/>
          <w:cantSplit w:val="false"/>
        </w:trPr>
        <w:tc>
          <w:tcPr>
            <w:tcW w:type="dxa" w:w="1067"/>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szCs w:val="20"/>
              </w:rPr>
              <w:t>E</w:t>
            </w:r>
          </w:p>
        </w:tc>
        <w:tc>
          <w:tcPr>
            <w:tcW w:type="dxa" w:w="2409"/>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szCs w:val="20"/>
              </w:rPr>
              <w:t>Casi Nunca</w:t>
            </w:r>
          </w:p>
        </w:tc>
        <w:tc>
          <w:tcPr>
            <w:tcW w:type="dxa" w:w="156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szCs w:val="20"/>
              </w:rPr>
              <w:t>2</w:t>
            </w:r>
          </w:p>
        </w:tc>
        <w:tc>
          <w:tcPr>
            <w:tcW w:type="dxa" w:w="1124"/>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szCs w:val="20"/>
              </w:rPr>
              <w:t>11%</w:t>
            </w:r>
          </w:p>
        </w:tc>
      </w:tr>
      <w:tr>
        <w:trPr>
          <w:trHeight w:hRule="atLeast" w:val="255"/>
          <w:cantSplit w:val="false"/>
        </w:trPr>
        <w:tc>
          <w:tcPr>
            <w:tcW w:type="dxa" w:w="1067"/>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szCs w:val="20"/>
              </w:rPr>
              <w:t>F</w:t>
            </w:r>
          </w:p>
        </w:tc>
        <w:tc>
          <w:tcPr>
            <w:tcW w:type="dxa" w:w="2409"/>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szCs w:val="20"/>
              </w:rPr>
              <w:t>Nunca</w:t>
            </w:r>
          </w:p>
        </w:tc>
        <w:tc>
          <w:tcPr>
            <w:tcW w:type="dxa" w:w="156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szCs w:val="20"/>
              </w:rPr>
              <w:t>0</w:t>
            </w:r>
          </w:p>
        </w:tc>
        <w:tc>
          <w:tcPr>
            <w:tcW w:type="dxa" w:w="1124"/>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szCs w:val="20"/>
              </w:rPr>
              <w:t>0%</w:t>
            </w:r>
          </w:p>
        </w:tc>
      </w:tr>
      <w:tr>
        <w:trPr>
          <w:trHeight w:hRule="atLeast" w:val="255"/>
          <w:cantSplit w:val="false"/>
        </w:trPr>
        <w:tc>
          <w:tcPr>
            <w:tcW w:type="dxa" w:w="1067"/>
            <w:tcBorders/>
            <w:shd w:fill="auto" w:val="clear"/>
            <w:tcMar>
              <w:top w:type="dxa" w:w="0"/>
              <w:left w:type="dxa" w:w="70"/>
              <w:bottom w:type="dxa" w:w="0"/>
              <w:right w:type="dxa" w:w="70"/>
            </w:tcMar>
            <w:vAlign w:val="bottom"/>
          </w:tcPr>
          <w:p>
            <w:pPr>
              <w:pStyle w:val="style0"/>
              <w:snapToGrid w:val="false"/>
              <w:spacing w:after="200" w:before="0" w:line="240" w:lineRule="auto"/>
            </w:pPr>
            <w:r>
              <w:rPr>
                <w:rFonts w:ascii="Arial" w:cs="Arial" w:hAnsi="Arial"/>
                <w:sz w:val="20"/>
                <w:szCs w:val="20"/>
              </w:rPr>
            </w:r>
          </w:p>
        </w:tc>
        <w:tc>
          <w:tcPr>
            <w:tcW w:type="dxa" w:w="2409"/>
            <w:tcBorders/>
            <w:shd w:fill="auto" w:val="clear"/>
            <w:tcMar>
              <w:top w:type="dxa" w:w="0"/>
              <w:left w:type="dxa" w:w="70"/>
              <w:bottom w:type="dxa" w:w="0"/>
              <w:right w:type="dxa" w:w="70"/>
            </w:tcMar>
            <w:vAlign w:val="bottom"/>
          </w:tcPr>
          <w:p>
            <w:pPr>
              <w:pStyle w:val="style0"/>
              <w:snapToGrid w:val="false"/>
              <w:spacing w:after="200" w:before="0" w:line="240" w:lineRule="auto"/>
            </w:pPr>
            <w:r>
              <w:rPr>
                <w:rFonts w:ascii="Arial" w:cs="Arial" w:hAnsi="Arial"/>
                <w:szCs w:val="20"/>
              </w:rPr>
            </w:r>
          </w:p>
        </w:tc>
        <w:tc>
          <w:tcPr>
            <w:tcW w:type="dxa" w:w="156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szCs w:val="20"/>
              </w:rPr>
              <w:t>19</w:t>
            </w:r>
          </w:p>
        </w:tc>
        <w:tc>
          <w:tcPr>
            <w:tcW w:type="dxa" w:w="1124"/>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szCs w:val="20"/>
              </w:rPr>
              <w:t>100%</w:t>
            </w:r>
          </w:p>
        </w:tc>
      </w:tr>
    </w:tbl>
    <w:p>
      <w:pPr>
        <w:pStyle w:val="style197"/>
        <w:spacing w:after="0" w:before="0" w:line="360" w:lineRule="auto"/>
        <w:jc w:val="center"/>
      </w:pPr>
      <w:r>
        <w:rPr>
          <w:rFonts w:ascii="Arial" w:cs="Arial" w:hAnsi="Arial"/>
          <w:shd w:fill="FFFFFF" w:val="clear"/>
        </w:rPr>
      </w:r>
    </w:p>
    <w:p>
      <w:pPr>
        <w:pStyle w:val="style197"/>
        <w:spacing w:after="0" w:before="0" w:line="360" w:lineRule="auto"/>
        <w:jc w:val="center"/>
      </w:pPr>
      <w:r>
        <w:rPr>
          <w:rFonts w:ascii="Arial" w:cs="Arial" w:hAnsi="Arial"/>
          <w:shd w:fill="FFFFFF" w:val="clear"/>
          <w:lang w:eastAsia="es-VE" w:val="es-ES"/>
        </w:rPr>
        <w:drawing>
          <wp:inline distB="0" distL="0" distR="0" distT="0">
            <wp:extent cx="4487545" cy="1682115"/>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36"/>
                    <a:srcRect/>
                    <a:stretch>
                      <a:fillRect/>
                    </a:stretch>
                  </pic:blipFill>
                  <pic:spPr bwMode="auto">
                    <a:xfrm>
                      <a:off x="0" y="0"/>
                      <a:ext cx="4487545" cy="1682115"/>
                    </a:xfrm>
                    <a:prstGeom prst="rect">
                      <a:avLst/>
                    </a:prstGeom>
                    <a:noFill/>
                    <a:ln w="9525">
                      <a:noFill/>
                      <a:miter lim="800000"/>
                      <a:headEnd/>
                      <a:tailEnd/>
                    </a:ln>
                  </pic:spPr>
                </pic:pic>
              </a:graphicData>
            </a:graphic>
          </wp:inline>
        </w:drawing>
      </w:r>
    </w:p>
    <w:p>
      <w:pPr>
        <w:pStyle w:val="style0"/>
        <w:spacing w:after="200" w:before="0"/>
      </w:pPr>
      <w:r>
        <w:rPr>
          <w:rFonts w:ascii="Arial" w:cs="Arial" w:hAnsi="Arial"/>
        </w:rPr>
        <w:t>Fuente: Mendoza (2015)</w:t>
      </w:r>
    </w:p>
    <w:p>
      <w:pPr>
        <w:pStyle w:val="style197"/>
        <w:spacing w:after="0" w:before="0"/>
        <w:jc w:val="both"/>
      </w:pPr>
      <w:r>
        <w:rPr>
          <w:rFonts w:ascii="Arial" w:cs="Arial" w:hAnsi="Arial"/>
          <w:b/>
          <w:bCs/>
          <w:color w:val="000000"/>
        </w:rPr>
        <w:t xml:space="preserve">Gráfico 7 </w:t>
      </w:r>
      <w:r>
        <w:rPr>
          <w:rFonts w:ascii="Arial" w:cs="Arial" w:hAnsi="Arial"/>
          <w:b/>
          <w:szCs w:val="20"/>
        </w:rPr>
        <w:t>Opinión concerniente al reciclaje de las chatarras acumuladas en el IUTY</w:t>
      </w:r>
    </w:p>
    <w:p>
      <w:pPr>
        <w:pStyle w:val="style197"/>
        <w:spacing w:after="0" w:before="0"/>
        <w:jc w:val="both"/>
      </w:pPr>
      <w:r>
        <w:rPr>
          <w:rFonts w:ascii="Arial" w:cs="Arial" w:hAnsi="Arial"/>
          <w:b/>
          <w:bCs/>
          <w:color w:val="333333"/>
        </w:rPr>
      </w:r>
    </w:p>
    <w:p>
      <w:pPr>
        <w:pStyle w:val="style197"/>
        <w:spacing w:after="0" w:before="0" w:line="360" w:lineRule="auto"/>
        <w:jc w:val="both"/>
      </w:pPr>
      <w:r>
        <w:rPr>
          <w:rFonts w:ascii="Arial" w:cs="Arial" w:hAnsi="Arial"/>
          <w:b/>
        </w:rPr>
        <w:t xml:space="preserve">Análisis: </w:t>
      </w:r>
      <w:r>
        <w:rPr>
          <w:rFonts w:ascii="Arial" w:cs="Arial" w:hAnsi="Arial"/>
        </w:rPr>
        <w:t>Este ítems guarda estrecha relación con el ítems N°6, ya que lo que se pretende reciclar el metal acumulado en la instalaciones del IUTY y que están convertidos en chatarras con respecto a la encuesta esta arrojo que 68 expresa que si se puede reciclar  mientras un veintiún (21) por ciento (%)  manifiesta que casi siempre se puede reciclar y el once (11) por ciento opinó que no, en cuanto a las  dos últimas alternativas se da porque la parte de misma están se encuentra en estado de descomposición por el tiempo que tiene en los espacio acumuladas  han estado en la intemperie aproximadamente 20 años por lo tanto tienen un alto grado de oxidación y esto solo sirven es para reciclaje.</w:t>
      </w:r>
    </w:p>
    <w:p>
      <w:pPr>
        <w:pStyle w:val="style197"/>
        <w:spacing w:after="0" w:before="0" w:line="360" w:lineRule="auto"/>
        <w:jc w:val="both"/>
      </w:pPr>
      <w:r>
        <w:rPr>
          <w:rFonts w:ascii="Arial" w:cs="Arial" w:hAnsi="Arial"/>
        </w:rPr>
        <w:tab/>
        <w:t>.  Es importante hacer la siguiente aseveración que estos bienes aparecen en los libro contable como valores histórico ya que esto fueron consumido por el constante uso a pesar de contar con los planes de mantenimiento establecido por la Unidad de Servicios Generales  en su totalidad la vida útil según los estándares mecánicos y algunos de ellos no poseen valor de recate, por lo antes expuesto estos pasaron hacer almacenados en virtud de que la reparaciones son mucho mayor que el valor de rescate</w:t>
      </w:r>
    </w:p>
    <w:p>
      <w:pPr>
        <w:pStyle w:val="style197"/>
        <w:shd w:fill="FFFFFF" w:val="clear"/>
        <w:spacing w:after="120" w:before="120" w:line="360" w:lineRule="auto"/>
        <w:jc w:val="both"/>
      </w:pPr>
      <w:r>
        <w:rPr>
          <w:rFonts w:ascii="Arial" w:cs="Arial" w:hAnsi="Arial"/>
          <w:bCs/>
          <w:color w:val="333333"/>
        </w:rPr>
        <w:tab/>
      </w:r>
      <w:r>
        <w:rPr>
          <w:rFonts w:ascii="Arial" w:cs="Arial" w:hAnsi="Arial"/>
          <w:bCs/>
          <w:color w:val="000000"/>
        </w:rPr>
        <w:t xml:space="preserve">Según wikipedia.org define la chatarra como </w:t>
      </w:r>
      <w:r>
        <w:rPr>
          <w:rFonts w:ascii="Arial" w:cs="Arial" w:hAnsi="Arial"/>
          <w:color w:val="000000"/>
        </w:rPr>
        <w:t>es el conjunto de trozos de</w:t>
      </w:r>
      <w:r>
        <w:rPr>
          <w:rStyle w:val="style147"/>
          <w:rFonts w:ascii="Arial" w:hAnsi="Arial"/>
          <w:color w:val="000000"/>
        </w:rPr>
        <w:t xml:space="preserve"> </w:t>
      </w:r>
      <w:hyperlink r:id="rId37">
        <w:r>
          <w:rPr>
            <w:rStyle w:val="style148"/>
            <w:rStyle w:val="style148"/>
            <w:rFonts w:ascii="Arial" w:hAnsi="Arial"/>
            <w:u w:val="none"/>
          </w:rPr>
          <w:t>metal</w:t>
        </w:r>
      </w:hyperlink>
      <w:r>
        <w:rPr>
          <w:rStyle w:val="style147"/>
          <w:rFonts w:ascii="Arial" w:hAnsi="Arial"/>
          <w:color w:val="000000"/>
        </w:rPr>
        <w:t xml:space="preserve"> </w:t>
      </w:r>
      <w:r>
        <w:rPr>
          <w:rFonts w:ascii="Arial" w:cs="Arial" w:hAnsi="Arial"/>
          <w:color w:val="000000"/>
        </w:rPr>
        <w:t>de</w:t>
      </w:r>
      <w:r>
        <w:rPr>
          <w:rStyle w:val="style147"/>
          <w:rFonts w:ascii="Arial" w:hAnsi="Arial"/>
          <w:color w:val="000000"/>
        </w:rPr>
        <w:t xml:space="preserve"> </w:t>
      </w:r>
      <w:hyperlink r:id="rId38">
        <w:r>
          <w:rPr>
            <w:rStyle w:val="style148"/>
            <w:rStyle w:val="style148"/>
            <w:rFonts w:ascii="Arial" w:hAnsi="Arial"/>
            <w:u w:val="none"/>
          </w:rPr>
          <w:t>desecho</w:t>
        </w:r>
      </w:hyperlink>
      <w:r>
        <w:rPr>
          <w:rFonts w:ascii="Arial" w:cs="Arial" w:hAnsi="Arial"/>
          <w:color w:val="000000"/>
        </w:rPr>
        <w:t>, principalmente</w:t>
      </w:r>
      <w:r>
        <w:rPr>
          <w:rStyle w:val="style147"/>
          <w:rFonts w:ascii="Arial" w:hAnsi="Arial"/>
          <w:color w:val="000000"/>
        </w:rPr>
        <w:t xml:space="preserve"> </w:t>
      </w:r>
      <w:hyperlink r:id="rId39">
        <w:r>
          <w:rPr>
            <w:rStyle w:val="style148"/>
            <w:rStyle w:val="style148"/>
            <w:rFonts w:ascii="Arial" w:hAnsi="Arial"/>
            <w:u w:val="none"/>
          </w:rPr>
          <w:t>hierro</w:t>
        </w:r>
      </w:hyperlink>
      <w:r>
        <w:rPr>
          <w:rFonts w:ascii="Arial" w:cs="Arial" w:hAnsi="Arial"/>
          <w:color w:val="000000"/>
        </w:rPr>
        <w:t>. Dicho de otro modo  La chatarra de hierro se utiliza en la producción de</w:t>
      </w:r>
      <w:r>
        <w:rPr>
          <w:rStyle w:val="style147"/>
          <w:rFonts w:ascii="Arial" w:hAnsi="Arial"/>
          <w:color w:val="000000"/>
        </w:rPr>
        <w:t xml:space="preserve"> </w:t>
      </w:r>
      <w:hyperlink r:id="rId40">
        <w:r>
          <w:rPr>
            <w:rStyle w:val="style148"/>
            <w:rStyle w:val="style148"/>
            <w:rFonts w:ascii="Arial" w:hAnsi="Arial"/>
            <w:u w:val="none"/>
          </w:rPr>
          <w:t>acero</w:t>
        </w:r>
      </w:hyperlink>
      <w:r>
        <w:rPr>
          <w:rFonts w:ascii="Arial" w:cs="Arial" w:hAnsi="Arial"/>
          <w:color w:val="000000"/>
        </w:rPr>
        <w:t xml:space="preserve">, y cubre un 40 por ciento de las necesidades mundiales. </w:t>
      </w:r>
    </w:p>
    <w:p>
      <w:pPr>
        <w:pStyle w:val="style197"/>
        <w:shd w:fill="FFFFFF" w:val="clear"/>
        <w:spacing w:after="120" w:before="120" w:line="360" w:lineRule="auto"/>
        <w:jc w:val="both"/>
      </w:pPr>
      <w:r>
        <w:rPr>
          <w:rFonts w:ascii="Arial" w:cs="Arial" w:hAnsi="Arial"/>
          <w:color w:val="000000"/>
        </w:rPr>
        <w:tab/>
        <w:t>De acuerdo a la definición parte de los bienes que conforma el inventario de las chatarras está compuesto por trozos de metal  gran parte por un lote de estructura de hierro combinado con resto de ventanas, chasis entre otros.</w:t>
      </w:r>
    </w:p>
    <w:p>
      <w:pPr>
        <w:pStyle w:val="style197"/>
        <w:pageBreakBefore/>
        <w:shd w:fill="FFFFFF" w:val="clear"/>
        <w:spacing w:after="120" w:before="120" w:line="360" w:lineRule="auto"/>
        <w:jc w:val="both"/>
      </w:pPr>
      <w:r>
        <w:rPr>
          <w:rFonts w:ascii="Arial" w:cs="Arial" w:hAnsi="Arial"/>
          <w:bCs/>
        </w:rPr>
        <w:t>Ítem 8.</w:t>
      </w:r>
      <w:r>
        <w:rPr>
          <w:rFonts w:ascii="Arial" w:cs="Arial" w:hAnsi="Arial"/>
          <w:shd w:fill="FFFFFF" w:val="clear"/>
        </w:rPr>
        <w:t xml:space="preserve"> ¿Está de acuerdo con la desincorporación de los Bienes Nacionales en Estado de Obsolescencia, Deterioro y Corrosión y que estos sean enajenados a una empresa en particular como chatarra?</w:t>
      </w:r>
    </w:p>
    <w:p>
      <w:pPr>
        <w:pStyle w:val="style197"/>
        <w:spacing w:after="0" w:before="0" w:line="360" w:lineRule="auto"/>
        <w:jc w:val="both"/>
      </w:pPr>
      <w:r>
        <w:rPr>
          <w:rFonts w:ascii="Arial" w:cs="Arial" w:hAnsi="Arial"/>
          <w:shd w:fill="FFFFFF" w:val="clear"/>
        </w:rPr>
      </w:r>
    </w:p>
    <w:tbl>
      <w:tblPr>
        <w:jc w:val="center"/>
        <w:tblBorders>
          <w:top w:color="000000" w:space="0" w:sz="4" w:val="single"/>
          <w:left w:color="000000" w:space="0" w:sz="4" w:val="single"/>
          <w:bottom w:color="000000" w:space="0" w:sz="4" w:val="single"/>
          <w:right w:color="000000" w:space="0" w:sz="4" w:val="single"/>
        </w:tblBorders>
      </w:tblPr>
      <w:tblGrid>
        <w:gridCol w:w="6364"/>
      </w:tblGrid>
      <w:tr>
        <w:trPr>
          <w:trHeight w:hRule="atLeast" w:val="255"/>
          <w:cantSplit w:val="false"/>
        </w:trPr>
        <w:tc>
          <w:tcPr>
            <w:tcW w:type="dxa" w:w="6364"/>
            <w:gridSpan w:val="4"/>
            <w:tcBorders>
              <w:top w:color="000000" w:space="0" w:sz="4" w:val="single"/>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197"/>
              <w:shd w:fill="FFFFFF" w:val="clear"/>
              <w:spacing w:after="120" w:before="120" w:line="360" w:lineRule="auto"/>
              <w:jc w:val="center"/>
            </w:pPr>
            <w:r>
              <w:rPr>
                <w:rFonts w:ascii="Arial" w:cs="Arial" w:hAnsi="Arial"/>
                <w:b/>
              </w:rPr>
              <w:t>Cuadro  11</w:t>
            </w:r>
          </w:p>
          <w:p>
            <w:pPr>
              <w:pStyle w:val="style0"/>
              <w:spacing w:after="200" w:before="0" w:line="360" w:lineRule="auto"/>
              <w:jc w:val="both"/>
            </w:pPr>
            <w:r>
              <w:rPr>
                <w:rFonts w:ascii="Arial" w:cs="Arial" w:hAnsi="Arial"/>
                <w:b/>
                <w:bCs/>
                <w:sz w:val="24"/>
                <w:lang w:val="es-VE"/>
              </w:rPr>
              <w:t xml:space="preserve">Opinión sobre la enajenación de los bienes nacionales en estado de </w:t>
            </w:r>
            <w:r>
              <w:rPr>
                <w:rFonts w:ascii="Arial" w:cs="Arial" w:hAnsi="Arial"/>
                <w:b/>
                <w:sz w:val="24"/>
                <w:shd w:fill="FFFFFF" w:val="clear"/>
              </w:rPr>
              <w:t>Obsolescencia, Deterioro y Corrosión con  empresa   particular.</w:t>
            </w:r>
            <w:r>
              <w:rPr>
                <w:rFonts w:ascii="Arial" w:cs="Arial" w:hAnsi="Arial"/>
                <w:b/>
                <w:bCs/>
                <w:sz w:val="24"/>
                <w:lang w:val="es-VE"/>
              </w:rPr>
              <w:t xml:space="preserve"> </w:t>
            </w:r>
          </w:p>
        </w:tc>
      </w:tr>
      <w:tr>
        <w:trPr>
          <w:trHeight w:hRule="atLeast" w:val="255"/>
          <w:cantSplit w:val="false"/>
        </w:trPr>
        <w:tc>
          <w:tcPr>
            <w:tcW w:type="dxa" w:w="1051"/>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b/>
                <w:szCs w:val="20"/>
              </w:rPr>
              <w:t>Ítem</w:t>
            </w:r>
          </w:p>
        </w:tc>
        <w:tc>
          <w:tcPr>
            <w:tcW w:type="dxa" w:w="2094"/>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b/>
                <w:szCs w:val="20"/>
              </w:rPr>
              <w:t>Opciones  de Repuestas</w:t>
            </w:r>
          </w:p>
        </w:tc>
        <w:tc>
          <w:tcPr>
            <w:tcW w:type="dxa" w:w="2009"/>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b/>
                <w:szCs w:val="20"/>
              </w:rPr>
              <w:t>Frecuencia</w:t>
            </w:r>
          </w:p>
        </w:tc>
        <w:tc>
          <w:tcPr>
            <w:tcW w:type="dxa" w:w="1210"/>
            <w:tcBorders>
              <w:top w:color="000000" w:space="0" w:sz="4" w:val="single"/>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b/>
                <w:szCs w:val="20"/>
              </w:rPr>
              <w:t>Valor %</w:t>
            </w:r>
          </w:p>
        </w:tc>
      </w:tr>
      <w:tr>
        <w:trPr>
          <w:trHeight w:hRule="atLeast" w:val="255"/>
          <w:cantSplit w:val="false"/>
        </w:trPr>
        <w:tc>
          <w:tcPr>
            <w:tcW w:type="dxa" w:w="1051"/>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rPr>
              <w:t>A</w:t>
            </w:r>
          </w:p>
        </w:tc>
        <w:tc>
          <w:tcPr>
            <w:tcW w:type="dxa" w:w="2094"/>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rPr>
              <w:t>No contestó</w:t>
            </w:r>
          </w:p>
        </w:tc>
        <w:tc>
          <w:tcPr>
            <w:tcW w:type="dxa" w:w="2009"/>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rPr>
              <w:t>0</w:t>
            </w:r>
          </w:p>
        </w:tc>
        <w:tc>
          <w:tcPr>
            <w:tcW w:type="dxa" w:w="121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rPr>
              <w:t>0%</w:t>
            </w:r>
          </w:p>
        </w:tc>
      </w:tr>
      <w:tr>
        <w:trPr>
          <w:trHeight w:hRule="atLeast" w:val="255"/>
          <w:cantSplit w:val="false"/>
        </w:trPr>
        <w:tc>
          <w:tcPr>
            <w:tcW w:type="dxa" w:w="1051"/>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rPr>
              <w:t>B</w:t>
            </w:r>
          </w:p>
        </w:tc>
        <w:tc>
          <w:tcPr>
            <w:tcW w:type="dxa" w:w="2094"/>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rPr>
              <w:t>Siempre</w:t>
            </w:r>
          </w:p>
        </w:tc>
        <w:tc>
          <w:tcPr>
            <w:tcW w:type="dxa" w:w="2009"/>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rPr>
              <w:t>14</w:t>
            </w:r>
          </w:p>
        </w:tc>
        <w:tc>
          <w:tcPr>
            <w:tcW w:type="dxa" w:w="121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rPr>
              <w:t>74%</w:t>
            </w:r>
          </w:p>
        </w:tc>
      </w:tr>
      <w:tr>
        <w:trPr>
          <w:trHeight w:hRule="atLeast" w:val="255"/>
          <w:cantSplit w:val="false"/>
        </w:trPr>
        <w:tc>
          <w:tcPr>
            <w:tcW w:type="dxa" w:w="1051"/>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rPr>
              <w:t>C</w:t>
            </w:r>
          </w:p>
        </w:tc>
        <w:tc>
          <w:tcPr>
            <w:tcW w:type="dxa" w:w="2094"/>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rPr>
              <w:t>Casi siempre</w:t>
            </w:r>
          </w:p>
        </w:tc>
        <w:tc>
          <w:tcPr>
            <w:tcW w:type="dxa" w:w="2009"/>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rPr>
              <w:t>0</w:t>
            </w:r>
          </w:p>
        </w:tc>
        <w:tc>
          <w:tcPr>
            <w:tcW w:type="dxa" w:w="121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rPr>
              <w:t>0%</w:t>
            </w:r>
          </w:p>
        </w:tc>
      </w:tr>
      <w:tr>
        <w:trPr>
          <w:trHeight w:hRule="atLeast" w:val="255"/>
          <w:cantSplit w:val="false"/>
        </w:trPr>
        <w:tc>
          <w:tcPr>
            <w:tcW w:type="dxa" w:w="1051"/>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rPr>
              <w:t>D</w:t>
            </w:r>
          </w:p>
        </w:tc>
        <w:tc>
          <w:tcPr>
            <w:tcW w:type="dxa" w:w="2094"/>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rPr>
              <w:t>A veces</w:t>
            </w:r>
          </w:p>
        </w:tc>
        <w:tc>
          <w:tcPr>
            <w:tcW w:type="dxa" w:w="2009"/>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rPr>
              <w:t>3</w:t>
            </w:r>
          </w:p>
        </w:tc>
        <w:tc>
          <w:tcPr>
            <w:tcW w:type="dxa" w:w="121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rPr>
              <w:t>16%</w:t>
            </w:r>
          </w:p>
        </w:tc>
      </w:tr>
      <w:tr>
        <w:trPr>
          <w:trHeight w:hRule="atLeast" w:val="255"/>
          <w:cantSplit w:val="false"/>
        </w:trPr>
        <w:tc>
          <w:tcPr>
            <w:tcW w:type="dxa" w:w="1051"/>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rPr>
              <w:t>E</w:t>
            </w:r>
          </w:p>
        </w:tc>
        <w:tc>
          <w:tcPr>
            <w:tcW w:type="dxa" w:w="2094"/>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rPr>
              <w:t>Casi Nunca</w:t>
            </w:r>
          </w:p>
        </w:tc>
        <w:tc>
          <w:tcPr>
            <w:tcW w:type="dxa" w:w="2009"/>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rPr>
              <w:t>0</w:t>
            </w:r>
          </w:p>
        </w:tc>
        <w:tc>
          <w:tcPr>
            <w:tcW w:type="dxa" w:w="121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rPr>
              <w:t>0%</w:t>
            </w:r>
          </w:p>
        </w:tc>
      </w:tr>
      <w:tr>
        <w:trPr>
          <w:trHeight w:hRule="atLeast" w:val="255"/>
          <w:cantSplit w:val="false"/>
        </w:trPr>
        <w:tc>
          <w:tcPr>
            <w:tcW w:type="dxa" w:w="1051"/>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rPr>
              <w:t>F</w:t>
            </w:r>
          </w:p>
        </w:tc>
        <w:tc>
          <w:tcPr>
            <w:tcW w:type="dxa" w:w="2094"/>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rPr>
              <w:t>Nunca</w:t>
            </w:r>
          </w:p>
        </w:tc>
        <w:tc>
          <w:tcPr>
            <w:tcW w:type="dxa" w:w="2009"/>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rPr>
              <w:t>2</w:t>
            </w:r>
          </w:p>
        </w:tc>
        <w:tc>
          <w:tcPr>
            <w:tcW w:type="dxa" w:w="121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rPr>
              <w:t>11%</w:t>
            </w:r>
          </w:p>
        </w:tc>
      </w:tr>
      <w:tr>
        <w:trPr>
          <w:trHeight w:hRule="atLeast" w:val="255"/>
          <w:cantSplit w:val="false"/>
        </w:trPr>
        <w:tc>
          <w:tcPr>
            <w:tcW w:type="dxa" w:w="1051"/>
            <w:tcBorders>
              <w:top w:color="000000" w:space="0" w:sz="4" w:val="single"/>
            </w:tcBorders>
            <w:shd w:fill="auto" w:val="clear"/>
            <w:tcMar>
              <w:top w:type="dxa" w:w="0"/>
              <w:left w:type="dxa" w:w="70"/>
              <w:bottom w:type="dxa" w:w="0"/>
              <w:right w:type="dxa" w:w="70"/>
            </w:tcMar>
            <w:vAlign w:val="bottom"/>
          </w:tcPr>
          <w:p>
            <w:pPr>
              <w:pStyle w:val="style0"/>
              <w:snapToGrid w:val="false"/>
              <w:spacing w:after="200" w:before="0" w:line="240" w:lineRule="auto"/>
            </w:pPr>
            <w:r>
              <w:rPr>
                <w:rFonts w:ascii="Arial" w:cs="Arial" w:hAnsi="Arial"/>
                <w:lang w:eastAsia="es-VE" w:val="es-VE"/>
              </w:rPr>
            </w:r>
          </w:p>
        </w:tc>
        <w:p>
          <w:pPr>
            <w:pStyle w:val="style0"/>
            <w:spacing w:after="200" w:before="0"/>
          </w:pPr>
          <w:r>
            <w:rPr>
              <w:rFonts w:ascii="Arial" w:cs="Arial" w:hAnsi="Arial"/>
            </w:rPr>
            <w:t>Fuente: Mendoza (2015)</w:t>
          </w:r>
        </w:p>
        <w:tc>
          <w:tcPr>
            <w:tcW w:type="dxa" w:w="2094"/>
            <w:tcBorders>
              <w:top w:color="000000" w:space="0" w:sz="4" w:val="single"/>
            </w:tcBorders>
            <w:shd w:fill="auto" w:val="clear"/>
            <w:tcMar>
              <w:top w:type="dxa" w:w="0"/>
              <w:left w:type="dxa" w:w="70"/>
              <w:bottom w:type="dxa" w:w="0"/>
              <w:right w:type="dxa" w:w="70"/>
            </w:tcMar>
            <w:vAlign w:val="bottom"/>
          </w:tcPr>
          <w:p>
            <w:pPr>
              <w:pStyle w:val="style0"/>
              <w:snapToGrid w:val="false"/>
              <w:spacing w:after="200" w:before="0" w:line="240" w:lineRule="auto"/>
            </w:pPr>
            <w:r>
              <w:rPr>
                <w:rFonts w:ascii="Arial" w:cs="Arial" w:hAnsi="Arial"/>
              </w:rPr>
            </w:r>
          </w:p>
        </w:tc>
        <w:tc>
          <w:tcPr>
            <w:tcW w:type="dxa" w:w="2009"/>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rPr>
              <w:t>19</w:t>
            </w:r>
          </w:p>
        </w:tc>
        <w:tc>
          <w:tcPr>
            <w:tcW w:type="dxa" w:w="1210"/>
            <w:tcBorders>
              <w:top w:color="000000" w:space="0" w:sz="4" w:val="single"/>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rPr>
              <w:t>100%</w:t>
            </w:r>
          </w:p>
        </w:tc>
      </w:tr>
    </w:tbl>
    <w:p>
      <w:pPr>
        <w:pStyle w:val="style197"/>
        <w:spacing w:after="0" w:before="0" w:line="360" w:lineRule="auto"/>
        <w:jc w:val="center"/>
      </w:pPr>
      <w:r>
        <w:rPr>
          <w:lang w:eastAsia="es-VE" w:val="es-VE"/>
        </w:rPr>
        <w:t xml:space="preserve"> </w:t>
      </w:r>
      <w:r>
        <w:rPr>
          <w:lang w:eastAsia="es-VE" w:val="es-ES"/>
        </w:rPr>
        <w:drawing>
          <wp:inline distB="0" distL="0" distR="0" distT="0">
            <wp:extent cx="5255260" cy="2329815"/>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41"/>
                    <a:srcRect/>
                    <a:stretch>
                      <a:fillRect/>
                    </a:stretch>
                  </pic:blipFill>
                  <pic:spPr bwMode="auto">
                    <a:xfrm>
                      <a:off x="0" y="0"/>
                      <a:ext cx="5255260" cy="2329815"/>
                    </a:xfrm>
                    <a:prstGeom prst="rect">
                      <a:avLst/>
                    </a:prstGeom>
                    <a:noFill/>
                    <a:ln w="9525">
                      <a:noFill/>
                      <a:miter lim="800000"/>
                      <a:headEnd/>
                      <a:tailEnd/>
                    </a:ln>
                  </pic:spPr>
                </pic:pic>
              </a:graphicData>
            </a:graphic>
          </wp:inline>
        </w:drawing>
      </w:r>
    </w:p>
    <w:p>
      <w:pPr>
        <w:pStyle w:val="style0"/>
        <w:spacing w:after="200" w:before="0"/>
      </w:pPr>
      <w:r>
        <w:rPr>
          <w:rFonts w:ascii="Arial" w:cs="Arial" w:hAnsi="Arial"/>
        </w:rPr>
        <w:t>Fuente: Mendoza (2015)</w:t>
      </w:r>
    </w:p>
    <w:p>
      <w:pPr>
        <w:pStyle w:val="style197"/>
        <w:spacing w:after="0" w:before="0"/>
        <w:jc w:val="both"/>
      </w:pPr>
      <w:r>
        <w:rPr>
          <w:rFonts w:ascii="Arial" w:cs="Arial" w:hAnsi="Arial"/>
          <w:b/>
          <w:bCs/>
          <w:color w:val="000000"/>
        </w:rPr>
        <w:t xml:space="preserve">Gráfico 8 </w:t>
      </w:r>
      <w:r>
        <w:rPr>
          <w:rFonts w:ascii="Arial" w:cs="Arial" w:hAnsi="Arial"/>
          <w:b/>
          <w:bCs/>
        </w:rPr>
        <w:t xml:space="preserve">Opinión sobre la enajenación de los bienes nacionales en estado de </w:t>
      </w:r>
      <w:r>
        <w:rPr>
          <w:rFonts w:ascii="Arial" w:cs="Arial" w:hAnsi="Arial"/>
          <w:b/>
          <w:shd w:fill="FFFFFF" w:val="clear"/>
        </w:rPr>
        <w:t>Obsolescencia, Deterioro y Corrosión con  empresa   particular.</w:t>
      </w:r>
      <w:r>
        <w:rPr>
          <w:rFonts w:ascii="Arial" w:cs="Arial" w:hAnsi="Arial"/>
          <w:b/>
          <w:bCs/>
          <w:color w:val="000000"/>
        </w:rPr>
        <w:t xml:space="preserve"> </w:t>
      </w:r>
    </w:p>
    <w:p>
      <w:pPr>
        <w:pStyle w:val="style197"/>
        <w:spacing w:after="0" w:before="0"/>
        <w:jc w:val="both"/>
      </w:pPr>
      <w:r>
        <w:rPr>
          <w:rFonts w:ascii="Arial" w:cs="Arial" w:hAnsi="Arial"/>
          <w:b/>
          <w:bCs/>
          <w:color w:val="000000"/>
        </w:rPr>
      </w:r>
    </w:p>
    <w:p>
      <w:pPr>
        <w:pStyle w:val="style197"/>
        <w:spacing w:after="0" w:before="0" w:line="360" w:lineRule="auto"/>
        <w:jc w:val="both"/>
      </w:pPr>
      <w:r>
        <w:rPr>
          <w:rFonts w:ascii="Arial" w:cs="Arial" w:hAnsi="Arial"/>
          <w:b/>
          <w:bCs/>
        </w:rPr>
        <w:t>Análisis</w:t>
      </w:r>
      <w:r>
        <w:rPr>
          <w:rFonts w:ascii="Arial" w:cs="Arial" w:hAnsi="Arial"/>
          <w:bCs/>
        </w:rPr>
        <w:t xml:space="preserve">: Según los resultados obtenidos un alto porcentaje expreso estar de acuerdo con la ventas de la chatarras a una empresa particular, puesto que esta ofrece más recursos económicos que empresa  del estado hay mas utilidad y lo que tiene opiniones desfavorable prefieren que la contratación sean directamente con las empresas del estado porque la misma será utilizadas como materia prima para producir materiales ferrosos que pueden ser utilizado en la construcción de obras publica y así beneficiaran más personas o a la población Venezolana y no a un solo sector aquí entraría la estrategia  “ganar ganar” aquí se busca que ambas parte ganen pero compartiendo el beneficio </w:t>
      </w:r>
    </w:p>
    <w:p>
      <w:pPr>
        <w:pStyle w:val="style197"/>
        <w:pageBreakBefore/>
        <w:spacing w:after="0" w:before="0" w:line="360" w:lineRule="auto"/>
        <w:jc w:val="both"/>
      </w:pPr>
      <w:r>
        <w:rPr>
          <w:rStyle w:val="style150"/>
          <w:rFonts w:ascii="Arial" w:hAnsi="Arial"/>
          <w:b w:val="false"/>
          <w:color w:val="000000"/>
          <w:shd w:fill="FFFFFF" w:val="clear"/>
        </w:rPr>
        <w:t>Ítem 9.</w:t>
      </w:r>
      <w:r>
        <w:rPr>
          <w:rFonts w:ascii="Arial" w:cs="Arial" w:hAnsi="Arial"/>
          <w:color w:val="000000"/>
          <w:shd w:fill="FFFFFF" w:val="clear"/>
        </w:rPr>
        <w:t xml:space="preserve"> ¿Está de acuerdo con la desincorporación de los Bienes Nacionales en Estado de Obsolescencia, Deterioro y Corrosión y que  estos sean permutados con una empresa del estado o particular  por otros bienes de igual valor en perfecta condiciones?</w:t>
      </w:r>
    </w:p>
    <w:p>
      <w:pPr>
        <w:pStyle w:val="style196"/>
        <w:spacing w:line="360" w:lineRule="auto"/>
        <w:jc w:val="both"/>
      </w:pPr>
      <w:r>
        <w:rPr>
          <w:rFonts w:ascii="Arial" w:cs="Arial" w:hAnsi="Arial"/>
          <w:color w:val="000000"/>
          <w:shd w:fill="FFFFFF" w:val="clear"/>
        </w:rPr>
      </w:r>
    </w:p>
    <w:tbl>
      <w:tblPr>
        <w:jc w:val="center"/>
        <w:tblBorders>
          <w:top w:color="000000" w:space="0" w:sz="4" w:val="single"/>
          <w:left w:color="000000" w:space="0" w:sz="4" w:val="single"/>
          <w:bottom w:color="000000" w:space="0" w:sz="4" w:val="single"/>
          <w:right w:color="000000" w:space="0" w:sz="4" w:val="single"/>
        </w:tblBorders>
      </w:tblPr>
      <w:tblGrid>
        <w:gridCol w:w="5982"/>
      </w:tblGrid>
      <w:tr>
        <w:trPr>
          <w:trHeight w:hRule="atLeast" w:val="315"/>
          <w:cantSplit w:val="false"/>
        </w:trPr>
        <w:tc>
          <w:tcPr>
            <w:tcW w:type="dxa" w:w="5982"/>
            <w:gridSpan w:val="4"/>
            <w:tcBorders>
              <w:top w:color="000000" w:space="0" w:sz="4" w:val="single"/>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197"/>
              <w:shd w:fill="FFFFFF" w:val="clear"/>
              <w:spacing w:after="120" w:before="120" w:line="360" w:lineRule="auto"/>
              <w:jc w:val="center"/>
            </w:pPr>
            <w:r>
              <w:rPr>
                <w:rFonts w:ascii="Arial" w:cs="Arial" w:hAnsi="Arial"/>
                <w:b/>
                <w:color w:val="000000"/>
              </w:rPr>
              <w:t>Cuadro  12</w:t>
            </w:r>
          </w:p>
          <w:p>
            <w:pPr>
              <w:pStyle w:val="style197"/>
              <w:shd w:fill="FFFFFF" w:val="clear"/>
              <w:spacing w:after="120" w:before="120" w:line="360" w:lineRule="auto"/>
              <w:jc w:val="both"/>
            </w:pPr>
            <w:r>
              <w:rPr>
                <w:rFonts w:ascii="Arial" w:cs="Arial" w:hAnsi="Arial"/>
                <w:b/>
                <w:bCs/>
              </w:rPr>
              <w:t xml:space="preserve">Opinión sobre la permuta de los bienes nacionales en estado de </w:t>
            </w:r>
            <w:r>
              <w:rPr>
                <w:rFonts w:ascii="Arial" w:cs="Arial" w:hAnsi="Arial"/>
                <w:b/>
                <w:shd w:fill="FFFFFF" w:val="clear"/>
              </w:rPr>
              <w:t>Obsolescencia, Deterioro y Corrosión con  empresa  del Estado o  particular.</w:t>
            </w:r>
          </w:p>
        </w:tc>
      </w:tr>
      <w:tr>
        <w:trPr>
          <w:trHeight w:hRule="atLeast" w:val="315"/>
          <w:cantSplit w:val="false"/>
        </w:trPr>
        <w:tc>
          <w:tcPr>
            <w:tcW w:type="dxa" w:w="714"/>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b/>
                <w:szCs w:val="20"/>
              </w:rPr>
              <w:t>Ítem</w:t>
            </w:r>
          </w:p>
        </w:tc>
        <w:tc>
          <w:tcPr>
            <w:tcW w:type="dxa" w:w="2080"/>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b/>
                <w:szCs w:val="20"/>
              </w:rPr>
              <w:t>Opciones  de Repuestas</w:t>
            </w:r>
          </w:p>
        </w:tc>
        <w:tc>
          <w:tcPr>
            <w:tcW w:type="dxa" w:w="1760"/>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b/>
                <w:szCs w:val="20"/>
              </w:rPr>
              <w:t>Frecuencia</w:t>
            </w:r>
          </w:p>
        </w:tc>
        <w:tc>
          <w:tcPr>
            <w:tcW w:type="dxa" w:w="1428"/>
            <w:tcBorders>
              <w:top w:color="000000" w:space="0" w:sz="4" w:val="single"/>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b/>
                <w:szCs w:val="20"/>
              </w:rPr>
              <w:t>Valor %</w:t>
            </w:r>
          </w:p>
        </w:tc>
      </w:tr>
      <w:tr>
        <w:trPr>
          <w:trHeight w:hRule="atLeast" w:val="300"/>
          <w:cantSplit w:val="false"/>
        </w:trPr>
        <w:tc>
          <w:tcPr>
            <w:tcW w:type="dxa" w:w="714"/>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sz w:val="24"/>
                <w:szCs w:val="24"/>
              </w:rPr>
              <w:t>A</w:t>
            </w:r>
          </w:p>
        </w:tc>
        <w:tc>
          <w:tcPr>
            <w:tcW w:type="dxa" w:w="208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color w:val="000000"/>
                <w:sz w:val="24"/>
                <w:szCs w:val="24"/>
              </w:rPr>
              <w:t>No contestó</w:t>
            </w:r>
          </w:p>
        </w:tc>
        <w:tc>
          <w:tcPr>
            <w:tcW w:type="dxa" w:w="176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szCs w:val="24"/>
              </w:rPr>
              <w:t>0</w:t>
            </w:r>
          </w:p>
        </w:tc>
        <w:tc>
          <w:tcPr>
            <w:tcW w:type="dxa" w:w="1428"/>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szCs w:val="24"/>
              </w:rPr>
              <w:t>0%</w:t>
            </w:r>
          </w:p>
        </w:tc>
      </w:tr>
      <w:tr>
        <w:trPr>
          <w:trHeight w:hRule="atLeast" w:val="300"/>
          <w:cantSplit w:val="false"/>
        </w:trPr>
        <w:tc>
          <w:tcPr>
            <w:tcW w:type="dxa" w:w="714"/>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sz w:val="24"/>
                <w:szCs w:val="24"/>
              </w:rPr>
              <w:t>B</w:t>
            </w:r>
          </w:p>
        </w:tc>
        <w:tc>
          <w:tcPr>
            <w:tcW w:type="dxa" w:w="208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color w:val="000000"/>
                <w:sz w:val="24"/>
                <w:szCs w:val="24"/>
              </w:rPr>
              <w:t>Siempre</w:t>
            </w:r>
          </w:p>
        </w:tc>
        <w:tc>
          <w:tcPr>
            <w:tcW w:type="dxa" w:w="176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szCs w:val="24"/>
              </w:rPr>
              <w:t>15</w:t>
            </w:r>
          </w:p>
        </w:tc>
        <w:tc>
          <w:tcPr>
            <w:tcW w:type="dxa" w:w="1428"/>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szCs w:val="24"/>
              </w:rPr>
              <w:t>79%</w:t>
            </w:r>
          </w:p>
        </w:tc>
      </w:tr>
      <w:tr>
        <w:trPr>
          <w:trHeight w:hRule="atLeast" w:val="300"/>
          <w:cantSplit w:val="false"/>
        </w:trPr>
        <w:tc>
          <w:tcPr>
            <w:tcW w:type="dxa" w:w="714"/>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sz w:val="24"/>
                <w:szCs w:val="24"/>
              </w:rPr>
              <w:t>C</w:t>
            </w:r>
          </w:p>
        </w:tc>
        <w:tc>
          <w:tcPr>
            <w:tcW w:type="dxa" w:w="208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color w:val="000000"/>
                <w:sz w:val="24"/>
                <w:szCs w:val="24"/>
              </w:rPr>
              <w:t>Casi siempre</w:t>
            </w:r>
          </w:p>
        </w:tc>
        <w:tc>
          <w:tcPr>
            <w:tcW w:type="dxa" w:w="176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szCs w:val="24"/>
              </w:rPr>
              <w:t>0</w:t>
            </w:r>
          </w:p>
        </w:tc>
        <w:tc>
          <w:tcPr>
            <w:tcW w:type="dxa" w:w="1428"/>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szCs w:val="24"/>
              </w:rPr>
              <w:t>0%</w:t>
            </w:r>
          </w:p>
        </w:tc>
      </w:tr>
      <w:tr>
        <w:trPr>
          <w:trHeight w:hRule="atLeast" w:val="300"/>
          <w:cantSplit w:val="false"/>
        </w:trPr>
        <w:tc>
          <w:tcPr>
            <w:tcW w:type="dxa" w:w="714"/>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sz w:val="24"/>
                <w:szCs w:val="24"/>
              </w:rPr>
              <w:t>D</w:t>
            </w:r>
          </w:p>
        </w:tc>
        <w:tc>
          <w:tcPr>
            <w:tcW w:type="dxa" w:w="208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color w:val="000000"/>
                <w:sz w:val="24"/>
                <w:szCs w:val="24"/>
              </w:rPr>
              <w:t>A veces</w:t>
            </w:r>
          </w:p>
        </w:tc>
        <w:tc>
          <w:tcPr>
            <w:tcW w:type="dxa" w:w="176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szCs w:val="24"/>
              </w:rPr>
              <w:t>4</w:t>
            </w:r>
          </w:p>
        </w:tc>
        <w:tc>
          <w:tcPr>
            <w:tcW w:type="dxa" w:w="1428"/>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szCs w:val="24"/>
              </w:rPr>
              <w:t>21%</w:t>
            </w:r>
          </w:p>
        </w:tc>
      </w:tr>
      <w:tr>
        <w:trPr>
          <w:trHeight w:hRule="atLeast" w:val="300"/>
          <w:cantSplit w:val="false"/>
        </w:trPr>
        <w:tc>
          <w:tcPr>
            <w:tcW w:type="dxa" w:w="714"/>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sz w:val="24"/>
                <w:szCs w:val="24"/>
              </w:rPr>
              <w:t>E</w:t>
            </w:r>
          </w:p>
        </w:tc>
        <w:tc>
          <w:tcPr>
            <w:tcW w:type="dxa" w:w="208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color w:val="000000"/>
                <w:sz w:val="24"/>
                <w:szCs w:val="24"/>
              </w:rPr>
              <w:t>Casi Nunca</w:t>
            </w:r>
          </w:p>
        </w:tc>
        <w:tc>
          <w:tcPr>
            <w:tcW w:type="dxa" w:w="176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szCs w:val="24"/>
              </w:rPr>
              <w:t>0</w:t>
            </w:r>
          </w:p>
        </w:tc>
        <w:tc>
          <w:tcPr>
            <w:tcW w:type="dxa" w:w="1428"/>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szCs w:val="24"/>
              </w:rPr>
              <w:t>0%</w:t>
            </w:r>
          </w:p>
        </w:tc>
      </w:tr>
      <w:tr>
        <w:trPr>
          <w:trHeight w:hRule="atLeast" w:val="300"/>
          <w:cantSplit w:val="false"/>
        </w:trPr>
        <w:tc>
          <w:tcPr>
            <w:tcW w:type="dxa" w:w="714"/>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sz w:val="24"/>
                <w:szCs w:val="24"/>
              </w:rPr>
              <w:t>F</w:t>
            </w:r>
          </w:p>
        </w:tc>
        <w:tc>
          <w:tcPr>
            <w:tcW w:type="dxa" w:w="208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color w:val="000000"/>
                <w:sz w:val="24"/>
                <w:szCs w:val="24"/>
              </w:rPr>
              <w:t>Nunca</w:t>
            </w:r>
          </w:p>
        </w:tc>
        <w:tc>
          <w:tcPr>
            <w:tcW w:type="dxa" w:w="176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szCs w:val="24"/>
              </w:rPr>
              <w:t>0</w:t>
            </w:r>
          </w:p>
        </w:tc>
        <w:tc>
          <w:tcPr>
            <w:tcW w:type="dxa" w:w="1428"/>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szCs w:val="24"/>
              </w:rPr>
              <w:t>0%</w:t>
            </w:r>
          </w:p>
        </w:tc>
      </w:tr>
      <w:tr>
        <w:trPr>
          <w:trHeight w:hRule="atLeast" w:val="300"/>
          <w:cantSplit w:val="false"/>
        </w:trPr>
        <w:tc>
          <w:tcPr>
            <w:tcW w:type="dxa" w:w="714"/>
            <w:tcBorders/>
            <w:shd w:fill="auto" w:val="clear"/>
            <w:tcMar>
              <w:top w:type="dxa" w:w="0"/>
              <w:left w:type="dxa" w:w="70"/>
              <w:bottom w:type="dxa" w:w="0"/>
              <w:right w:type="dxa" w:w="70"/>
            </w:tcMar>
            <w:vAlign w:val="bottom"/>
          </w:tcPr>
          <w:p>
            <w:pPr>
              <w:pStyle w:val="style0"/>
              <w:snapToGrid w:val="false"/>
              <w:spacing w:after="200" w:before="0" w:line="240" w:lineRule="auto"/>
            </w:pPr>
            <w:r>
              <w:rPr>
                <w:rFonts w:ascii="Arial" w:cs="Arial" w:hAnsi="Arial"/>
                <w:color w:val="000000"/>
                <w:sz w:val="24"/>
                <w:szCs w:val="24"/>
                <w:lang w:eastAsia="es-VE" w:val="es-VE"/>
              </w:rPr>
            </w:r>
          </w:p>
        </w:tc>
        <w:p>
          <w:pPr>
            <w:pStyle w:val="style0"/>
            <w:spacing w:after="200" w:before="0"/>
          </w:pPr>
          <w:r>
            <w:rPr>
              <w:rFonts w:ascii="Arial" w:cs="Arial" w:hAnsi="Arial"/>
            </w:rPr>
            <w:t>Fuente: Mendoza (2015)</w:t>
          </w:r>
        </w:p>
        <w:tc>
          <w:tcPr>
            <w:tcW w:type="dxa" w:w="2080"/>
            <w:tcBorders/>
            <w:shd w:fill="auto" w:val="clear"/>
            <w:tcMar>
              <w:top w:type="dxa" w:w="0"/>
              <w:left w:type="dxa" w:w="70"/>
              <w:bottom w:type="dxa" w:w="0"/>
              <w:right w:type="dxa" w:w="70"/>
            </w:tcMar>
            <w:vAlign w:val="bottom"/>
          </w:tcPr>
          <w:p>
            <w:pPr>
              <w:pStyle w:val="style0"/>
              <w:snapToGrid w:val="false"/>
              <w:spacing w:after="200" w:before="0" w:line="240" w:lineRule="auto"/>
            </w:pPr>
            <w:r>
              <w:rPr>
                <w:rFonts w:ascii="Arial" w:cs="Arial" w:hAnsi="Arial"/>
                <w:color w:val="000000"/>
                <w:sz w:val="24"/>
                <w:szCs w:val="24"/>
              </w:rPr>
            </w:r>
          </w:p>
        </w:tc>
        <w:tc>
          <w:tcPr>
            <w:tcW w:type="dxa" w:w="176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szCs w:val="24"/>
              </w:rPr>
              <w:t>19</w:t>
            </w:r>
          </w:p>
        </w:tc>
        <w:tc>
          <w:tcPr>
            <w:tcW w:type="dxa" w:w="1428"/>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szCs w:val="24"/>
              </w:rPr>
              <w:t>100%</w:t>
            </w:r>
          </w:p>
        </w:tc>
      </w:tr>
    </w:tbl>
    <w:p>
      <w:pPr>
        <w:pStyle w:val="style196"/>
        <w:spacing w:line="360" w:lineRule="auto"/>
        <w:jc w:val="center"/>
      </w:pPr>
      <w:r>
        <w:rPr>
          <w:rFonts w:ascii="Arial" w:cs="Arial" w:hAnsi="Arial"/>
          <w:color w:val="000000"/>
          <w:sz w:val="24"/>
          <w:szCs w:val="24"/>
          <w:shd w:fill="FFFFFF" w:val="clear"/>
          <w:lang w:eastAsia="es-VE" w:val="es-VE"/>
        </w:rPr>
        <w:drawing>
          <wp:inline distB="0" distL="0" distR="0" distT="0">
            <wp:extent cx="5255260" cy="3093720"/>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42"/>
                    <a:srcRect/>
                    <a:stretch>
                      <a:fillRect/>
                    </a:stretch>
                  </pic:blipFill>
                  <pic:spPr bwMode="auto">
                    <a:xfrm>
                      <a:off x="0" y="0"/>
                      <a:ext cx="5255260" cy="3093720"/>
                    </a:xfrm>
                    <a:prstGeom prst="rect">
                      <a:avLst/>
                    </a:prstGeom>
                    <a:noFill/>
                    <a:ln w="9525">
                      <a:noFill/>
                      <a:miter lim="800000"/>
                      <a:headEnd/>
                      <a:tailEnd/>
                    </a:ln>
                  </pic:spPr>
                </pic:pic>
              </a:graphicData>
            </a:graphic>
          </wp:inline>
        </w:drawing>
      </w:r>
    </w:p>
    <w:p>
      <w:pPr>
        <w:pStyle w:val="style0"/>
        <w:spacing w:after="200" w:before="0"/>
      </w:pPr>
      <w:r>
        <w:rPr>
          <w:rFonts w:ascii="Arial" w:cs="Arial" w:hAnsi="Arial"/>
        </w:rPr>
        <w:t>Fuente: Mendoza (2015)</w:t>
      </w:r>
    </w:p>
    <w:p>
      <w:pPr>
        <w:pStyle w:val="style197"/>
        <w:spacing w:after="0" w:before="0"/>
        <w:jc w:val="both"/>
      </w:pPr>
      <w:r>
        <w:rPr>
          <w:rFonts w:ascii="Arial" w:cs="Arial" w:hAnsi="Arial"/>
          <w:b/>
          <w:bCs/>
          <w:color w:val="000000"/>
        </w:rPr>
        <w:t xml:space="preserve">Gráfico 9 </w:t>
      </w:r>
      <w:r>
        <w:rPr>
          <w:rFonts w:ascii="Arial" w:cs="Arial" w:hAnsi="Arial"/>
          <w:b/>
          <w:bCs/>
        </w:rPr>
        <w:t xml:space="preserve">Opinión sobre la permuta de los bienes nacionales en estado de </w:t>
      </w:r>
      <w:r>
        <w:rPr>
          <w:rFonts w:ascii="Arial" w:cs="Arial" w:hAnsi="Arial"/>
          <w:b/>
          <w:shd w:fill="FFFFFF" w:val="clear"/>
        </w:rPr>
        <w:t>Obsolescencia, Deterioro y Corrosión con  empresa  del Estado o  particular</w:t>
      </w:r>
    </w:p>
    <w:p>
      <w:pPr>
        <w:pStyle w:val="style197"/>
        <w:spacing w:after="0" w:before="0"/>
        <w:jc w:val="both"/>
      </w:pPr>
      <w:r>
        <w:rPr>
          <w:rFonts w:ascii="Arial" w:cs="Arial" w:hAnsi="Arial"/>
          <w:b/>
          <w:bCs/>
          <w:color w:val="000000"/>
        </w:rPr>
      </w:r>
    </w:p>
    <w:p>
      <w:pPr>
        <w:pStyle w:val="style197"/>
        <w:spacing w:after="0" w:before="0" w:line="360" w:lineRule="auto"/>
        <w:jc w:val="both"/>
      </w:pPr>
      <w:r>
        <w:rPr>
          <w:rFonts w:ascii="Arial" w:cs="Arial" w:hAnsi="Arial"/>
          <w:b/>
          <w:bCs/>
        </w:rPr>
        <w:t xml:space="preserve">Análisis: </w:t>
      </w:r>
      <w:r>
        <w:rPr>
          <w:rFonts w:ascii="Arial" w:cs="Arial" w:hAnsi="Arial"/>
          <w:bCs/>
        </w:rPr>
        <w:t>Según los</w:t>
      </w:r>
      <w:r>
        <w:rPr>
          <w:rFonts w:ascii="Arial" w:cs="Arial" w:hAnsi="Arial"/>
          <w:b/>
          <w:bCs/>
        </w:rPr>
        <w:t xml:space="preserve"> </w:t>
      </w:r>
      <w:r>
        <w:rPr>
          <w:rFonts w:ascii="Arial" w:cs="Arial" w:hAnsi="Arial"/>
          <w:bCs/>
        </w:rPr>
        <w:t>resultados obtenidos la mayoría de los encuestados manifiestan que están de acuerdo a que se realice una permuta con empresa bien sea con el estado o  particular mientras que un Diez (10) por ciento (%) manifiestan que esto es imposible que se realice porque siempre los procesos quedan a media.</w:t>
      </w:r>
    </w:p>
    <w:p>
      <w:pPr>
        <w:pStyle w:val="style197"/>
        <w:spacing w:after="0" w:before="0" w:line="360" w:lineRule="auto"/>
        <w:jc w:val="both"/>
      </w:pPr>
      <w:r>
        <w:rPr>
          <w:rFonts w:ascii="Arial" w:cs="Arial" w:hAnsi="Arial"/>
          <w:bCs/>
        </w:rPr>
      </w:r>
    </w:p>
    <w:p>
      <w:pPr>
        <w:pStyle w:val="style197"/>
        <w:spacing w:after="0" w:before="0" w:line="360" w:lineRule="auto"/>
        <w:jc w:val="both"/>
      </w:pPr>
      <w:r>
        <w:rPr>
          <w:rFonts w:ascii="Arial" w:cs="Arial" w:hAnsi="Arial"/>
          <w:bCs/>
        </w:rPr>
        <w:tab/>
        <w:t xml:space="preserve">Considerando como permuta </w:t>
      </w:r>
      <w:r>
        <w:rPr>
          <w:rFonts w:ascii="Arial" w:cs="Arial" w:hAnsi="Arial"/>
          <w:color w:val="000000"/>
        </w:rPr>
        <w:t>el trueque de una cosa por otra; desde el punto de vista jurídico, el contrato queda configurado desde que las partes se han prometido transferirse recíprocamente la propiedad de dos cosas. Pagina web todo derecho</w:t>
      </w:r>
    </w:p>
    <w:p>
      <w:pPr>
        <w:pStyle w:val="style197"/>
        <w:pageBreakBefore/>
        <w:spacing w:after="0" w:before="0" w:line="360" w:lineRule="auto"/>
        <w:jc w:val="both"/>
      </w:pPr>
      <w:r>
        <w:rPr>
          <w:rFonts w:ascii="Arial" w:cs="Arial" w:hAnsi="Arial"/>
          <w:color w:val="000000"/>
          <w:shd w:fill="FFFFFF" w:val="clear"/>
        </w:rPr>
        <w:t xml:space="preserve">Ítem 10. ¿Está de acuerdo con la desincorporación de los Bienes Nacionales en estado de deterioro y corrosión y estos sean donados a la Empresa  del ramo Siderúrgico para reciclarlo como </w:t>
      </w:r>
      <w:r>
        <w:rPr>
          <w:rFonts w:ascii="Arial" w:cs="Arial" w:hAnsi="Arial"/>
          <w:color w:val="000000"/>
        </w:rPr>
        <w:t>insumo para la producción automotriz y la construcción Civil en Venezuela</w:t>
      </w:r>
      <w:r>
        <w:rPr>
          <w:rFonts w:ascii="Arial" w:cs="Arial" w:hAnsi="Arial"/>
          <w:color w:val="000000"/>
          <w:shd w:fill="FFFFFF" w:val="clear"/>
        </w:rPr>
        <w:t>?</w:t>
      </w:r>
    </w:p>
    <w:p>
      <w:pPr>
        <w:pStyle w:val="style196"/>
        <w:spacing w:line="360" w:lineRule="auto"/>
        <w:jc w:val="both"/>
      </w:pPr>
      <w:r>
        <w:rPr>
          <w:rFonts w:ascii="Arial" w:cs="Arial" w:hAnsi="Arial"/>
          <w:color w:val="000000"/>
          <w:sz w:val="24"/>
          <w:szCs w:val="24"/>
          <w:shd w:fill="FFFFFF" w:val="clear"/>
        </w:rPr>
      </w:r>
    </w:p>
    <w:tbl>
      <w:tblPr>
        <w:jc w:val="center"/>
        <w:tblBorders>
          <w:top w:color="000000" w:space="0" w:sz="4" w:val="single"/>
          <w:left w:color="000000" w:space="0" w:sz="4" w:val="single"/>
          <w:bottom w:color="000000" w:space="0" w:sz="4" w:val="single"/>
          <w:right w:color="000000" w:space="0" w:sz="4" w:val="single"/>
        </w:tblBorders>
      </w:tblPr>
      <w:tblGrid>
        <w:gridCol w:w="6293"/>
      </w:tblGrid>
      <w:tr>
        <w:trPr>
          <w:trHeight w:hRule="atLeast" w:val="315"/>
          <w:cantSplit w:val="false"/>
        </w:trPr>
        <w:tc>
          <w:tcPr>
            <w:tcW w:type="dxa" w:w="6293"/>
            <w:gridSpan w:val="4"/>
            <w:tcBorders>
              <w:top w:color="000000" w:space="0" w:sz="4" w:val="single"/>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197"/>
              <w:shd w:fill="FFFFFF" w:val="clear"/>
              <w:spacing w:after="120" w:before="120"/>
              <w:jc w:val="center"/>
            </w:pPr>
            <w:r>
              <w:rPr>
                <w:rFonts w:ascii="Arial" w:cs="Arial" w:hAnsi="Arial"/>
                <w:b/>
                <w:color w:val="000000"/>
              </w:rPr>
              <w:t>Cuadro  13</w:t>
            </w:r>
          </w:p>
          <w:p>
            <w:pPr>
              <w:pStyle w:val="style0"/>
              <w:spacing w:after="200" w:before="0" w:line="360" w:lineRule="auto"/>
              <w:jc w:val="both"/>
            </w:pPr>
            <w:r>
              <w:rPr>
                <w:rFonts w:ascii="Arial" w:cs="Arial" w:hAnsi="Arial"/>
                <w:b/>
                <w:bCs/>
                <w:sz w:val="24"/>
                <w:szCs w:val="24"/>
                <w:lang w:val="es-VE"/>
              </w:rPr>
              <w:t xml:space="preserve">Opinión sobre la </w:t>
            </w:r>
            <w:r>
              <w:rPr>
                <w:rFonts w:ascii="Arial" w:cs="Arial" w:hAnsi="Arial"/>
                <w:b/>
                <w:bCs/>
                <w:sz w:val="24"/>
                <w:szCs w:val="24"/>
              </w:rPr>
              <w:t>donación</w:t>
            </w:r>
            <w:r>
              <w:rPr>
                <w:rFonts w:ascii="Arial" w:cs="Arial" w:hAnsi="Arial"/>
                <w:b/>
                <w:bCs/>
                <w:sz w:val="24"/>
                <w:szCs w:val="24"/>
                <w:lang w:val="es-VE"/>
              </w:rPr>
              <w:t xml:space="preserve"> de los bienes nacionales en estado de </w:t>
            </w:r>
            <w:r>
              <w:rPr>
                <w:rFonts w:ascii="Arial" w:cs="Arial" w:hAnsi="Arial"/>
                <w:b/>
                <w:sz w:val="24"/>
                <w:szCs w:val="24"/>
                <w:shd w:fill="FFFFFF" w:val="clear"/>
              </w:rPr>
              <w:t>Obsolescencia, Deterioro y Corrosión</w:t>
            </w:r>
            <w:r>
              <w:rPr>
                <w:rFonts w:ascii="Arial" w:cs="Arial" w:hAnsi="Arial"/>
                <w:b/>
                <w:color w:val="000000"/>
                <w:sz w:val="24"/>
                <w:szCs w:val="24"/>
                <w:shd w:fill="FFFFFF" w:val="clear"/>
              </w:rPr>
              <w:t xml:space="preserve"> a la Empresa  del ramo Siderúrgico para reciclarlo como </w:t>
            </w:r>
            <w:r>
              <w:rPr>
                <w:rFonts w:ascii="Arial" w:cs="Arial" w:hAnsi="Arial"/>
                <w:b/>
                <w:color w:val="000000"/>
                <w:sz w:val="24"/>
                <w:szCs w:val="24"/>
              </w:rPr>
              <w:t>insumo para la producción automotriz y la construcción Civil en Venezuela</w:t>
            </w:r>
          </w:p>
        </w:tc>
      </w:tr>
      <w:tr>
        <w:trPr>
          <w:trHeight w:hRule="atLeast" w:val="315"/>
          <w:cantSplit w:val="false"/>
        </w:trPr>
        <w:tc>
          <w:tcPr>
            <w:tcW w:type="dxa" w:w="897"/>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b/>
                <w:szCs w:val="20"/>
              </w:rPr>
              <w:t>Ítem</w:t>
            </w:r>
          </w:p>
        </w:tc>
        <w:tc>
          <w:tcPr>
            <w:tcW w:type="dxa" w:w="2362"/>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b/>
                <w:szCs w:val="20"/>
              </w:rPr>
              <w:t>Opciones  de Repuestas</w:t>
            </w:r>
          </w:p>
        </w:tc>
        <w:tc>
          <w:tcPr>
            <w:tcW w:type="dxa" w:w="1701"/>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b/>
                <w:szCs w:val="20"/>
              </w:rPr>
              <w:t>Frecuencia</w:t>
            </w:r>
          </w:p>
        </w:tc>
        <w:tc>
          <w:tcPr>
            <w:tcW w:type="dxa" w:w="1333"/>
            <w:tcBorders>
              <w:top w:color="000000" w:space="0" w:sz="4" w:val="single"/>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b/>
                <w:szCs w:val="20"/>
              </w:rPr>
              <w:t>Valor %</w:t>
            </w:r>
          </w:p>
        </w:tc>
      </w:tr>
      <w:tr>
        <w:trPr>
          <w:trHeight w:hRule="atLeast" w:val="300"/>
          <w:cantSplit w:val="false"/>
        </w:trPr>
        <w:tc>
          <w:tcPr>
            <w:tcW w:type="dxa" w:w="897"/>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sz w:val="24"/>
              </w:rPr>
              <w:t>A</w:t>
            </w:r>
          </w:p>
        </w:tc>
        <w:tc>
          <w:tcPr>
            <w:tcW w:type="dxa" w:w="2362"/>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color w:val="000000"/>
                <w:sz w:val="24"/>
              </w:rPr>
              <w:t>No contestó</w:t>
            </w:r>
          </w:p>
        </w:tc>
        <w:tc>
          <w:tcPr>
            <w:tcW w:type="dxa" w:w="1701"/>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rPr>
              <w:t>0</w:t>
            </w:r>
          </w:p>
        </w:tc>
        <w:tc>
          <w:tcPr>
            <w:tcW w:type="dxa" w:w="1333"/>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rPr>
              <w:t>0%</w:t>
            </w:r>
          </w:p>
        </w:tc>
      </w:tr>
      <w:tr>
        <w:trPr>
          <w:trHeight w:hRule="atLeast" w:val="300"/>
          <w:cantSplit w:val="false"/>
        </w:trPr>
        <w:tc>
          <w:tcPr>
            <w:tcW w:type="dxa" w:w="897"/>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sz w:val="24"/>
              </w:rPr>
              <w:t>B</w:t>
            </w:r>
          </w:p>
        </w:tc>
        <w:tc>
          <w:tcPr>
            <w:tcW w:type="dxa" w:w="2362"/>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color w:val="000000"/>
                <w:sz w:val="24"/>
              </w:rPr>
              <w:t>Siempre</w:t>
            </w:r>
          </w:p>
        </w:tc>
        <w:tc>
          <w:tcPr>
            <w:tcW w:type="dxa" w:w="1701"/>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rPr>
              <w:t>9</w:t>
            </w:r>
          </w:p>
        </w:tc>
        <w:tc>
          <w:tcPr>
            <w:tcW w:type="dxa" w:w="1333"/>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rPr>
              <w:t>47%</w:t>
            </w:r>
          </w:p>
        </w:tc>
      </w:tr>
      <w:tr>
        <w:trPr>
          <w:trHeight w:hRule="atLeast" w:val="300"/>
          <w:cantSplit w:val="false"/>
        </w:trPr>
        <w:tc>
          <w:tcPr>
            <w:tcW w:type="dxa" w:w="897"/>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sz w:val="24"/>
              </w:rPr>
              <w:t>C</w:t>
            </w:r>
          </w:p>
        </w:tc>
        <w:tc>
          <w:tcPr>
            <w:tcW w:type="dxa" w:w="2362"/>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color w:val="000000"/>
                <w:sz w:val="24"/>
              </w:rPr>
              <w:t>Casi siempre</w:t>
            </w:r>
          </w:p>
        </w:tc>
        <w:tc>
          <w:tcPr>
            <w:tcW w:type="dxa" w:w="1701"/>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rPr>
              <w:t>1</w:t>
            </w:r>
          </w:p>
        </w:tc>
        <w:tc>
          <w:tcPr>
            <w:tcW w:type="dxa" w:w="1333"/>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rPr>
              <w:t>5%</w:t>
            </w:r>
          </w:p>
        </w:tc>
      </w:tr>
      <w:tr>
        <w:trPr>
          <w:trHeight w:hRule="atLeast" w:val="300"/>
          <w:cantSplit w:val="false"/>
        </w:trPr>
        <w:tc>
          <w:tcPr>
            <w:tcW w:type="dxa" w:w="897"/>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sz w:val="24"/>
              </w:rPr>
              <w:t>D</w:t>
            </w:r>
          </w:p>
        </w:tc>
        <w:tc>
          <w:tcPr>
            <w:tcW w:type="dxa" w:w="2362"/>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color w:val="000000"/>
                <w:sz w:val="24"/>
              </w:rPr>
              <w:t>A veces</w:t>
            </w:r>
          </w:p>
        </w:tc>
        <w:tc>
          <w:tcPr>
            <w:tcW w:type="dxa" w:w="1701"/>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rPr>
              <w:t>2</w:t>
            </w:r>
          </w:p>
        </w:tc>
        <w:tc>
          <w:tcPr>
            <w:tcW w:type="dxa" w:w="1333"/>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rPr>
              <w:t>11%</w:t>
            </w:r>
          </w:p>
        </w:tc>
      </w:tr>
      <w:tr>
        <w:trPr>
          <w:trHeight w:hRule="atLeast" w:val="300"/>
          <w:cantSplit w:val="false"/>
        </w:trPr>
        <w:tc>
          <w:tcPr>
            <w:tcW w:type="dxa" w:w="897"/>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sz w:val="24"/>
              </w:rPr>
              <w:t>E</w:t>
            </w:r>
          </w:p>
        </w:tc>
        <w:tc>
          <w:tcPr>
            <w:tcW w:type="dxa" w:w="2362"/>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color w:val="000000"/>
                <w:sz w:val="24"/>
              </w:rPr>
              <w:t>Casi Nunca</w:t>
            </w:r>
          </w:p>
        </w:tc>
        <w:tc>
          <w:tcPr>
            <w:tcW w:type="dxa" w:w="1701"/>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rPr>
              <w:t>0</w:t>
            </w:r>
          </w:p>
        </w:tc>
        <w:tc>
          <w:tcPr>
            <w:tcW w:type="dxa" w:w="1333"/>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rPr>
              <w:t>0%</w:t>
            </w:r>
          </w:p>
        </w:tc>
      </w:tr>
      <w:tr>
        <w:trPr>
          <w:trHeight w:hRule="atLeast" w:val="300"/>
          <w:cantSplit w:val="false"/>
        </w:trPr>
        <w:tc>
          <w:tcPr>
            <w:tcW w:type="dxa" w:w="897"/>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sz w:val="24"/>
              </w:rPr>
              <w:t>F</w:t>
            </w:r>
          </w:p>
        </w:tc>
        <w:tc>
          <w:tcPr>
            <w:tcW w:type="dxa" w:w="2362"/>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color w:val="000000"/>
                <w:sz w:val="24"/>
              </w:rPr>
              <w:t>Nunca</w:t>
            </w:r>
          </w:p>
        </w:tc>
        <w:tc>
          <w:tcPr>
            <w:tcW w:type="dxa" w:w="1701"/>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rPr>
              <w:t>7</w:t>
            </w:r>
          </w:p>
        </w:tc>
        <w:tc>
          <w:tcPr>
            <w:tcW w:type="dxa" w:w="1333"/>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rPr>
              <w:t>37%</w:t>
            </w:r>
          </w:p>
        </w:tc>
      </w:tr>
      <w:tr>
        <w:trPr>
          <w:trHeight w:hRule="atLeast" w:val="300"/>
          <w:cantSplit w:val="false"/>
        </w:trPr>
        <w:tc>
          <w:tcPr>
            <w:tcW w:type="dxa" w:w="897"/>
            <w:tcBorders/>
            <w:shd w:fill="auto" w:val="clear"/>
            <w:tcMar>
              <w:top w:type="dxa" w:w="0"/>
              <w:left w:type="dxa" w:w="70"/>
              <w:bottom w:type="dxa" w:w="0"/>
              <w:right w:type="dxa" w:w="70"/>
            </w:tcMar>
            <w:vAlign w:val="bottom"/>
          </w:tcPr>
          <w:p>
            <w:pPr>
              <w:pStyle w:val="style0"/>
              <w:snapToGrid w:val="false"/>
              <w:spacing w:after="200" w:before="0" w:line="240" w:lineRule="auto"/>
            </w:pPr>
            <w:r>
              <w:rPr>
                <w:rFonts w:ascii="Arial" w:cs="Arial" w:hAnsi="Arial"/>
                <w:color w:val="000000"/>
                <w:sz w:val="24"/>
                <w:szCs w:val="24"/>
                <w:lang w:eastAsia="es-VE" w:val="es-VE"/>
              </w:rPr>
            </w:r>
          </w:p>
        </w:tc>
        <w:p>
          <w:pPr>
            <w:pStyle w:val="style0"/>
            <w:spacing w:after="200" w:before="0"/>
          </w:pPr>
          <w:r>
            <w:rPr>
              <w:rFonts w:ascii="Arial" w:cs="Arial" w:hAnsi="Arial"/>
            </w:rPr>
            <w:t>Fuente: Mendoza (2015)</w:t>
          </w:r>
        </w:p>
        <w:tc>
          <w:tcPr>
            <w:tcW w:type="dxa" w:w="2362"/>
            <w:tcBorders/>
            <w:shd w:fill="auto" w:val="clear"/>
            <w:tcMar>
              <w:top w:type="dxa" w:w="0"/>
              <w:left w:type="dxa" w:w="70"/>
              <w:bottom w:type="dxa" w:w="0"/>
              <w:right w:type="dxa" w:w="70"/>
            </w:tcMar>
            <w:vAlign w:val="bottom"/>
          </w:tcPr>
          <w:p>
            <w:pPr>
              <w:pStyle w:val="style0"/>
              <w:snapToGrid w:val="false"/>
              <w:spacing w:after="200" w:before="0" w:line="240" w:lineRule="auto"/>
            </w:pPr>
            <w:r>
              <w:rPr>
                <w:rFonts w:ascii="Arial" w:cs="Arial" w:hAnsi="Arial"/>
                <w:color w:val="000000"/>
                <w:sz w:val="24"/>
              </w:rPr>
            </w:r>
          </w:p>
        </w:tc>
        <w:tc>
          <w:tcPr>
            <w:tcW w:type="dxa" w:w="1701"/>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rPr>
              <w:t>19</w:t>
            </w:r>
          </w:p>
        </w:tc>
        <w:tc>
          <w:tcPr>
            <w:tcW w:type="dxa" w:w="1333"/>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rPr>
              <w:t>100%</w:t>
            </w:r>
          </w:p>
        </w:tc>
      </w:tr>
    </w:tbl>
    <w:p>
      <w:pPr>
        <w:pStyle w:val="style196"/>
        <w:spacing w:line="360" w:lineRule="auto"/>
        <w:jc w:val="both"/>
      </w:pPr>
      <w:r>
        <w:rPr>
          <w:rFonts w:ascii="Arial" w:cs="Arial" w:hAnsi="Arial"/>
          <w:color w:val="000000"/>
          <w:sz w:val="24"/>
          <w:szCs w:val="24"/>
          <w:shd w:fill="FFFFFF" w:val="clear"/>
        </w:rPr>
      </w:r>
    </w:p>
    <w:p>
      <w:pPr>
        <w:pStyle w:val="style196"/>
        <w:spacing w:line="360" w:lineRule="auto"/>
        <w:jc w:val="center"/>
      </w:pPr>
      <w:r>
        <w:rPr>
          <w:rFonts w:ascii="Arial" w:cs="Arial" w:hAnsi="Arial"/>
          <w:color w:val="000000"/>
          <w:sz w:val="24"/>
          <w:szCs w:val="24"/>
          <w:shd w:fill="FFFFFF" w:val="clear"/>
          <w:lang w:eastAsia="es-VE" w:val="es-VE"/>
        </w:rPr>
        <w:drawing>
          <wp:inline distB="0" distL="0" distR="0" distT="0">
            <wp:extent cx="3941445" cy="1604010"/>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43"/>
                    <a:srcRect/>
                    <a:stretch>
                      <a:fillRect/>
                    </a:stretch>
                  </pic:blipFill>
                  <pic:spPr bwMode="auto">
                    <a:xfrm>
                      <a:off x="0" y="0"/>
                      <a:ext cx="3941445" cy="1604010"/>
                    </a:xfrm>
                    <a:prstGeom prst="rect">
                      <a:avLst/>
                    </a:prstGeom>
                    <a:noFill/>
                    <a:ln w="9525">
                      <a:noFill/>
                      <a:miter lim="800000"/>
                      <a:headEnd/>
                      <a:tailEnd/>
                    </a:ln>
                  </pic:spPr>
                </pic:pic>
              </a:graphicData>
            </a:graphic>
          </wp:inline>
        </w:drawing>
      </w:r>
    </w:p>
    <w:p>
      <w:pPr>
        <w:pStyle w:val="style0"/>
        <w:spacing w:after="200" w:before="0"/>
      </w:pPr>
      <w:r>
        <w:rPr>
          <w:rFonts w:ascii="Arial" w:cs="Arial" w:hAnsi="Arial"/>
        </w:rPr>
        <w:t>Fuente: Mendoza (2015)</w:t>
      </w:r>
    </w:p>
    <w:p>
      <w:pPr>
        <w:pStyle w:val="style197"/>
        <w:spacing w:after="0" w:before="0"/>
        <w:jc w:val="both"/>
      </w:pPr>
      <w:r>
        <w:rPr>
          <w:rFonts w:ascii="Arial" w:cs="Arial" w:hAnsi="Arial"/>
          <w:b/>
          <w:bCs/>
          <w:color w:val="000000"/>
        </w:rPr>
      </w:r>
    </w:p>
    <w:p>
      <w:pPr>
        <w:pStyle w:val="style197"/>
        <w:spacing w:after="0" w:before="0"/>
        <w:jc w:val="both"/>
      </w:pPr>
      <w:r>
        <w:rPr>
          <w:rFonts w:ascii="Arial" w:cs="Arial" w:hAnsi="Arial"/>
          <w:b/>
          <w:bCs/>
          <w:color w:val="000000"/>
        </w:rPr>
        <w:t xml:space="preserve">Gráfico 10 </w:t>
      </w:r>
      <w:r>
        <w:rPr>
          <w:rFonts w:ascii="Arial" w:cs="Arial" w:hAnsi="Arial"/>
          <w:b/>
          <w:bCs/>
        </w:rPr>
        <w:t xml:space="preserve">Opinión sobre la donación de los bienes nacionales en estado de </w:t>
      </w:r>
      <w:r>
        <w:rPr>
          <w:rFonts w:ascii="Arial" w:cs="Arial" w:hAnsi="Arial"/>
          <w:b/>
          <w:shd w:fill="FFFFFF" w:val="clear"/>
        </w:rPr>
        <w:t>Obsolescencia, Deterioro y Corrosión</w:t>
      </w:r>
      <w:r>
        <w:rPr>
          <w:rFonts w:ascii="Arial" w:cs="Arial" w:hAnsi="Arial"/>
          <w:b/>
          <w:color w:val="000000"/>
          <w:shd w:fill="FFFFFF" w:val="clear"/>
        </w:rPr>
        <w:t xml:space="preserve"> a la Empresa  del ramo Siderúrgico para reciclarlo como </w:t>
      </w:r>
      <w:r>
        <w:rPr>
          <w:rFonts w:ascii="Arial" w:cs="Arial" w:hAnsi="Arial"/>
          <w:b/>
          <w:color w:val="000000"/>
        </w:rPr>
        <w:t>insumo para la producción automotriz y la construcción Civil en Venezuela</w:t>
      </w:r>
    </w:p>
    <w:p>
      <w:pPr>
        <w:pStyle w:val="style196"/>
        <w:spacing w:line="360" w:lineRule="auto"/>
        <w:jc w:val="both"/>
      </w:pPr>
      <w:r>
        <w:rPr>
          <w:rFonts w:ascii="Arial" w:cs="Arial" w:hAnsi="Arial"/>
          <w:color w:val="000000"/>
        </w:rPr>
      </w:r>
    </w:p>
    <w:p>
      <w:pPr>
        <w:pStyle w:val="style196"/>
        <w:spacing w:line="360" w:lineRule="auto"/>
        <w:jc w:val="both"/>
      </w:pPr>
      <w:r>
        <w:rPr>
          <w:rFonts w:ascii="Arial" w:cs="Arial" w:hAnsi="Arial"/>
          <w:b/>
          <w:color w:val="000000"/>
          <w:sz w:val="24"/>
          <w:szCs w:val="24"/>
        </w:rPr>
        <w:t>Análisis:</w:t>
      </w:r>
      <w:r>
        <w:rPr>
          <w:rFonts w:ascii="Arial" w:cs="Arial" w:hAnsi="Arial"/>
          <w:color w:val="000000"/>
          <w:sz w:val="24"/>
          <w:szCs w:val="24"/>
        </w:rPr>
        <w:t xml:space="preserve"> </w:t>
      </w:r>
      <w:r>
        <w:rPr>
          <w:rFonts w:ascii="Arial" w:cs="Arial" w:hAnsi="Arial"/>
          <w:sz w:val="24"/>
          <w:szCs w:val="24"/>
        </w:rPr>
        <w:t>De los resultados obtenidos en la tabla y gráfico correspondiente al ítem</w:t>
      </w:r>
      <w:r>
        <w:rPr>
          <w:rStyle w:val="style147"/>
          <w:rFonts w:ascii="Arial" w:hAnsi="Arial"/>
          <w:color w:val="252525"/>
          <w:sz w:val="24"/>
          <w:szCs w:val="24"/>
          <w:shd w:fill="FFFFFF" w:val="clear"/>
        </w:rPr>
        <w:t xml:space="preserve"> un alto porcentaje de los encuestados expresaron que si están de acuerdo que se done esos bienes a la Empresa Siderúrgica del Estado, para que se  recicle y utilice como materia prima para convertirlo en material ferroso u autoparte y que los mismos sean utilizados en los </w:t>
      </w:r>
      <w:r>
        <w:rPr>
          <w:rFonts w:ascii="Arial" w:cs="Arial" w:hAnsi="Arial"/>
          <w:sz w:val="24"/>
          <w:szCs w:val="24"/>
        </w:rPr>
        <w:t xml:space="preserve"> proyectos del estado; mientras que un treinta y siete (37) por ciento (%) opinó que no están de acuerdo porque la institución no obtendrá ningún beneficio.</w:t>
      </w:r>
    </w:p>
    <w:p>
      <w:pPr>
        <w:pStyle w:val="style196"/>
        <w:spacing w:line="360" w:lineRule="auto"/>
        <w:jc w:val="both"/>
      </w:pPr>
      <w:r>
        <w:rPr>
          <w:rFonts w:ascii="Arial" w:cs="Arial" w:hAnsi="Arial"/>
          <w:color w:val="333333"/>
          <w:sz w:val="24"/>
          <w:szCs w:val="24"/>
        </w:rPr>
        <w:tab/>
      </w:r>
      <w:r>
        <w:rPr>
          <w:rFonts w:ascii="Arial" w:cs="Arial" w:hAnsi="Arial"/>
          <w:color w:val="000000"/>
          <w:sz w:val="24"/>
          <w:szCs w:val="24"/>
        </w:rPr>
        <w:t>El código Civil  Venezolano vigente (CCV) en su artículo 1.431   define la donación como</w:t>
      </w:r>
    </w:p>
    <w:p>
      <w:pPr>
        <w:pStyle w:val="style196"/>
        <w:ind w:hanging="0" w:left="1134" w:right="1185"/>
        <w:jc w:val="both"/>
      </w:pPr>
      <w:r>
        <w:rPr>
          <w:rFonts w:ascii="Arial" w:cs="Arial" w:eastAsia="Arial" w:hAnsi="Arial"/>
          <w:color w:val="000000"/>
          <w:sz w:val="24"/>
          <w:szCs w:val="24"/>
        </w:rPr>
        <w:t xml:space="preserve"> </w:t>
      </w:r>
      <w:r>
        <w:rPr>
          <w:rFonts w:ascii="Arial" w:cs="Arial" w:hAnsi="Arial"/>
          <w:color w:val="000000"/>
          <w:sz w:val="24"/>
          <w:szCs w:val="24"/>
        </w:rPr>
        <w:t>El contrato por el cual una persona transfiere gratuitamente una cosa u otro derecho de su patrimonio a otra persona que lo acepta”. Para que exista donación, se requiere como condición indispensable la intención de efectuar la donación por parte del donante, con el consiguiente beneficio para el donatario o beneficiario de la misma.</w:t>
      </w:r>
    </w:p>
    <w:p>
      <w:pPr>
        <w:pStyle w:val="style196"/>
        <w:spacing w:line="360" w:lineRule="auto"/>
        <w:ind w:hanging="0" w:left="0" w:right="51"/>
        <w:jc w:val="both"/>
      </w:pPr>
      <w:r>
        <w:rPr>
          <w:rFonts w:ascii="Arial" w:cs="Arial" w:hAnsi="Arial"/>
          <w:color w:val="000000"/>
          <w:sz w:val="24"/>
          <w:szCs w:val="24"/>
        </w:rPr>
      </w:r>
    </w:p>
    <w:p>
      <w:pPr>
        <w:pStyle w:val="style196"/>
        <w:spacing w:line="360" w:lineRule="auto"/>
        <w:ind w:hanging="0" w:left="0" w:right="51"/>
        <w:jc w:val="both"/>
      </w:pPr>
      <w:r>
        <w:rPr>
          <w:rFonts w:ascii="Arial" w:cs="Arial" w:hAnsi="Arial"/>
          <w:color w:val="000000"/>
          <w:sz w:val="24"/>
          <w:szCs w:val="24"/>
        </w:rPr>
        <w:tab/>
        <w:t>Con respecto a esta definición y de llegar a un acuerdo que la solución sea donar estos bienes  aquí el IUTY debe transferir el derecho de los bienes a la empresa siderúrgica del estado.</w:t>
      </w:r>
    </w:p>
    <w:p>
      <w:pPr>
        <w:pStyle w:val="style196"/>
        <w:spacing w:line="360" w:lineRule="auto"/>
        <w:ind w:hanging="0" w:left="0" w:right="51"/>
        <w:jc w:val="both"/>
      </w:pPr>
      <w:r>
        <w:rPr>
          <w:rFonts w:ascii="Arial" w:cs="Arial" w:hAnsi="Arial"/>
          <w:bCs/>
          <w:color w:val="000000"/>
          <w:sz w:val="24"/>
          <w:szCs w:val="24"/>
        </w:rPr>
        <w:t xml:space="preserve">Ítem 11. </w:t>
      </w:r>
      <w:r>
        <w:rPr>
          <w:rStyle w:val="style150"/>
          <w:rFonts w:ascii="Arial" w:hAnsi="Arial"/>
          <w:b w:val="false"/>
          <w:color w:val="000000"/>
          <w:sz w:val="24"/>
          <w:szCs w:val="24"/>
          <w:shd w:fill="FFFFFF" w:val="clear"/>
        </w:rPr>
        <w:t>¿</w:t>
      </w:r>
      <w:r>
        <w:rPr>
          <w:rFonts w:ascii="Arial" w:cs="Arial" w:hAnsi="Arial"/>
          <w:color w:val="000000"/>
          <w:sz w:val="24"/>
          <w:szCs w:val="24"/>
          <w:shd w:fill="FFFFFF" w:val="clear"/>
        </w:rPr>
        <w:t xml:space="preserve">Está de acuerdo con la desincorporación de los Bienes Nacionales en Estado de Obsolescencia, deterioro y corrosión y que  estos sean enajenados a la Empresa  del ramo Siderúrgico para reutilizarlo como </w:t>
      </w:r>
      <w:r>
        <w:rPr>
          <w:rFonts w:ascii="Arial" w:cs="Arial" w:hAnsi="Arial"/>
          <w:color w:val="000000"/>
          <w:sz w:val="24"/>
          <w:szCs w:val="24"/>
        </w:rPr>
        <w:t>insumo para la producción automotriz y la construcción civil en Venezuela</w:t>
      </w:r>
      <w:r>
        <w:rPr>
          <w:rStyle w:val="style150"/>
          <w:rFonts w:ascii="Arial" w:hAnsi="Arial"/>
          <w:b w:val="false"/>
          <w:color w:val="000000"/>
          <w:sz w:val="24"/>
          <w:szCs w:val="24"/>
          <w:shd w:fill="FFFFFF" w:val="clear"/>
        </w:rPr>
        <w:t>?</w:t>
      </w:r>
    </w:p>
    <w:p>
      <w:pPr>
        <w:pStyle w:val="style196"/>
        <w:ind w:hanging="0" w:left="0" w:right="49"/>
        <w:jc w:val="both"/>
      </w:pPr>
      <w:r>
        <w:rPr>
          <w:rFonts w:ascii="Arial" w:cs="Arial" w:hAnsi="Arial"/>
          <w:b/>
          <w:bCs/>
          <w:color w:val="000000"/>
        </w:rPr>
      </w:r>
    </w:p>
    <w:tbl>
      <w:tblPr>
        <w:jc w:val="center"/>
        <w:tblBorders>
          <w:top w:color="000000" w:space="0" w:sz="4" w:val="single"/>
          <w:left w:color="000000" w:space="0" w:sz="4" w:val="single"/>
          <w:bottom w:color="000000" w:space="0" w:sz="4" w:val="single"/>
          <w:right w:color="000000" w:space="0" w:sz="4" w:val="single"/>
        </w:tblBorders>
      </w:tblPr>
      <w:tblGrid>
        <w:gridCol w:w="6050"/>
      </w:tblGrid>
      <w:tr>
        <w:trPr>
          <w:trHeight w:hRule="atLeast" w:val="315"/>
          <w:cantSplit w:val="false"/>
        </w:trPr>
        <w:tc>
          <w:tcPr>
            <w:tcW w:type="dxa" w:w="6050"/>
            <w:gridSpan w:val="4"/>
            <w:tcBorders>
              <w:top w:color="000000" w:space="0" w:sz="4" w:val="single"/>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197"/>
              <w:shd w:fill="FFFFFF" w:val="clear"/>
              <w:spacing w:after="120" w:before="120" w:line="360" w:lineRule="auto"/>
              <w:jc w:val="center"/>
            </w:pPr>
            <w:r>
              <w:rPr>
                <w:rFonts w:ascii="Arial" w:cs="Arial" w:hAnsi="Arial"/>
                <w:b/>
                <w:color w:val="000000"/>
              </w:rPr>
              <w:t>Cuadro  14</w:t>
            </w:r>
          </w:p>
          <w:p>
            <w:pPr>
              <w:pStyle w:val="style0"/>
              <w:spacing w:after="200" w:before="0" w:line="360" w:lineRule="auto"/>
              <w:jc w:val="both"/>
            </w:pPr>
            <w:r>
              <w:rPr>
                <w:rFonts w:ascii="Arial" w:cs="Arial" w:hAnsi="Arial"/>
                <w:b/>
                <w:bCs/>
                <w:sz w:val="24"/>
                <w:lang w:val="es-VE"/>
              </w:rPr>
              <w:t xml:space="preserve">Opinión referente a la </w:t>
            </w:r>
            <w:r>
              <w:rPr>
                <w:rFonts w:ascii="Arial" w:cs="Arial" w:hAnsi="Arial"/>
                <w:b/>
                <w:bCs/>
                <w:sz w:val="24"/>
              </w:rPr>
              <w:t>enajenación</w:t>
            </w:r>
            <w:r>
              <w:rPr>
                <w:rFonts w:ascii="Arial" w:cs="Arial" w:hAnsi="Arial"/>
                <w:b/>
                <w:bCs/>
                <w:sz w:val="24"/>
                <w:lang w:val="es-VE"/>
              </w:rPr>
              <w:t xml:space="preserve"> de los bienes nacionales en estado de </w:t>
            </w:r>
            <w:r>
              <w:rPr>
                <w:rFonts w:ascii="Arial" w:cs="Arial" w:hAnsi="Arial"/>
                <w:b/>
                <w:sz w:val="24"/>
                <w:shd w:fill="FFFFFF" w:val="clear"/>
              </w:rPr>
              <w:t>Obsolescencia, Deterioro y Corrosión</w:t>
            </w:r>
            <w:r>
              <w:rPr>
                <w:rFonts w:ascii="Arial" w:cs="Arial" w:hAnsi="Arial"/>
                <w:b/>
                <w:color w:val="000000"/>
                <w:sz w:val="24"/>
                <w:shd w:fill="FFFFFF" w:val="clear"/>
              </w:rPr>
              <w:t xml:space="preserve"> a la Empresa  del ramo Siderúrgico para reutilizarlo como </w:t>
            </w:r>
            <w:r>
              <w:rPr>
                <w:rFonts w:ascii="Arial" w:cs="Arial" w:hAnsi="Arial"/>
                <w:b/>
                <w:color w:val="000000"/>
                <w:sz w:val="24"/>
              </w:rPr>
              <w:t>insumo para la producción automotriz y la construcción Civil en Venezuela</w:t>
            </w:r>
          </w:p>
        </w:tc>
      </w:tr>
      <w:tr>
        <w:trPr>
          <w:trHeight w:hRule="atLeast" w:val="315"/>
          <w:cantSplit w:val="false"/>
        </w:trPr>
        <w:tc>
          <w:tcPr>
            <w:tcW w:type="dxa" w:w="1020"/>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b/>
                <w:szCs w:val="20"/>
              </w:rPr>
              <w:t>Ítem</w:t>
            </w:r>
          </w:p>
        </w:tc>
        <w:tc>
          <w:tcPr>
            <w:tcW w:type="dxa" w:w="1960"/>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b/>
                <w:szCs w:val="20"/>
              </w:rPr>
              <w:t>Opciones  de Repuestas</w:t>
            </w:r>
          </w:p>
        </w:tc>
        <w:tc>
          <w:tcPr>
            <w:tcW w:type="dxa" w:w="1860"/>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b/>
                <w:szCs w:val="20"/>
              </w:rPr>
              <w:t>Frecuencia</w:t>
            </w:r>
          </w:p>
        </w:tc>
        <w:tc>
          <w:tcPr>
            <w:tcW w:type="dxa" w:w="1210"/>
            <w:tcBorders>
              <w:top w:color="000000" w:space="0" w:sz="4" w:val="single"/>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b/>
                <w:szCs w:val="20"/>
              </w:rPr>
              <w:t>Valor %</w:t>
            </w:r>
          </w:p>
        </w:tc>
      </w:tr>
      <w:tr>
        <w:trPr>
          <w:trHeight w:hRule="atLeast" w:val="300"/>
          <w:cantSplit w:val="false"/>
        </w:trPr>
        <w:tc>
          <w:tcPr>
            <w:tcW w:type="dxa" w:w="102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sz w:val="24"/>
              </w:rPr>
              <w:t>A</w:t>
            </w:r>
          </w:p>
        </w:tc>
        <w:tc>
          <w:tcPr>
            <w:tcW w:type="dxa" w:w="196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color w:val="000000"/>
                <w:sz w:val="24"/>
              </w:rPr>
              <w:t>No contestó</w:t>
            </w:r>
          </w:p>
        </w:tc>
        <w:tc>
          <w:tcPr>
            <w:tcW w:type="dxa" w:w="186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rPr>
              <w:t>0</w:t>
            </w:r>
          </w:p>
        </w:tc>
        <w:tc>
          <w:tcPr>
            <w:tcW w:type="dxa" w:w="121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rPr>
              <w:t>0%</w:t>
            </w:r>
          </w:p>
        </w:tc>
      </w:tr>
      <w:tr>
        <w:trPr>
          <w:trHeight w:hRule="atLeast" w:val="300"/>
          <w:cantSplit w:val="false"/>
        </w:trPr>
        <w:tc>
          <w:tcPr>
            <w:tcW w:type="dxa" w:w="102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sz w:val="24"/>
              </w:rPr>
              <w:t>B</w:t>
            </w:r>
          </w:p>
        </w:tc>
        <w:tc>
          <w:tcPr>
            <w:tcW w:type="dxa" w:w="196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color w:val="000000"/>
                <w:sz w:val="24"/>
              </w:rPr>
              <w:t>Siempre</w:t>
            </w:r>
          </w:p>
        </w:tc>
        <w:tc>
          <w:tcPr>
            <w:tcW w:type="dxa" w:w="186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rPr>
              <w:t>19</w:t>
            </w:r>
          </w:p>
        </w:tc>
        <w:tc>
          <w:tcPr>
            <w:tcW w:type="dxa" w:w="121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rPr>
              <w:t>100%</w:t>
            </w:r>
          </w:p>
        </w:tc>
      </w:tr>
      <w:tr>
        <w:trPr>
          <w:trHeight w:hRule="atLeast" w:val="300"/>
          <w:cantSplit w:val="false"/>
        </w:trPr>
        <w:tc>
          <w:tcPr>
            <w:tcW w:type="dxa" w:w="102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sz w:val="24"/>
              </w:rPr>
              <w:t>C</w:t>
            </w:r>
          </w:p>
        </w:tc>
        <w:tc>
          <w:tcPr>
            <w:tcW w:type="dxa" w:w="196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color w:val="000000"/>
                <w:sz w:val="24"/>
              </w:rPr>
              <w:t>Casi siempre</w:t>
            </w:r>
          </w:p>
        </w:tc>
        <w:tc>
          <w:tcPr>
            <w:tcW w:type="dxa" w:w="186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rPr>
              <w:t>0</w:t>
            </w:r>
          </w:p>
        </w:tc>
        <w:tc>
          <w:tcPr>
            <w:tcW w:type="dxa" w:w="121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rPr>
              <w:t>0%</w:t>
            </w:r>
          </w:p>
        </w:tc>
      </w:tr>
      <w:tr>
        <w:trPr>
          <w:trHeight w:hRule="atLeast" w:val="300"/>
          <w:cantSplit w:val="false"/>
        </w:trPr>
        <w:tc>
          <w:tcPr>
            <w:tcW w:type="dxa" w:w="102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sz w:val="24"/>
              </w:rPr>
              <w:t>D</w:t>
            </w:r>
          </w:p>
        </w:tc>
        <w:tc>
          <w:tcPr>
            <w:tcW w:type="dxa" w:w="196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color w:val="000000"/>
                <w:sz w:val="24"/>
              </w:rPr>
              <w:t>A veces</w:t>
            </w:r>
          </w:p>
        </w:tc>
        <w:tc>
          <w:tcPr>
            <w:tcW w:type="dxa" w:w="186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rPr>
              <w:t>0</w:t>
            </w:r>
          </w:p>
        </w:tc>
        <w:tc>
          <w:tcPr>
            <w:tcW w:type="dxa" w:w="121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rPr>
              <w:t>0%</w:t>
            </w:r>
          </w:p>
        </w:tc>
      </w:tr>
      <w:tr>
        <w:trPr>
          <w:trHeight w:hRule="atLeast" w:val="300"/>
          <w:cantSplit w:val="false"/>
        </w:trPr>
        <w:tc>
          <w:tcPr>
            <w:tcW w:type="dxa" w:w="102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sz w:val="24"/>
              </w:rPr>
              <w:t>E</w:t>
            </w:r>
          </w:p>
        </w:tc>
        <w:tc>
          <w:tcPr>
            <w:tcW w:type="dxa" w:w="196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color w:val="000000"/>
                <w:sz w:val="24"/>
              </w:rPr>
              <w:t>Casi Nunca</w:t>
            </w:r>
          </w:p>
        </w:tc>
        <w:tc>
          <w:tcPr>
            <w:tcW w:type="dxa" w:w="186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rPr>
              <w:t>0</w:t>
            </w:r>
          </w:p>
        </w:tc>
        <w:tc>
          <w:tcPr>
            <w:tcW w:type="dxa" w:w="121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rPr>
              <w:t>0%</w:t>
            </w:r>
          </w:p>
        </w:tc>
      </w:tr>
      <w:tr>
        <w:trPr>
          <w:trHeight w:hRule="atLeast" w:val="300"/>
          <w:cantSplit w:val="false"/>
        </w:trPr>
        <w:tc>
          <w:tcPr>
            <w:tcW w:type="dxa" w:w="102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sz w:val="24"/>
              </w:rPr>
              <w:t>F</w:t>
            </w:r>
          </w:p>
        </w:tc>
        <w:tc>
          <w:tcPr>
            <w:tcW w:type="dxa" w:w="196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color w:val="000000"/>
                <w:sz w:val="24"/>
              </w:rPr>
              <w:t>Nunca</w:t>
            </w:r>
          </w:p>
        </w:tc>
        <w:tc>
          <w:tcPr>
            <w:tcW w:type="dxa" w:w="186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rPr>
              <w:t>0</w:t>
            </w:r>
          </w:p>
        </w:tc>
        <w:tc>
          <w:tcPr>
            <w:tcW w:type="dxa" w:w="121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rPr>
              <w:t>0%</w:t>
            </w:r>
          </w:p>
        </w:tc>
      </w:tr>
      <w:tr>
        <w:trPr>
          <w:trHeight w:hRule="atLeast" w:val="300"/>
          <w:cantSplit w:val="false"/>
        </w:trPr>
        <w:tc>
          <w:tcPr>
            <w:tcW w:type="dxa" w:w="1020"/>
            <w:tcBorders>
              <w:top w:color="000000" w:space="0" w:sz="4" w:val="single"/>
            </w:tcBorders>
            <w:shd w:fill="auto" w:val="clear"/>
            <w:tcMar>
              <w:top w:type="dxa" w:w="0"/>
              <w:left w:type="dxa" w:w="70"/>
              <w:bottom w:type="dxa" w:w="0"/>
              <w:right w:type="dxa" w:w="70"/>
            </w:tcMar>
            <w:vAlign w:val="bottom"/>
          </w:tcPr>
          <w:p>
            <w:pPr>
              <w:pStyle w:val="style0"/>
              <w:snapToGrid w:val="false"/>
              <w:spacing w:after="200" w:before="0" w:line="240" w:lineRule="auto"/>
            </w:pPr>
            <w:r>
              <w:rPr>
                <w:rFonts w:ascii="Arial" w:cs="Arial" w:hAnsi="Arial"/>
                <w:b/>
                <w:bCs/>
                <w:color w:val="000000"/>
                <w:sz w:val="24"/>
                <w:lang w:eastAsia="es-VE" w:val="es-VE"/>
              </w:rPr>
            </w:r>
          </w:p>
        </w:tc>
        <w:p>
          <w:pPr>
            <w:pStyle w:val="style0"/>
            <w:spacing w:after="200" w:before="0"/>
          </w:pPr>
          <w:r>
            <w:rPr>
              <w:rFonts w:ascii="Arial" w:cs="Arial" w:hAnsi="Arial"/>
            </w:rPr>
            <w:t>Fuente: Mendoza (2015)</w:t>
          </w:r>
        </w:p>
        <w:tc>
          <w:tcPr>
            <w:tcW w:type="dxa" w:w="1960"/>
            <w:tcBorders>
              <w:top w:color="000000" w:space="0" w:sz="4" w:val="single"/>
            </w:tcBorders>
            <w:shd w:fill="auto" w:val="clear"/>
            <w:tcMar>
              <w:top w:type="dxa" w:w="0"/>
              <w:left w:type="dxa" w:w="70"/>
              <w:bottom w:type="dxa" w:w="0"/>
              <w:right w:type="dxa" w:w="70"/>
            </w:tcMar>
            <w:vAlign w:val="bottom"/>
          </w:tcPr>
          <w:p>
            <w:pPr>
              <w:pStyle w:val="style0"/>
              <w:snapToGrid w:val="false"/>
              <w:spacing w:after="200" w:before="0" w:line="240" w:lineRule="auto"/>
            </w:pPr>
            <w:r>
              <w:rPr>
                <w:rFonts w:ascii="Arial" w:cs="Arial" w:hAnsi="Arial"/>
                <w:color w:val="000000"/>
                <w:sz w:val="24"/>
              </w:rPr>
            </w:r>
          </w:p>
        </w:tc>
        <w:tc>
          <w:tcPr>
            <w:tcW w:type="dxa" w:w="1860"/>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rPr>
              <w:t>19</w:t>
            </w:r>
          </w:p>
        </w:tc>
        <w:tc>
          <w:tcPr>
            <w:tcW w:type="dxa" w:w="1210"/>
            <w:tcBorders>
              <w:top w:color="000000" w:space="0" w:sz="4" w:val="single"/>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rPr>
              <w:t>100%</w:t>
            </w:r>
          </w:p>
        </w:tc>
      </w:tr>
    </w:tbl>
    <w:p>
      <w:pPr>
        <w:pStyle w:val="style196"/>
        <w:ind w:hanging="0" w:left="0" w:right="49"/>
        <w:jc w:val="both"/>
      </w:pPr>
      <w:r>
        <w:rPr>
          <w:rFonts w:ascii="Arial" w:cs="Arial" w:hAnsi="Arial"/>
          <w:b/>
          <w:bCs/>
          <w:color w:val="000000"/>
        </w:rPr>
      </w:r>
    </w:p>
    <w:p>
      <w:pPr>
        <w:pStyle w:val="style197"/>
        <w:spacing w:after="0" w:before="0"/>
        <w:jc w:val="center"/>
      </w:pPr>
      <w:r>
        <w:rPr>
          <w:rFonts w:ascii="Arial" w:cs="Arial" w:hAnsi="Arial"/>
          <w:b/>
          <w:color w:val="000000"/>
          <w:lang w:eastAsia="es-VE" w:val="es-ES"/>
        </w:rPr>
        <w:drawing>
          <wp:inline distB="0" distL="0" distR="0" distT="0">
            <wp:extent cx="5255260" cy="3093720"/>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44"/>
                    <a:srcRect/>
                    <a:stretch>
                      <a:fillRect/>
                    </a:stretch>
                  </pic:blipFill>
                  <pic:spPr bwMode="auto">
                    <a:xfrm>
                      <a:off x="0" y="0"/>
                      <a:ext cx="5255260" cy="3093720"/>
                    </a:xfrm>
                    <a:prstGeom prst="rect">
                      <a:avLst/>
                    </a:prstGeom>
                    <a:noFill/>
                    <a:ln w="9525">
                      <a:noFill/>
                      <a:miter lim="800000"/>
                      <a:headEnd/>
                      <a:tailEnd/>
                    </a:ln>
                  </pic:spPr>
                </pic:pic>
              </a:graphicData>
            </a:graphic>
          </wp:inline>
        </w:drawing>
      </w:r>
    </w:p>
    <w:p>
      <w:pPr>
        <w:pStyle w:val="style0"/>
        <w:spacing w:after="200" w:before="0"/>
      </w:pPr>
      <w:r>
        <w:rPr>
          <w:rFonts w:ascii="Arial" w:cs="Arial" w:hAnsi="Arial"/>
        </w:rPr>
        <w:t>Fuente: Mendoza (2015)</w:t>
      </w:r>
    </w:p>
    <w:p>
      <w:pPr>
        <w:pStyle w:val="style197"/>
        <w:spacing w:after="0" w:before="0"/>
        <w:jc w:val="both"/>
      </w:pPr>
      <w:r>
        <w:rPr>
          <w:rFonts w:ascii="Arial" w:cs="Arial" w:hAnsi="Arial"/>
          <w:b/>
          <w:bCs/>
          <w:color w:val="000000"/>
        </w:rPr>
        <w:t xml:space="preserve">Gráfico 11 </w:t>
      </w:r>
      <w:r>
        <w:rPr>
          <w:rFonts w:ascii="Arial" w:cs="Arial" w:hAnsi="Arial"/>
          <w:b/>
          <w:bCs/>
        </w:rPr>
        <w:t xml:space="preserve">Opinión referente a la enajenación de los bienes nacionales en estado de </w:t>
      </w:r>
      <w:r>
        <w:rPr>
          <w:rFonts w:ascii="Arial" w:cs="Arial" w:hAnsi="Arial"/>
          <w:b/>
          <w:shd w:fill="FFFFFF" w:val="clear"/>
        </w:rPr>
        <w:t>Obsolescencia, Deterioro y Corrosión</w:t>
      </w:r>
      <w:r>
        <w:rPr>
          <w:rFonts w:ascii="Arial" w:cs="Arial" w:hAnsi="Arial"/>
          <w:b/>
          <w:color w:val="000000"/>
          <w:shd w:fill="FFFFFF" w:val="clear"/>
        </w:rPr>
        <w:t xml:space="preserve"> a la Empresa  del ramo Siderúrgico para reutilizarlo como </w:t>
      </w:r>
      <w:r>
        <w:rPr>
          <w:rFonts w:ascii="Arial" w:cs="Arial" w:hAnsi="Arial"/>
          <w:b/>
          <w:color w:val="000000"/>
        </w:rPr>
        <w:t>insumo para la producción automotriz y la construcción Civil en Venezuela</w:t>
      </w:r>
    </w:p>
    <w:p>
      <w:pPr>
        <w:pStyle w:val="style197"/>
        <w:spacing w:after="0" w:before="0"/>
        <w:jc w:val="both"/>
      </w:pPr>
      <w:r>
        <w:rPr>
          <w:rFonts w:ascii="Arial" w:cs="Arial" w:hAnsi="Arial"/>
          <w:bCs/>
          <w:color w:val="000000"/>
        </w:rPr>
      </w:r>
    </w:p>
    <w:p>
      <w:pPr>
        <w:pStyle w:val="style197"/>
        <w:shd w:fill="FFFFFF" w:val="clear"/>
        <w:spacing w:after="120" w:before="120" w:line="360" w:lineRule="auto"/>
        <w:jc w:val="both"/>
      </w:pPr>
      <w:r>
        <w:rPr>
          <w:rFonts w:ascii="Arial" w:cs="Arial" w:hAnsi="Arial"/>
          <w:b/>
          <w:color w:val="000000"/>
        </w:rPr>
        <w:t xml:space="preserve">Análisis </w:t>
      </w:r>
      <w:r>
        <w:rPr>
          <w:rFonts w:ascii="Arial" w:cs="Arial" w:hAnsi="Arial"/>
          <w:color w:val="000000"/>
        </w:rPr>
        <w:t xml:space="preserve">Según los resultados obtenidos como lo demuestra el cuadro y el grafico el 100% de los encuestados están de acuerdo que los  </w:t>
      </w:r>
      <w:r>
        <w:rPr>
          <w:rFonts w:ascii="Arial" w:cs="Arial" w:hAnsi="Arial"/>
          <w:color w:val="000000"/>
          <w:shd w:fill="FFFFFF" w:val="clear"/>
        </w:rPr>
        <w:t>Bienes Nacionales en Estado de Obsolescencia, deterioro y corrosión</w:t>
      </w:r>
      <w:r>
        <w:rPr>
          <w:rFonts w:ascii="Arial" w:cs="Arial" w:hAnsi="Arial"/>
          <w:color w:val="000000"/>
        </w:rPr>
        <w:t xml:space="preserve"> sean enajenados a la empresa del estado aquí se interpreta que quieren obtener unas ganancias productos de las ventas para luego redistribuirla en las actividades de la institución</w:t>
      </w:r>
    </w:p>
    <w:p>
      <w:pPr>
        <w:pStyle w:val="style0"/>
        <w:pageBreakBefore/>
        <w:spacing w:after="0" w:before="0" w:line="360" w:lineRule="auto"/>
        <w:jc w:val="both"/>
      </w:pPr>
      <w:r>
        <w:rPr>
          <w:rFonts w:ascii="Arial" w:cs="Arial" w:hAnsi="Arial"/>
          <w:color w:val="000000"/>
          <w:sz w:val="24"/>
          <w:shd w:fill="FFFFFF" w:val="clear"/>
        </w:rPr>
        <w:t xml:space="preserve">Ítem 12. </w:t>
      </w:r>
      <w:r>
        <w:rPr>
          <w:rFonts w:ascii="Arial" w:cs="Arial" w:hAnsi="Arial"/>
          <w:color w:val="000000"/>
          <w:sz w:val="24"/>
        </w:rPr>
        <w:t>¿Cree Usted que la desincorporación de las chatarras que se encuentran en los espacios de la institución tendría algún impacto importante en el entorno?</w:t>
      </w:r>
    </w:p>
    <w:p>
      <w:pPr>
        <w:pStyle w:val="style197"/>
        <w:shd w:fill="FFFFFF" w:val="clear"/>
        <w:spacing w:after="120" w:before="120"/>
        <w:jc w:val="center"/>
      </w:pPr>
      <w:r>
        <w:rPr>
          <w:rFonts w:ascii="Arial" w:cs="Arial" w:hAnsi="Arial"/>
          <w:color w:val="000000"/>
        </w:rPr>
      </w:r>
    </w:p>
    <w:tbl>
      <w:tblPr>
        <w:jc w:val="center"/>
        <w:tblBorders>
          <w:top w:color="000000" w:space="0" w:sz="4" w:val="single"/>
          <w:left w:color="000000" w:space="0" w:sz="4" w:val="single"/>
          <w:bottom w:color="000000" w:space="0" w:sz="4" w:val="single"/>
          <w:right w:color="000000" w:space="0" w:sz="4" w:val="single"/>
        </w:tblBorders>
      </w:tblPr>
      <w:tblGrid>
        <w:gridCol w:w="6652"/>
      </w:tblGrid>
      <w:tr>
        <w:trPr>
          <w:trHeight w:hRule="atLeast" w:val="255"/>
          <w:cantSplit w:val="false"/>
        </w:trPr>
        <w:tc>
          <w:tcPr>
            <w:tcW w:type="dxa" w:w="6652"/>
            <w:gridSpan w:val="4"/>
            <w:tcBorders>
              <w:top w:color="000000" w:space="0" w:sz="4" w:val="single"/>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197"/>
              <w:shd w:fill="FFFFFF" w:val="clear"/>
              <w:spacing w:after="120" w:before="120" w:line="360" w:lineRule="auto"/>
              <w:jc w:val="center"/>
            </w:pPr>
            <w:r>
              <w:rPr>
                <w:rFonts w:ascii="Arial" w:cs="Arial" w:hAnsi="Arial"/>
                <w:b/>
                <w:color w:val="000000"/>
              </w:rPr>
              <w:t>Cuadro  15</w:t>
            </w:r>
          </w:p>
          <w:p>
            <w:pPr>
              <w:pStyle w:val="style0"/>
              <w:spacing w:after="200" w:before="0" w:line="360" w:lineRule="auto"/>
              <w:jc w:val="both"/>
            </w:pPr>
            <w:r>
              <w:rPr>
                <w:rFonts w:ascii="Arial" w:cs="Arial" w:hAnsi="Arial"/>
                <w:b/>
                <w:bCs/>
                <w:color w:val="000000"/>
                <w:sz w:val="24"/>
                <w:szCs w:val="20"/>
              </w:rPr>
              <w:t xml:space="preserve">Conocimiento sobre el impacto en el entorno por la desincorporación </w:t>
            </w:r>
            <w:r>
              <w:rPr>
                <w:rFonts w:ascii="Arial" w:cs="Arial" w:hAnsi="Arial"/>
                <w:b/>
                <w:color w:val="000000"/>
                <w:sz w:val="24"/>
              </w:rPr>
              <w:t>de las chatarras de la institución</w:t>
            </w:r>
            <w:r>
              <w:rPr>
                <w:rFonts w:ascii="Arial" w:cs="Arial" w:hAnsi="Arial"/>
                <w:color w:val="000000"/>
                <w:sz w:val="24"/>
              </w:rPr>
              <w:t>.</w:t>
            </w:r>
          </w:p>
        </w:tc>
      </w:tr>
      <w:tr>
        <w:trPr>
          <w:trHeight w:hRule="atLeast" w:val="255"/>
          <w:cantSplit w:val="false"/>
        </w:trPr>
        <w:tc>
          <w:tcPr>
            <w:tcW w:type="dxa" w:w="1419"/>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b/>
                <w:szCs w:val="20"/>
              </w:rPr>
              <w:t>Ítem</w:t>
            </w:r>
          </w:p>
        </w:tc>
        <w:tc>
          <w:tcPr>
            <w:tcW w:type="dxa" w:w="1811"/>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b/>
                <w:szCs w:val="20"/>
              </w:rPr>
              <w:t>Opciones  de Repuestas</w:t>
            </w:r>
          </w:p>
        </w:tc>
        <w:tc>
          <w:tcPr>
            <w:tcW w:type="dxa" w:w="2370"/>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b/>
                <w:szCs w:val="20"/>
              </w:rPr>
              <w:t>Frecuencia</w:t>
            </w:r>
          </w:p>
        </w:tc>
        <w:tc>
          <w:tcPr>
            <w:tcW w:type="dxa" w:w="1052"/>
            <w:tcBorders>
              <w:top w:color="000000" w:space="0" w:sz="4" w:val="single"/>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b/>
                <w:szCs w:val="20"/>
              </w:rPr>
              <w:t>Valor %</w:t>
            </w:r>
          </w:p>
        </w:tc>
      </w:tr>
      <w:tr>
        <w:trPr>
          <w:trHeight w:hRule="atLeast" w:val="255"/>
          <w:cantSplit w:val="false"/>
        </w:trPr>
        <w:tc>
          <w:tcPr>
            <w:tcW w:type="dxa" w:w="1419"/>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sz w:val="24"/>
                <w:szCs w:val="20"/>
              </w:rPr>
              <w:t>A</w:t>
            </w:r>
          </w:p>
        </w:tc>
        <w:tc>
          <w:tcPr>
            <w:tcW w:type="dxa" w:w="1811"/>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both"/>
            </w:pPr>
            <w:r>
              <w:rPr>
                <w:rFonts w:ascii="Arial" w:cs="Arial" w:hAnsi="Arial"/>
                <w:color w:val="000000"/>
                <w:sz w:val="24"/>
                <w:szCs w:val="20"/>
              </w:rPr>
              <w:t>No contestó</w:t>
            </w:r>
          </w:p>
        </w:tc>
        <w:tc>
          <w:tcPr>
            <w:tcW w:type="dxa" w:w="237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szCs w:val="20"/>
              </w:rPr>
              <w:t>0</w:t>
            </w:r>
          </w:p>
        </w:tc>
        <w:tc>
          <w:tcPr>
            <w:tcW w:type="dxa" w:w="1052"/>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szCs w:val="20"/>
              </w:rPr>
              <w:t>0%</w:t>
            </w:r>
          </w:p>
        </w:tc>
      </w:tr>
      <w:tr>
        <w:trPr>
          <w:trHeight w:hRule="atLeast" w:val="255"/>
          <w:cantSplit w:val="false"/>
        </w:trPr>
        <w:tc>
          <w:tcPr>
            <w:tcW w:type="dxa" w:w="1419"/>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sz w:val="24"/>
                <w:szCs w:val="20"/>
              </w:rPr>
              <w:t>B</w:t>
            </w:r>
          </w:p>
        </w:tc>
        <w:tc>
          <w:tcPr>
            <w:tcW w:type="dxa" w:w="1811"/>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both"/>
            </w:pPr>
            <w:r>
              <w:rPr>
                <w:rFonts w:ascii="Arial" w:cs="Arial" w:hAnsi="Arial"/>
                <w:color w:val="000000"/>
                <w:sz w:val="24"/>
                <w:szCs w:val="20"/>
              </w:rPr>
              <w:t>Siempre</w:t>
            </w:r>
          </w:p>
        </w:tc>
        <w:tc>
          <w:tcPr>
            <w:tcW w:type="dxa" w:w="237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szCs w:val="20"/>
              </w:rPr>
              <w:t>15</w:t>
            </w:r>
          </w:p>
        </w:tc>
        <w:tc>
          <w:tcPr>
            <w:tcW w:type="dxa" w:w="1052"/>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szCs w:val="20"/>
              </w:rPr>
              <w:t>79%</w:t>
            </w:r>
          </w:p>
        </w:tc>
      </w:tr>
      <w:tr>
        <w:trPr>
          <w:trHeight w:hRule="atLeast" w:val="255"/>
          <w:cantSplit w:val="false"/>
        </w:trPr>
        <w:tc>
          <w:tcPr>
            <w:tcW w:type="dxa" w:w="1419"/>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sz w:val="24"/>
                <w:szCs w:val="20"/>
              </w:rPr>
              <w:t>C</w:t>
            </w:r>
          </w:p>
        </w:tc>
        <w:tc>
          <w:tcPr>
            <w:tcW w:type="dxa" w:w="1811"/>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both"/>
            </w:pPr>
            <w:r>
              <w:rPr>
                <w:rFonts w:ascii="Arial" w:cs="Arial" w:hAnsi="Arial"/>
                <w:color w:val="000000"/>
                <w:sz w:val="24"/>
                <w:szCs w:val="20"/>
              </w:rPr>
              <w:t>Casi siempre</w:t>
            </w:r>
          </w:p>
        </w:tc>
        <w:tc>
          <w:tcPr>
            <w:tcW w:type="dxa" w:w="237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szCs w:val="20"/>
              </w:rPr>
              <w:t>1</w:t>
            </w:r>
          </w:p>
        </w:tc>
        <w:tc>
          <w:tcPr>
            <w:tcW w:type="dxa" w:w="1052"/>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szCs w:val="20"/>
              </w:rPr>
              <w:t>5%</w:t>
            </w:r>
          </w:p>
        </w:tc>
      </w:tr>
      <w:tr>
        <w:trPr>
          <w:trHeight w:hRule="atLeast" w:val="255"/>
          <w:cantSplit w:val="false"/>
        </w:trPr>
        <w:tc>
          <w:tcPr>
            <w:tcW w:type="dxa" w:w="1419"/>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sz w:val="24"/>
                <w:szCs w:val="20"/>
              </w:rPr>
              <w:t>D</w:t>
            </w:r>
          </w:p>
        </w:tc>
        <w:tc>
          <w:tcPr>
            <w:tcW w:type="dxa" w:w="1811"/>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both"/>
            </w:pPr>
            <w:r>
              <w:rPr>
                <w:rFonts w:ascii="Arial" w:cs="Arial" w:hAnsi="Arial"/>
                <w:color w:val="000000"/>
                <w:sz w:val="24"/>
                <w:szCs w:val="20"/>
              </w:rPr>
              <w:t>A veces</w:t>
            </w:r>
          </w:p>
        </w:tc>
        <w:tc>
          <w:tcPr>
            <w:tcW w:type="dxa" w:w="237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szCs w:val="20"/>
              </w:rPr>
              <w:t>3</w:t>
            </w:r>
          </w:p>
        </w:tc>
        <w:tc>
          <w:tcPr>
            <w:tcW w:type="dxa" w:w="1052"/>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szCs w:val="20"/>
              </w:rPr>
              <w:t>16%</w:t>
            </w:r>
          </w:p>
        </w:tc>
      </w:tr>
      <w:tr>
        <w:trPr>
          <w:trHeight w:hRule="atLeast" w:val="255"/>
          <w:cantSplit w:val="false"/>
        </w:trPr>
        <w:tc>
          <w:tcPr>
            <w:tcW w:type="dxa" w:w="1419"/>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sz w:val="24"/>
                <w:szCs w:val="20"/>
              </w:rPr>
              <w:t>E</w:t>
            </w:r>
          </w:p>
        </w:tc>
        <w:tc>
          <w:tcPr>
            <w:tcW w:type="dxa" w:w="1811"/>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both"/>
            </w:pPr>
            <w:r>
              <w:rPr>
                <w:rFonts w:ascii="Arial" w:cs="Arial" w:hAnsi="Arial"/>
                <w:color w:val="000000"/>
                <w:sz w:val="24"/>
                <w:szCs w:val="20"/>
              </w:rPr>
              <w:t>Casi Nunca</w:t>
            </w:r>
          </w:p>
        </w:tc>
        <w:tc>
          <w:tcPr>
            <w:tcW w:type="dxa" w:w="237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szCs w:val="20"/>
              </w:rPr>
              <w:t>0</w:t>
            </w:r>
          </w:p>
        </w:tc>
        <w:tc>
          <w:tcPr>
            <w:tcW w:type="dxa" w:w="1052"/>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szCs w:val="20"/>
              </w:rPr>
              <w:t>0%</w:t>
            </w:r>
          </w:p>
        </w:tc>
      </w:tr>
      <w:tr>
        <w:trPr>
          <w:trHeight w:hRule="atLeast" w:val="255"/>
          <w:cantSplit w:val="false"/>
        </w:trPr>
        <w:tc>
          <w:tcPr>
            <w:tcW w:type="dxa" w:w="1419"/>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sz w:val="24"/>
                <w:szCs w:val="20"/>
              </w:rPr>
              <w:t>F</w:t>
            </w:r>
          </w:p>
        </w:tc>
        <w:tc>
          <w:tcPr>
            <w:tcW w:type="dxa" w:w="1811"/>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both"/>
            </w:pPr>
            <w:r>
              <w:rPr>
                <w:rFonts w:ascii="Arial" w:cs="Arial" w:hAnsi="Arial"/>
                <w:color w:val="000000"/>
                <w:sz w:val="24"/>
                <w:szCs w:val="20"/>
              </w:rPr>
              <w:t>Nunca</w:t>
            </w:r>
          </w:p>
        </w:tc>
        <w:tc>
          <w:tcPr>
            <w:tcW w:type="dxa" w:w="237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szCs w:val="20"/>
              </w:rPr>
              <w:t>0</w:t>
            </w:r>
          </w:p>
        </w:tc>
        <w:tc>
          <w:tcPr>
            <w:tcW w:type="dxa" w:w="1052"/>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szCs w:val="20"/>
              </w:rPr>
              <w:t>0%</w:t>
            </w:r>
          </w:p>
        </w:tc>
      </w:tr>
      <w:tr>
        <w:trPr>
          <w:trHeight w:hRule="atLeast" w:val="255"/>
          <w:cantSplit w:val="false"/>
        </w:trPr>
        <w:tc>
          <w:tcPr>
            <w:tcW w:type="dxa" w:w="1419"/>
            <w:tcBorders>
              <w:top w:color="000000" w:space="0" w:sz="4" w:val="single"/>
            </w:tcBorders>
            <w:shd w:fill="auto" w:val="clear"/>
            <w:tcMar>
              <w:top w:type="dxa" w:w="0"/>
              <w:left w:type="dxa" w:w="70"/>
              <w:bottom w:type="dxa" w:w="0"/>
              <w:right w:type="dxa" w:w="70"/>
            </w:tcMar>
            <w:vAlign w:val="bottom"/>
          </w:tcPr>
          <w:p>
            <w:pPr>
              <w:pStyle w:val="style0"/>
              <w:snapToGrid w:val="false"/>
              <w:spacing w:after="200" w:before="0" w:line="240" w:lineRule="auto"/>
              <w:jc w:val="center"/>
            </w:pPr>
            <w:r>
              <w:rPr>
                <w:rFonts w:ascii="Arial" w:cs="Arial" w:hAnsi="Arial"/>
                <w:color w:val="000000"/>
                <w:sz w:val="24"/>
                <w:szCs w:val="20"/>
                <w:lang w:eastAsia="es-VE" w:val="es-VE"/>
              </w:rPr>
            </w:r>
          </w:p>
        </w:tc>
        <w:p>
          <w:pPr>
            <w:pStyle w:val="style0"/>
            <w:spacing w:after="200" w:before="0"/>
          </w:pPr>
          <w:r>
            <w:rPr>
              <w:rFonts w:ascii="Arial" w:cs="Arial" w:hAnsi="Arial"/>
            </w:rPr>
            <w:t>Fuente: Mendoza (2015)</w:t>
          </w:r>
        </w:p>
        <w:tc>
          <w:tcPr>
            <w:tcW w:type="dxa" w:w="1811"/>
            <w:tcBorders>
              <w:top w:color="000000" w:space="0" w:sz="4" w:val="single"/>
            </w:tcBorders>
            <w:shd w:fill="auto" w:val="clear"/>
            <w:tcMar>
              <w:top w:type="dxa" w:w="0"/>
              <w:left w:type="dxa" w:w="70"/>
              <w:bottom w:type="dxa" w:w="0"/>
              <w:right w:type="dxa" w:w="70"/>
            </w:tcMar>
            <w:vAlign w:val="bottom"/>
          </w:tcPr>
          <w:p>
            <w:pPr>
              <w:pStyle w:val="style0"/>
              <w:snapToGrid w:val="false"/>
              <w:spacing w:after="200" w:before="0" w:line="240" w:lineRule="auto"/>
              <w:jc w:val="both"/>
            </w:pPr>
            <w:r>
              <w:rPr>
                <w:rFonts w:ascii="Arial" w:cs="Arial" w:hAnsi="Arial"/>
                <w:color w:val="000000"/>
                <w:sz w:val="24"/>
                <w:szCs w:val="20"/>
              </w:rPr>
            </w:r>
          </w:p>
        </w:tc>
        <w:tc>
          <w:tcPr>
            <w:tcW w:type="dxa" w:w="2370"/>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szCs w:val="20"/>
              </w:rPr>
              <w:t>19</w:t>
            </w:r>
          </w:p>
        </w:tc>
        <w:tc>
          <w:tcPr>
            <w:tcW w:type="dxa" w:w="1052"/>
            <w:tcBorders>
              <w:top w:color="000000" w:space="0" w:sz="4" w:val="single"/>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szCs w:val="20"/>
              </w:rPr>
              <w:t>100%</w:t>
            </w:r>
          </w:p>
        </w:tc>
      </w:tr>
    </w:tbl>
    <w:p>
      <w:pPr>
        <w:pStyle w:val="style197"/>
        <w:spacing w:after="0" w:before="0" w:line="360" w:lineRule="auto"/>
        <w:jc w:val="center"/>
      </w:pPr>
      <w:r>
        <w:rPr>
          <w:rFonts w:ascii="Arial" w:cs="Arial" w:hAnsi="Arial"/>
          <w:color w:val="000000"/>
          <w:shd w:fill="FFFFFF" w:val="clear"/>
          <w:lang w:eastAsia="es-VE" w:val="es-ES"/>
        </w:rPr>
        <w:drawing>
          <wp:inline distB="0" distL="0" distR="0" distT="0">
            <wp:extent cx="4666615" cy="1542415"/>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45"/>
                    <a:srcRect/>
                    <a:stretch>
                      <a:fillRect/>
                    </a:stretch>
                  </pic:blipFill>
                  <pic:spPr bwMode="auto">
                    <a:xfrm>
                      <a:off x="0" y="0"/>
                      <a:ext cx="4666615" cy="1542415"/>
                    </a:xfrm>
                    <a:prstGeom prst="rect">
                      <a:avLst/>
                    </a:prstGeom>
                    <a:noFill/>
                    <a:ln w="9525">
                      <a:noFill/>
                      <a:miter lim="800000"/>
                      <a:headEnd/>
                      <a:tailEnd/>
                    </a:ln>
                  </pic:spPr>
                </pic:pic>
              </a:graphicData>
            </a:graphic>
          </wp:inline>
        </w:drawing>
      </w:r>
    </w:p>
    <w:p>
      <w:pPr>
        <w:pStyle w:val="style0"/>
        <w:spacing w:after="200" w:before="0"/>
      </w:pPr>
      <w:r>
        <w:rPr>
          <w:rFonts w:ascii="Arial" w:cs="Arial" w:hAnsi="Arial"/>
        </w:rPr>
        <w:t>Fuente: Mendoza (2015)</w:t>
      </w:r>
    </w:p>
    <w:p>
      <w:pPr>
        <w:pStyle w:val="style197"/>
        <w:spacing w:after="0" w:before="0"/>
        <w:jc w:val="both"/>
      </w:pPr>
      <w:r>
        <w:rPr>
          <w:rFonts w:ascii="Arial" w:cs="Arial" w:hAnsi="Arial"/>
          <w:b/>
          <w:bCs/>
          <w:color w:val="000000"/>
        </w:rPr>
        <w:t xml:space="preserve">Gráfico 12 </w:t>
      </w:r>
      <w:r>
        <w:rPr>
          <w:rFonts w:ascii="Arial" w:cs="Arial" w:hAnsi="Arial"/>
          <w:b/>
          <w:bCs/>
          <w:color w:val="000000"/>
          <w:szCs w:val="20"/>
        </w:rPr>
        <w:t xml:space="preserve">Conocimiento sobre el impacto en el entorno por la desincorporación </w:t>
      </w:r>
      <w:r>
        <w:rPr>
          <w:rFonts w:ascii="Arial" w:cs="Arial" w:hAnsi="Arial"/>
          <w:color w:val="000000"/>
        </w:rPr>
        <w:t>de las chatarras de la institución</w:t>
      </w:r>
    </w:p>
    <w:p>
      <w:pPr>
        <w:pStyle w:val="style197"/>
        <w:spacing w:after="0" w:before="0"/>
        <w:jc w:val="both"/>
      </w:pPr>
      <w:r>
        <w:rPr>
          <w:rFonts w:ascii="Arial" w:cs="Arial" w:hAnsi="Arial"/>
          <w:b/>
          <w:bCs/>
          <w:color w:val="000000"/>
        </w:rPr>
      </w:r>
    </w:p>
    <w:p>
      <w:pPr>
        <w:pStyle w:val="style197"/>
        <w:spacing w:after="0" w:before="0" w:line="360" w:lineRule="auto"/>
        <w:jc w:val="both"/>
      </w:pPr>
      <w:r>
        <w:rPr>
          <w:rFonts w:ascii="Arial" w:cs="Arial" w:hAnsi="Arial"/>
          <w:b/>
          <w:bCs/>
          <w:color w:val="000000"/>
        </w:rPr>
        <w:t xml:space="preserve">Análisis: </w:t>
      </w:r>
      <w:r>
        <w:rPr>
          <w:rFonts w:ascii="Arial" w:cs="Arial" w:hAnsi="Arial"/>
          <w:bCs/>
          <w:color w:val="000000"/>
        </w:rPr>
        <w:t>El</w:t>
      </w:r>
      <w:r>
        <w:rPr>
          <w:rFonts w:ascii="Arial" w:cs="Arial" w:hAnsi="Arial"/>
          <w:b/>
          <w:bCs/>
          <w:color w:val="000000"/>
        </w:rPr>
        <w:t xml:space="preserve"> </w:t>
      </w:r>
      <w:r>
        <w:rPr>
          <w:rFonts w:ascii="Arial" w:cs="Arial" w:hAnsi="Arial"/>
          <w:bCs/>
          <w:color w:val="000000"/>
        </w:rPr>
        <w:t xml:space="preserve"> Resultado en la desincorporación de los bienes de IUTY   es positivo para el entorno porque  va a producir un efecto impresiónate sobre el medio ambiente  por la disminución de la contaminación que estos producen, además con la salida de estos bienes se </w:t>
      </w:r>
      <w:r>
        <w:rPr>
          <w:rFonts w:ascii="Arial" w:cs="Arial" w:hAnsi="Arial"/>
          <w:color w:val="000000"/>
          <w:shd w:fill="FFFFFF" w:val="clear"/>
        </w:rPr>
        <w:t>pretende contrarrestar los efectos negativos</w:t>
      </w:r>
      <w:r>
        <w:rPr>
          <w:rFonts w:ascii="Arial" w:cs="Arial" w:hAnsi="Arial"/>
          <w:bCs/>
          <w:color w:val="000000"/>
        </w:rPr>
        <w:t xml:space="preserve"> de la imagen que por muchos años ha causado la acumulación de los mismos, ocupando un espacio físico de manera injustificada puesto que esa chatarras no generan algún beneficio para la comunidad universitaria y esos espacios pueden ser utilizados para otros fines. </w:t>
      </w:r>
    </w:p>
    <w:p>
      <w:pPr>
        <w:pStyle w:val="style197"/>
        <w:spacing w:after="0" w:before="0" w:line="360" w:lineRule="auto"/>
        <w:jc w:val="both"/>
      </w:pPr>
      <w:r>
        <w:rPr>
          <w:rFonts w:ascii="Arial" w:cs="Arial" w:hAnsi="Arial"/>
          <w:bCs/>
          <w:color w:val="000000"/>
        </w:rPr>
        <w:tab/>
        <w:t xml:space="preserve">Si visualizamos los resultados obtenidos en la encuesta  un setenta y nueve (79) por ciento (%) de los encuestados opinaron que si traerá un  impacto positivo para embellecer las instalaciones  mientras un dieciséis (16%) manifestó que casi siempre pueda causar algún impacto debido a que la mayoría de veces se ha intentado realizar el proceso y no han obtenido ningún resultado y  el cinco (5) por ciento (%)  afirma que a veces traerá un impacto positivo según los criterios de los encuestados declaran que se ha tenido la intención en varias oportunidades de realizar la desincorporación pero lo proceso se han caído por el lapso de respuesta de parte de la instancias aparte de    impedimento del costo del avaluó que es muy oneroso y esto impide  que la institución derogue nuevamente recursos que puede ser utilizado para otro fin en beneficio de la comunidad universitaria.  </w:t>
      </w:r>
    </w:p>
    <w:p>
      <w:pPr>
        <w:pStyle w:val="style197"/>
        <w:spacing w:after="0" w:before="0" w:line="360" w:lineRule="auto"/>
        <w:jc w:val="both"/>
      </w:pPr>
      <w:r>
        <w:rPr>
          <w:rStyle w:val="style150"/>
          <w:rFonts w:ascii="Arial" w:cs="Arial" w:hAnsi="Arial"/>
          <w:b w:val="false"/>
          <w:color w:val="000000"/>
        </w:rPr>
        <w:tab/>
        <w:t>Según la página Web Todo sobre el medio ambiente señala que el Impacto ambiental</w:t>
      </w:r>
      <w:r>
        <w:rPr>
          <w:rFonts w:ascii="Arial" w:cs="Arial" w:hAnsi="Arial"/>
          <w:color w:val="000000"/>
        </w:rPr>
        <w:t xml:space="preserve"> es la alteración que se produce en el medio ambiente natural y humano cuando se lleva a cabo un proyecto o una actividad. Las obras públicas como la construcción de una carretera, una ciudad, una industria; una zona de recreo; cualquier actividad de estas tiene un impacto sobre el medio</w:t>
      </w:r>
      <w:r>
        <w:rPr>
          <w:rFonts w:ascii="Arial" w:cs="Arial" w:hAnsi="Arial"/>
          <w:bCs/>
          <w:color w:val="000000"/>
        </w:rPr>
        <w:t xml:space="preserve"> </w:t>
      </w:r>
    </w:p>
    <w:p>
      <w:pPr>
        <w:pStyle w:val="style197"/>
        <w:spacing w:after="0" w:before="0" w:line="360" w:lineRule="auto"/>
        <w:jc w:val="both"/>
      </w:pPr>
      <w:r>
        <w:rPr>
          <w:rFonts w:ascii="Arial" w:cs="Arial" w:hAnsi="Arial"/>
          <w:bCs/>
          <w:color w:val="000000"/>
        </w:rPr>
        <w:tab/>
        <w:t xml:space="preserve">El objetivo del retiro de las chatarras de IUTY es </w:t>
      </w:r>
      <w:r>
        <w:rPr>
          <w:rFonts w:ascii="Arial" w:cs="Arial" w:hAnsi="Arial"/>
          <w:color w:val="000000"/>
        </w:rPr>
        <w:t>buscar garantizar</w:t>
      </w:r>
      <w:r>
        <w:rPr>
          <w:rFonts w:ascii="Arial" w:cs="Arial" w:hAnsi="Arial"/>
          <w:color w:val="000000"/>
          <w:shd w:fill="F3F3F3" w:val="clear"/>
        </w:rPr>
        <w:t xml:space="preserve">, </w:t>
      </w:r>
      <w:r>
        <w:rPr>
          <w:rFonts w:ascii="Arial" w:cs="Arial" w:hAnsi="Arial"/>
          <w:color w:val="000000"/>
        </w:rPr>
        <w:t>de la mejor manera posible, el equilibrio del medio ambiente y la preservación de la salud y bienestar de la comunidad universitaria, durante y después</w:t>
      </w:r>
      <w:r>
        <w:rPr>
          <w:rStyle w:val="style147"/>
          <w:rFonts w:ascii="Arial" w:hAnsi="Arial"/>
          <w:color w:val="000000"/>
        </w:rPr>
        <w:t xml:space="preserve"> de la desincorporación de ellos</w:t>
      </w:r>
      <w:r>
        <w:rPr>
          <w:rStyle w:val="style147"/>
          <w:rFonts w:ascii="Arial" w:hAnsi="Arial"/>
          <w:color w:val="000000"/>
          <w:shd w:fill="F3F3F3" w:val="clear"/>
        </w:rPr>
        <w:t>.</w:t>
      </w:r>
    </w:p>
    <w:p>
      <w:pPr>
        <w:pStyle w:val="style0"/>
        <w:spacing w:after="0" w:before="0" w:line="360" w:lineRule="auto"/>
        <w:jc w:val="both"/>
      </w:pPr>
      <w:r>
        <w:rPr/>
      </w:r>
    </w:p>
    <w:p>
      <w:pPr>
        <w:pStyle w:val="style0"/>
        <w:spacing w:after="0" w:before="0" w:line="360" w:lineRule="auto"/>
        <w:jc w:val="both"/>
      </w:pPr>
      <w:r>
        <w:rPr>
          <w:rStyle w:val="style168"/>
          <w:rFonts w:ascii="Arial" w:cs="Arial" w:hAnsi="Arial"/>
          <w:color w:val="000000"/>
          <w:sz w:val="24"/>
          <w:shd w:fill="FFFFFF" w:val="clear"/>
        </w:rPr>
        <w:t xml:space="preserve">Ítem 13. </w:t>
      </w:r>
      <w:r>
        <w:rPr>
          <w:rFonts w:ascii="Arial" w:cs="Arial" w:hAnsi="Arial"/>
          <w:color w:val="000000"/>
          <w:sz w:val="24"/>
        </w:rPr>
        <w:t>¿</w:t>
      </w:r>
      <w:r>
        <w:rPr>
          <w:rStyle w:val="style150"/>
          <w:rFonts w:ascii="Arial" w:hAnsi="Arial"/>
          <w:b w:val="false"/>
          <w:color w:val="000000"/>
          <w:sz w:val="24"/>
          <w:shd w:fill="FFFFFF" w:val="clear"/>
        </w:rPr>
        <w:t>Está Usted de acuerdo que  se ajusten las normas y procedimientos para regular la enajenación y desincorporación de los bienes nacionales en deterioro, obsoleto y en corrosión y  ayudar a solucionar el problema de la acumulación de chatarra en los espacios físicos de la Institución</w:t>
      </w:r>
      <w:r>
        <w:rPr>
          <w:rFonts w:ascii="Arial" w:cs="Arial" w:hAnsi="Arial"/>
          <w:color w:val="000000"/>
          <w:sz w:val="24"/>
          <w:shd w:fill="FFFFFF" w:val="clear"/>
        </w:rPr>
        <w:t>?</w:t>
      </w:r>
      <w:r>
        <w:rPr>
          <w:rFonts w:ascii="Arial" w:cs="Arial" w:hAnsi="Arial"/>
          <w:color w:val="000000"/>
          <w:sz w:val="24"/>
        </w:rPr>
        <w:t xml:space="preserve"> </w:t>
      </w:r>
    </w:p>
    <w:p>
      <w:pPr>
        <w:pStyle w:val="style197"/>
        <w:spacing w:after="0" w:before="0" w:line="360" w:lineRule="auto"/>
        <w:jc w:val="both"/>
      </w:pPr>
      <w:r>
        <w:rPr>
          <w:rFonts w:ascii="Arial" w:cs="Arial" w:hAnsi="Arial"/>
          <w:color w:val="000000"/>
        </w:rPr>
      </w:r>
    </w:p>
    <w:tbl>
      <w:tblPr>
        <w:jc w:val="center"/>
        <w:tblBorders>
          <w:top w:color="000000" w:space="0" w:sz="4" w:val="single"/>
          <w:left w:color="000000" w:space="0" w:sz="4" w:val="single"/>
          <w:bottom w:color="000000" w:space="0" w:sz="4" w:val="single"/>
          <w:right w:color="000000" w:space="0" w:sz="4" w:val="single"/>
        </w:tblBorders>
      </w:tblPr>
      <w:tblGrid>
        <w:gridCol w:w="5890"/>
      </w:tblGrid>
      <w:tr>
        <w:trPr>
          <w:trHeight w:hRule="atLeast" w:val="315"/>
          <w:cantSplit w:val="false"/>
        </w:trPr>
        <w:tc>
          <w:tcPr>
            <w:tcW w:type="dxa" w:w="5890"/>
            <w:gridSpan w:val="4"/>
            <w:tcBorders>
              <w:top w:color="000000" w:space="0" w:sz="4" w:val="single"/>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197"/>
              <w:shd w:fill="FFFFFF" w:val="clear"/>
              <w:spacing w:after="120" w:before="120" w:line="360" w:lineRule="auto"/>
              <w:jc w:val="center"/>
            </w:pPr>
            <w:r>
              <w:rPr>
                <w:rFonts w:ascii="Arial" w:cs="Arial" w:hAnsi="Arial"/>
                <w:b/>
                <w:color w:val="000000"/>
              </w:rPr>
              <w:t>Cuadro  16</w:t>
            </w:r>
          </w:p>
          <w:p>
            <w:pPr>
              <w:pStyle w:val="style197"/>
              <w:shd w:fill="FFFFFF" w:val="clear"/>
              <w:spacing w:after="120" w:before="120" w:line="360" w:lineRule="auto"/>
              <w:jc w:val="both"/>
            </w:pPr>
            <w:r>
              <w:rPr>
                <w:rFonts w:ascii="Arial" w:cs="Arial" w:hAnsi="Arial"/>
                <w:b/>
                <w:color w:val="000000"/>
              </w:rPr>
              <w:t xml:space="preserve">Opinión concerniente al ajuste de las normas y procedimientos para regular la </w:t>
            </w:r>
            <w:r>
              <w:rPr>
                <w:rStyle w:val="style150"/>
                <w:rFonts w:ascii="Arial" w:hAnsi="Arial"/>
                <w:color w:val="000000"/>
                <w:shd w:fill="FFFFFF" w:val="clear"/>
              </w:rPr>
              <w:t>enajenación y desincorporación de los bienes nacionales en deterioro, obsoleto y en corrosión</w:t>
            </w:r>
          </w:p>
        </w:tc>
      </w:tr>
      <w:tr>
        <w:trPr>
          <w:trHeight w:hRule="atLeast" w:val="315"/>
          <w:cantSplit w:val="false"/>
        </w:trPr>
        <w:tc>
          <w:tcPr>
            <w:tcW w:type="dxa" w:w="900"/>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b/>
                <w:szCs w:val="20"/>
              </w:rPr>
              <w:t>Ítem</w:t>
            </w:r>
          </w:p>
        </w:tc>
        <w:tc>
          <w:tcPr>
            <w:tcW w:type="dxa" w:w="2020"/>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b/>
                <w:szCs w:val="20"/>
              </w:rPr>
              <w:t>Opciones  de Repuestas</w:t>
            </w:r>
          </w:p>
        </w:tc>
        <w:tc>
          <w:tcPr>
            <w:tcW w:type="dxa" w:w="1760"/>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b/>
                <w:szCs w:val="20"/>
              </w:rPr>
              <w:t>Frecuencia</w:t>
            </w:r>
          </w:p>
        </w:tc>
        <w:tc>
          <w:tcPr>
            <w:tcW w:type="dxa" w:w="1210"/>
            <w:tcBorders>
              <w:top w:color="000000" w:space="0" w:sz="4" w:val="single"/>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b/>
                <w:szCs w:val="20"/>
              </w:rPr>
              <w:t>Valor %</w:t>
            </w:r>
          </w:p>
        </w:tc>
      </w:tr>
      <w:tr>
        <w:trPr>
          <w:trHeight w:hRule="atLeast" w:val="300"/>
          <w:cantSplit w:val="false"/>
        </w:trPr>
        <w:tc>
          <w:tcPr>
            <w:tcW w:type="dxa" w:w="90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sz w:val="24"/>
              </w:rPr>
              <w:t>A</w:t>
            </w:r>
          </w:p>
        </w:tc>
        <w:tc>
          <w:tcPr>
            <w:tcW w:type="dxa" w:w="202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color w:val="000000"/>
                <w:sz w:val="24"/>
              </w:rPr>
              <w:t>No contestó</w:t>
            </w:r>
          </w:p>
        </w:tc>
        <w:tc>
          <w:tcPr>
            <w:tcW w:type="dxa" w:w="176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rPr>
              <w:t>0</w:t>
            </w:r>
          </w:p>
        </w:tc>
        <w:tc>
          <w:tcPr>
            <w:tcW w:type="dxa" w:w="121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rPr>
              <w:t>0%</w:t>
            </w:r>
          </w:p>
        </w:tc>
      </w:tr>
      <w:tr>
        <w:trPr>
          <w:trHeight w:hRule="atLeast" w:val="300"/>
          <w:cantSplit w:val="false"/>
        </w:trPr>
        <w:tc>
          <w:tcPr>
            <w:tcW w:type="dxa" w:w="90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sz w:val="24"/>
              </w:rPr>
              <w:t>B</w:t>
            </w:r>
          </w:p>
        </w:tc>
        <w:tc>
          <w:tcPr>
            <w:tcW w:type="dxa" w:w="202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color w:val="000000"/>
                <w:sz w:val="24"/>
              </w:rPr>
              <w:t>Siempre</w:t>
            </w:r>
          </w:p>
        </w:tc>
        <w:tc>
          <w:tcPr>
            <w:tcW w:type="dxa" w:w="176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rPr>
              <w:t>11</w:t>
            </w:r>
          </w:p>
        </w:tc>
        <w:tc>
          <w:tcPr>
            <w:tcW w:type="dxa" w:w="121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rPr>
              <w:t>58%</w:t>
            </w:r>
          </w:p>
        </w:tc>
      </w:tr>
      <w:tr>
        <w:trPr>
          <w:trHeight w:hRule="atLeast" w:val="300"/>
          <w:cantSplit w:val="false"/>
        </w:trPr>
        <w:tc>
          <w:tcPr>
            <w:tcW w:type="dxa" w:w="90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sz w:val="24"/>
              </w:rPr>
              <w:t>C</w:t>
            </w:r>
          </w:p>
        </w:tc>
        <w:tc>
          <w:tcPr>
            <w:tcW w:type="dxa" w:w="202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color w:val="000000"/>
                <w:sz w:val="24"/>
              </w:rPr>
              <w:t>Casi siempre</w:t>
            </w:r>
          </w:p>
        </w:tc>
        <w:tc>
          <w:tcPr>
            <w:tcW w:type="dxa" w:w="176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rPr>
              <w:t>0</w:t>
            </w:r>
          </w:p>
        </w:tc>
        <w:tc>
          <w:tcPr>
            <w:tcW w:type="dxa" w:w="121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rPr>
              <w:t>0%</w:t>
            </w:r>
          </w:p>
        </w:tc>
      </w:tr>
      <w:tr>
        <w:trPr>
          <w:trHeight w:hRule="atLeast" w:val="300"/>
          <w:cantSplit w:val="false"/>
        </w:trPr>
        <w:tc>
          <w:tcPr>
            <w:tcW w:type="dxa" w:w="90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sz w:val="24"/>
              </w:rPr>
              <w:t>D</w:t>
            </w:r>
          </w:p>
        </w:tc>
        <w:tc>
          <w:tcPr>
            <w:tcW w:type="dxa" w:w="202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color w:val="000000"/>
                <w:sz w:val="24"/>
              </w:rPr>
              <w:t>A veces</w:t>
            </w:r>
          </w:p>
        </w:tc>
        <w:tc>
          <w:tcPr>
            <w:tcW w:type="dxa" w:w="176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rPr>
              <w:t>2</w:t>
            </w:r>
          </w:p>
        </w:tc>
        <w:tc>
          <w:tcPr>
            <w:tcW w:type="dxa" w:w="121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rPr>
              <w:t>11%</w:t>
            </w:r>
          </w:p>
        </w:tc>
      </w:tr>
      <w:tr>
        <w:trPr>
          <w:trHeight w:hRule="atLeast" w:val="300"/>
          <w:cantSplit w:val="false"/>
        </w:trPr>
        <w:tc>
          <w:tcPr>
            <w:tcW w:type="dxa" w:w="90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sz w:val="24"/>
              </w:rPr>
              <w:t>E</w:t>
            </w:r>
          </w:p>
        </w:tc>
        <w:tc>
          <w:tcPr>
            <w:tcW w:type="dxa" w:w="202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color w:val="000000"/>
                <w:sz w:val="24"/>
              </w:rPr>
              <w:t>Casi Nunca</w:t>
            </w:r>
          </w:p>
        </w:tc>
        <w:tc>
          <w:tcPr>
            <w:tcW w:type="dxa" w:w="176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rPr>
              <w:t>1</w:t>
            </w:r>
          </w:p>
        </w:tc>
        <w:tc>
          <w:tcPr>
            <w:tcW w:type="dxa" w:w="121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rPr>
              <w:t>5%</w:t>
            </w:r>
          </w:p>
        </w:tc>
      </w:tr>
      <w:tr>
        <w:trPr>
          <w:trHeight w:hRule="atLeast" w:val="300"/>
          <w:cantSplit w:val="false"/>
        </w:trPr>
        <w:tc>
          <w:tcPr>
            <w:tcW w:type="dxa" w:w="90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sz w:val="24"/>
              </w:rPr>
              <w:t>F</w:t>
            </w:r>
          </w:p>
        </w:tc>
        <w:tc>
          <w:tcPr>
            <w:tcW w:type="dxa" w:w="202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color w:val="000000"/>
                <w:sz w:val="24"/>
              </w:rPr>
              <w:t>Nunca</w:t>
            </w:r>
          </w:p>
        </w:tc>
        <w:tc>
          <w:tcPr>
            <w:tcW w:type="dxa" w:w="176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rPr>
              <w:t>5</w:t>
            </w:r>
          </w:p>
        </w:tc>
        <w:tc>
          <w:tcPr>
            <w:tcW w:type="dxa" w:w="121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rPr>
              <w:t>26%</w:t>
            </w:r>
          </w:p>
        </w:tc>
      </w:tr>
      <w:tr>
        <w:trPr>
          <w:trHeight w:hRule="atLeast" w:val="300"/>
          <w:cantSplit w:val="false"/>
        </w:trPr>
        <w:tc>
          <w:tcPr>
            <w:tcW w:type="dxa" w:w="900"/>
            <w:tcBorders>
              <w:top w:color="000000" w:space="0" w:sz="4" w:val="single"/>
            </w:tcBorders>
            <w:shd w:fill="auto" w:val="clear"/>
            <w:tcMar>
              <w:top w:type="dxa" w:w="0"/>
              <w:left w:type="dxa" w:w="70"/>
              <w:bottom w:type="dxa" w:w="0"/>
              <w:right w:type="dxa" w:w="70"/>
            </w:tcMar>
            <w:vAlign w:val="bottom"/>
          </w:tcPr>
          <w:p>
            <w:pPr>
              <w:pStyle w:val="style0"/>
              <w:snapToGrid w:val="false"/>
              <w:spacing w:after="200" w:before="0" w:line="240" w:lineRule="auto"/>
            </w:pPr>
            <w:r>
              <w:rPr>
                <w:rFonts w:ascii="Arial" w:cs="Arial" w:hAnsi="Arial"/>
                <w:color w:val="000000"/>
                <w:sz w:val="24"/>
                <w:lang w:eastAsia="es-VE" w:val="es-VE"/>
              </w:rPr>
            </w:r>
          </w:p>
        </w:tc>
        <w:p>
          <w:pPr>
            <w:pStyle w:val="style0"/>
            <w:spacing w:after="200" w:before="0"/>
          </w:pPr>
          <w:r>
            <w:rPr>
              <w:rFonts w:ascii="Arial" w:cs="Arial" w:hAnsi="Arial"/>
            </w:rPr>
            <w:t>Fuente: Mendoza (2015)</w:t>
          </w:r>
        </w:p>
        <w:tc>
          <w:tcPr>
            <w:tcW w:type="dxa" w:w="2020"/>
            <w:tcBorders>
              <w:top w:color="000000" w:space="0" w:sz="4" w:val="single"/>
            </w:tcBorders>
            <w:shd w:fill="auto" w:val="clear"/>
            <w:tcMar>
              <w:top w:type="dxa" w:w="0"/>
              <w:left w:type="dxa" w:w="70"/>
              <w:bottom w:type="dxa" w:w="0"/>
              <w:right w:type="dxa" w:w="70"/>
            </w:tcMar>
            <w:vAlign w:val="bottom"/>
          </w:tcPr>
          <w:p>
            <w:pPr>
              <w:pStyle w:val="style0"/>
              <w:snapToGrid w:val="false"/>
              <w:spacing w:after="200" w:before="0" w:line="240" w:lineRule="auto"/>
            </w:pPr>
            <w:r>
              <w:rPr>
                <w:rFonts w:ascii="Arial" w:cs="Arial" w:hAnsi="Arial"/>
                <w:color w:val="000000"/>
                <w:sz w:val="24"/>
              </w:rPr>
            </w:r>
          </w:p>
        </w:tc>
        <w:tc>
          <w:tcPr>
            <w:tcW w:type="dxa" w:w="1760"/>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rPr>
              <w:t>19</w:t>
            </w:r>
          </w:p>
        </w:tc>
        <w:tc>
          <w:tcPr>
            <w:tcW w:type="dxa" w:w="1210"/>
            <w:tcBorders>
              <w:top w:color="000000" w:space="0" w:sz="4" w:val="single"/>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rPr>
              <w:t>100%</w:t>
            </w:r>
          </w:p>
        </w:tc>
      </w:tr>
    </w:tbl>
    <w:p>
      <w:pPr>
        <w:pStyle w:val="style196"/>
        <w:spacing w:line="360" w:lineRule="auto"/>
        <w:jc w:val="both"/>
      </w:pPr>
      <w:r>
        <w:rPr>
          <w:rFonts w:cs="Calibri"/>
          <w:color w:val="000000"/>
          <w:lang w:eastAsia="es-VE" w:val="es-VE"/>
        </w:rPr>
        <w:t xml:space="preserve"> </w:t>
      </w:r>
      <w:r>
        <w:rPr>
          <w:color w:val="000000"/>
          <w:lang w:eastAsia="es-VE" w:val="es-VE"/>
        </w:rPr>
        <w:drawing>
          <wp:inline distB="0" distL="0" distR="0" distT="0">
            <wp:extent cx="5255260" cy="3093720"/>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46"/>
                    <a:srcRect/>
                    <a:stretch>
                      <a:fillRect/>
                    </a:stretch>
                  </pic:blipFill>
                  <pic:spPr bwMode="auto">
                    <a:xfrm>
                      <a:off x="0" y="0"/>
                      <a:ext cx="5255260" cy="3093720"/>
                    </a:xfrm>
                    <a:prstGeom prst="rect">
                      <a:avLst/>
                    </a:prstGeom>
                    <a:noFill/>
                    <a:ln w="9525">
                      <a:noFill/>
                      <a:miter lim="800000"/>
                      <a:headEnd/>
                      <a:tailEnd/>
                    </a:ln>
                  </pic:spPr>
                </pic:pic>
              </a:graphicData>
            </a:graphic>
          </wp:inline>
        </w:drawing>
      </w:r>
    </w:p>
    <w:p>
      <w:pPr>
        <w:pStyle w:val="style0"/>
        <w:spacing w:after="200" w:before="0"/>
      </w:pPr>
      <w:r>
        <w:rPr>
          <w:rFonts w:ascii="Arial" w:cs="Arial" w:hAnsi="Arial"/>
        </w:rPr>
        <w:t>Fuente: Mendoza (2015)</w:t>
      </w:r>
    </w:p>
    <w:p>
      <w:pPr>
        <w:pStyle w:val="style197"/>
        <w:spacing w:after="0" w:before="0"/>
        <w:jc w:val="both"/>
      </w:pPr>
      <w:r>
        <w:rPr>
          <w:rFonts w:ascii="Arial" w:cs="Arial" w:hAnsi="Arial"/>
          <w:b/>
          <w:bCs/>
          <w:color w:val="000000"/>
        </w:rPr>
      </w:r>
    </w:p>
    <w:p>
      <w:pPr>
        <w:pStyle w:val="style197"/>
        <w:spacing w:after="0" w:before="0"/>
        <w:jc w:val="both"/>
      </w:pPr>
      <w:r>
        <w:rPr>
          <w:rFonts w:ascii="Arial" w:cs="Arial" w:hAnsi="Arial"/>
          <w:b/>
          <w:bCs/>
          <w:color w:val="000000"/>
        </w:rPr>
        <w:t xml:space="preserve">Gráfico 13 </w:t>
      </w:r>
      <w:r>
        <w:rPr>
          <w:rFonts w:ascii="Arial" w:cs="Arial" w:hAnsi="Arial"/>
          <w:b/>
          <w:color w:val="000000"/>
        </w:rPr>
        <w:t xml:space="preserve">Opinión concerniente al ajuste de las normas y procedimientos para regular la </w:t>
      </w:r>
      <w:r>
        <w:rPr>
          <w:rStyle w:val="style150"/>
          <w:rFonts w:ascii="Arial" w:hAnsi="Arial"/>
          <w:color w:val="000000"/>
          <w:shd w:fill="FFFFFF" w:val="clear"/>
        </w:rPr>
        <w:t>enajenación y desincorporación de los bienes nacionales en deterioro, obsoleto y en corrosión</w:t>
      </w:r>
    </w:p>
    <w:p>
      <w:pPr>
        <w:pStyle w:val="style196"/>
        <w:spacing w:line="360" w:lineRule="auto"/>
        <w:jc w:val="both"/>
      </w:pPr>
      <w:r>
        <w:rPr>
          <w:rFonts w:ascii="Arial" w:cs="Arial" w:hAnsi="Arial"/>
          <w:b/>
          <w:color w:val="000000"/>
          <w:sz w:val="24"/>
          <w:szCs w:val="24"/>
          <w:shd w:fill="FFFFFF" w:val="clear"/>
        </w:rPr>
      </w:r>
    </w:p>
    <w:p>
      <w:pPr>
        <w:pStyle w:val="style196"/>
        <w:spacing w:line="360" w:lineRule="auto"/>
        <w:jc w:val="both"/>
      </w:pPr>
      <w:r>
        <w:rPr>
          <w:rFonts w:ascii="Arial" w:cs="Arial" w:hAnsi="Arial"/>
          <w:b/>
          <w:color w:val="000000"/>
          <w:sz w:val="24"/>
          <w:szCs w:val="24"/>
          <w:shd w:fill="FFFFFF" w:val="clear"/>
        </w:rPr>
        <w:t xml:space="preserve">Análisis: </w:t>
      </w:r>
      <w:r>
        <w:rPr>
          <w:rFonts w:ascii="Arial" w:cs="Arial" w:hAnsi="Arial"/>
          <w:color w:val="000000"/>
          <w:sz w:val="24"/>
          <w:szCs w:val="24"/>
          <w:shd w:fill="FFFFFF" w:val="clear"/>
        </w:rPr>
        <w:t>De</w:t>
      </w:r>
      <w:r>
        <w:rPr>
          <w:rFonts w:ascii="Arial" w:cs="Arial" w:hAnsi="Arial"/>
          <w:color w:val="000000"/>
          <w:sz w:val="24"/>
          <w:szCs w:val="24"/>
        </w:rPr>
        <w:t xml:space="preserve"> los resultados obtenidos en la tabla y gráfico correspondiente al ítem Nº 13, se acota que el cincuenta y ocho  (58) por ciento de los encuestados, opinaron que</w:t>
      </w:r>
      <w:r>
        <w:rPr>
          <w:rFonts w:ascii="Arial" w:cs="Arial" w:hAnsi="Arial"/>
          <w:color w:val="000000"/>
          <w:sz w:val="24"/>
          <w:szCs w:val="24"/>
          <w:shd w:fill="FFFFFF" w:val="clear"/>
        </w:rPr>
        <w:t xml:space="preserve">  si se debe flexibilizar las normas, mientras un once (11) por ciento (%) expresa que a veces de debería flexibilizar y un veintiséis (26) por ciento  manifiesta que no.</w:t>
      </w:r>
    </w:p>
    <w:p>
      <w:pPr>
        <w:pStyle w:val="style196"/>
        <w:spacing w:line="360" w:lineRule="auto"/>
        <w:jc w:val="both"/>
      </w:pPr>
      <w:r>
        <w:rPr>
          <w:rFonts w:ascii="Arial" w:cs="Arial" w:hAnsi="Arial"/>
          <w:color w:val="000000"/>
          <w:sz w:val="24"/>
          <w:szCs w:val="24"/>
          <w:shd w:fill="FFFFFF" w:val="clear"/>
        </w:rPr>
        <w:tab/>
        <w:t>La pagina web de definiciones de ABC señala que  la norma  se denomina “a toda aquella ley o regla que se establece para ser cumplida por un sujeto específico en un espacio y lugar también específico”</w:t>
      </w:r>
    </w:p>
    <w:p>
      <w:pPr>
        <w:pStyle w:val="style196"/>
        <w:spacing w:line="360" w:lineRule="auto"/>
        <w:jc w:val="both"/>
      </w:pPr>
      <w:r>
        <w:rPr>
          <w:rFonts w:ascii="Arial" w:cs="Arial" w:hAnsi="Arial"/>
          <w:color w:val="000000"/>
          <w:sz w:val="24"/>
          <w:szCs w:val="24"/>
          <w:shd w:fill="FFFFFF" w:val="clear"/>
        </w:rPr>
        <w:tab/>
        <w:t>De mismo modo define que el  procedimiento  “es el modo de proceder o el método que se implementa para llevar a cabo ciertas cosas, tareas o ejecutar determinadas acciones</w:t>
      </w:r>
      <w:r>
        <w:rPr>
          <w:rFonts w:ascii="Arial" w:cs="Arial" w:hAnsi="Arial"/>
          <w:color w:val="000000"/>
          <w:sz w:val="24"/>
          <w:szCs w:val="24"/>
          <w:shd w:fill="F6F2EF" w:val="clear"/>
        </w:rPr>
        <w:t>”</w:t>
      </w:r>
    </w:p>
    <w:p>
      <w:pPr>
        <w:pStyle w:val="style196"/>
        <w:spacing w:line="360" w:lineRule="auto"/>
        <w:jc w:val="both"/>
      </w:pPr>
      <w:r>
        <w:rPr>
          <w:rFonts w:ascii="Arial" w:cs="Arial" w:hAnsi="Arial"/>
          <w:color w:val="000000"/>
          <w:sz w:val="24"/>
          <w:szCs w:val="20"/>
          <w:shd w:fill="F6F2EF" w:val="clear"/>
        </w:rPr>
        <w:tab/>
      </w:r>
      <w:r>
        <w:rPr>
          <w:rFonts w:ascii="Arial" w:cs="Arial" w:hAnsi="Arial"/>
          <w:color w:val="000000"/>
          <w:sz w:val="24"/>
          <w:szCs w:val="20"/>
        </w:rPr>
        <w:t>Igualmente la página web de definiciones de ABC conceptualiza el manual de procedimientos como</w:t>
      </w:r>
      <w:r>
        <w:rPr>
          <w:rFonts w:ascii="Arial" w:cs="Arial" w:hAnsi="Arial"/>
          <w:color w:val="000000"/>
          <w:sz w:val="24"/>
          <w:szCs w:val="20"/>
          <w:shd w:fill="F6F2EF" w:val="clear"/>
        </w:rPr>
        <w:t xml:space="preserve">: </w:t>
      </w:r>
    </w:p>
    <w:p>
      <w:pPr>
        <w:pStyle w:val="style196"/>
        <w:ind w:hanging="0" w:left="1134" w:right="1185"/>
        <w:jc w:val="both"/>
      </w:pPr>
      <w:r>
        <w:rPr>
          <w:rFonts w:ascii="Arial" w:cs="Arial" w:hAnsi="Arial"/>
          <w:color w:val="000000"/>
          <w:sz w:val="24"/>
          <w:szCs w:val="20"/>
          <w:shd w:fill="F6F2EF" w:val="clear"/>
        </w:rPr>
      </w:r>
    </w:p>
    <w:p>
      <w:pPr>
        <w:pStyle w:val="style196"/>
        <w:ind w:hanging="0" w:left="1134" w:right="1185"/>
        <w:jc w:val="both"/>
      </w:pPr>
      <w:r>
        <w:rPr>
          <w:rFonts w:ascii="Arial" w:cs="Arial" w:eastAsia="Arial" w:hAnsi="Arial"/>
          <w:color w:val="000000"/>
          <w:sz w:val="24"/>
          <w:szCs w:val="20"/>
          <w:shd w:fill="F6F2EF" w:val="clear"/>
        </w:rPr>
        <w:t>“</w:t>
      </w:r>
      <w:r>
        <w:rPr>
          <w:rFonts w:ascii="Arial" w:cs="Arial" w:hAnsi="Arial"/>
          <w:color w:val="000000"/>
          <w:sz w:val="24"/>
          <w:szCs w:val="20"/>
        </w:rPr>
        <w:t>es una herramienta de vital importancia, ya que permitirá no solamente conocer el funcionamiento interno de una unidad administrativa en lo que respecta a descripción de tareas, ubicación, requerimientos y puestos de ejecución, sino que además auxiliará en la capacitación y adiestramiento del personal, siendo una inagotable fuente de consulta y también será muy útil a la hora de revisar y analizar los procedimientos de un sistema</w:t>
      </w:r>
      <w:r>
        <w:rPr>
          <w:rFonts w:ascii="Arial" w:cs="Arial" w:hAnsi="Arial"/>
          <w:color w:val="000000"/>
          <w:sz w:val="24"/>
          <w:szCs w:val="20"/>
          <w:shd w:fill="F6F2EF" w:val="clear"/>
        </w:rPr>
        <w:t>.</w:t>
      </w:r>
      <w:r>
        <w:rPr>
          <w:rStyle w:val="style147"/>
          <w:rFonts w:ascii="Arial" w:cs="Arial" w:hAnsi="Arial"/>
          <w:color w:val="000000"/>
          <w:sz w:val="28"/>
          <w:shd w:fill="F6F2EF" w:val="clear"/>
        </w:rPr>
        <w:t>”</w:t>
      </w:r>
    </w:p>
    <w:p>
      <w:pPr>
        <w:pStyle w:val="style196"/>
        <w:spacing w:line="360" w:lineRule="auto"/>
        <w:jc w:val="both"/>
      </w:pPr>
      <w:r>
        <w:rPr>
          <w:rFonts w:ascii="Arial" w:cs="Arial" w:hAnsi="Arial"/>
          <w:color w:val="000000"/>
          <w:sz w:val="24"/>
          <w:szCs w:val="24"/>
          <w:shd w:fill="FFFFFF" w:val="clear"/>
        </w:rPr>
      </w:r>
    </w:p>
    <w:p>
      <w:pPr>
        <w:pStyle w:val="style196"/>
        <w:spacing w:line="360" w:lineRule="auto"/>
        <w:jc w:val="both"/>
      </w:pPr>
      <w:r>
        <w:rPr>
          <w:rFonts w:ascii="Arial" w:cs="Arial" w:hAnsi="Arial"/>
          <w:color w:val="000000"/>
          <w:sz w:val="24"/>
          <w:szCs w:val="24"/>
          <w:shd w:fill="FFFFFF" w:val="clear"/>
        </w:rPr>
        <w:tab/>
        <w:t>Si bien es cierto que las normas son rígidas, hay que cumplir con lo establecido  a cabalidad, de forzar las normas   trae como consecuencias implicaciones judiciales tales como sanciones y hasta aplicación de multas.  Pero debe existir un método expedito que ayude a las instituciones alcanzar el objetivo cuando aplican las Leyes o reglamentos en atención a los procesos que ha realizado el IUTY para la desincorporación de las chatarras se visualiza que lo mismo no ha tenido éxito porque la Ley de Bienes Público   exige en el artículo 77:</w:t>
      </w:r>
    </w:p>
    <w:p>
      <w:pPr>
        <w:pStyle w:val="style196"/>
        <w:ind w:hanging="0" w:left="1134" w:right="1185"/>
        <w:jc w:val="both"/>
      </w:pPr>
      <w:r>
        <w:rPr>
          <w:rFonts w:ascii="Arial" w:cs="Arial" w:hAnsi="Arial"/>
          <w:color w:val="000000"/>
          <w:sz w:val="24"/>
          <w:szCs w:val="24"/>
        </w:rPr>
      </w:r>
    </w:p>
    <w:p>
      <w:pPr>
        <w:pStyle w:val="style196"/>
        <w:ind w:hanging="0" w:left="1134" w:right="1185"/>
        <w:jc w:val="both"/>
      </w:pPr>
      <w:r>
        <w:rPr>
          <w:rFonts w:ascii="Arial" w:cs="Arial" w:hAnsi="Arial"/>
          <w:color w:val="000000"/>
          <w:sz w:val="24"/>
          <w:szCs w:val="24"/>
        </w:rPr>
        <w:t>Los avalúos de Bienes Públicos realizados con propósitos de enajenación, deberán ser efectuados por peritos de reconocida capacidad e idoneidad técnica, de acuerdo con su profesión y conocimientos prácticos en la materia objeto del avalúo y debidamente inscritos en el Registro de Peritos de la Superintendencia de Bienes Públicos.</w:t>
      </w:r>
    </w:p>
    <w:p>
      <w:pPr>
        <w:pStyle w:val="style196"/>
        <w:spacing w:line="360" w:lineRule="auto"/>
        <w:jc w:val="both"/>
      </w:pPr>
      <w:r>
        <w:rPr>
          <w:rFonts w:ascii="Arial" w:cs="Arial" w:hAnsi="Arial"/>
          <w:color w:val="000000"/>
          <w:sz w:val="24"/>
          <w:szCs w:val="24"/>
          <w:shd w:fill="FFFFFF" w:val="clear"/>
        </w:rPr>
      </w:r>
    </w:p>
    <w:p>
      <w:pPr>
        <w:pStyle w:val="style196"/>
        <w:spacing w:line="360" w:lineRule="auto"/>
        <w:ind w:hanging="0" w:left="0" w:right="51"/>
        <w:jc w:val="both"/>
      </w:pPr>
      <w:r>
        <w:rPr>
          <w:rFonts w:ascii="Arial" w:cs="Arial" w:hAnsi="Arial"/>
          <w:color w:val="000000"/>
          <w:sz w:val="24"/>
          <w:szCs w:val="24"/>
          <w:shd w:fill="FFFFFF" w:val="clear"/>
        </w:rPr>
        <w:tab/>
        <w:t>Siendo este una de las trabas para finalizar el proceso exitosamente por que se han declarados no procedentes o desiertos porque el perito contratado en su oportunidad no estaba avalado por el ente rector la</w:t>
      </w:r>
      <w:r>
        <w:rPr>
          <w:rFonts w:ascii="Arial" w:cs="Arial" w:hAnsi="Arial"/>
          <w:color w:val="000000"/>
          <w:sz w:val="24"/>
          <w:szCs w:val="24"/>
        </w:rPr>
        <w:t xml:space="preserve"> Superintendencia de Bienes Públicos y la contratación de un nuevo perito el costo es oneroso y sobrepasa las ofertas de los compradores, además la institución no está en la disponibilidad de derogar otra cantidad superior a la pagada.</w:t>
      </w:r>
    </w:p>
    <w:p>
      <w:pPr>
        <w:pStyle w:val="style196"/>
        <w:ind w:hanging="0" w:left="0" w:right="49"/>
        <w:jc w:val="both"/>
      </w:pPr>
      <w:r>
        <w:rPr>
          <w:rFonts w:ascii="Arial" w:cs="Arial" w:hAnsi="Arial"/>
          <w:color w:val="000000"/>
          <w:sz w:val="24"/>
          <w:szCs w:val="24"/>
        </w:rPr>
        <w:tab/>
        <w:t>Ahora bien la Ley de Bienes Publico en su  artículo  54  estab</w:t>
      </w:r>
      <w:r>
        <w:rPr>
          <w:rFonts w:ascii="Arial" w:cs="Arial" w:hAnsi="Arial"/>
          <w:color w:val="000000"/>
          <w:sz w:val="24"/>
          <w:szCs w:val="24"/>
          <w:shd w:fill="FFFFFF" w:val="clear"/>
        </w:rPr>
        <w:t xml:space="preserve">lece la asignación de perito en caso especial </w:t>
      </w:r>
    </w:p>
    <w:p>
      <w:pPr>
        <w:pStyle w:val="style196"/>
        <w:ind w:hanging="0" w:left="1134" w:right="1183"/>
        <w:jc w:val="both"/>
      </w:pPr>
      <w:r>
        <w:rPr>
          <w:rFonts w:ascii="Arial" w:cs="Arial" w:hAnsi="Arial"/>
          <w:color w:val="000000"/>
          <w:sz w:val="24"/>
          <w:szCs w:val="24"/>
        </w:rPr>
      </w:r>
    </w:p>
    <w:p>
      <w:pPr>
        <w:pStyle w:val="style196"/>
        <w:ind w:hanging="0" w:left="1134" w:right="1183"/>
        <w:jc w:val="both"/>
      </w:pPr>
      <w:r>
        <w:rPr>
          <w:rFonts w:ascii="Arial" w:cs="Arial" w:hAnsi="Arial"/>
          <w:color w:val="000000"/>
          <w:sz w:val="24"/>
          <w:szCs w:val="24"/>
        </w:rPr>
        <w:t xml:space="preserve">Sin perjuicio de las previsiones legales sobre expropiaciones forzosas, en las distintas operaciones inmobiliarias en las que intervengan los órganos y entes del Sector Público, será obligatorio designar peritos avaluadores para: </w:t>
      </w:r>
    </w:p>
    <w:p>
      <w:pPr>
        <w:pStyle w:val="style196"/>
        <w:ind w:hanging="0" w:left="1134" w:right="1183"/>
        <w:jc w:val="both"/>
      </w:pPr>
      <w:r>
        <w:rPr>
          <w:rFonts w:ascii="Arial" w:cs="Arial" w:hAnsi="Arial"/>
          <w:color w:val="000000"/>
          <w:sz w:val="24"/>
          <w:szCs w:val="24"/>
        </w:rPr>
        <w:t xml:space="preserve">1. Valuar los bienes inmuebles objeto de la operación; 2. Estimar los cánones de arrendamiento que los órganos y entes del Sector Público deban cobrar cuando tengan el carácter de arrendatarios, o pagar cuando tengan el carácter de arrendadores y; </w:t>
      </w:r>
    </w:p>
    <w:p>
      <w:pPr>
        <w:pStyle w:val="style196"/>
        <w:ind w:hanging="0" w:left="1134" w:right="1183"/>
        <w:jc w:val="both"/>
      </w:pPr>
      <w:r>
        <w:rPr>
          <w:rFonts w:ascii="Arial" w:cs="Arial" w:hAnsi="Arial"/>
          <w:color w:val="000000"/>
          <w:sz w:val="24"/>
          <w:szCs w:val="24"/>
        </w:rPr>
        <w:t>3. Realizar cualesquiera justiprecios que fueren necesarios.</w:t>
      </w:r>
    </w:p>
    <w:p>
      <w:pPr>
        <w:pStyle w:val="style196"/>
        <w:ind w:hanging="0" w:left="1134" w:right="1183"/>
        <w:jc w:val="both"/>
      </w:pPr>
      <w:r>
        <w:rPr>
          <w:rFonts w:ascii="Arial" w:cs="Arial" w:hAnsi="Arial"/>
          <w:color w:val="000000"/>
          <w:sz w:val="24"/>
          <w:szCs w:val="24"/>
        </w:rPr>
      </w:r>
    </w:p>
    <w:p>
      <w:pPr>
        <w:pStyle w:val="style196"/>
        <w:spacing w:line="360" w:lineRule="auto"/>
        <w:ind w:hanging="0" w:left="0" w:right="51"/>
        <w:jc w:val="both"/>
      </w:pPr>
      <w:r>
        <w:rPr>
          <w:rFonts w:ascii="Arial" w:cs="Arial" w:hAnsi="Arial"/>
          <w:color w:val="000000"/>
          <w:sz w:val="24"/>
          <w:szCs w:val="24"/>
        </w:rPr>
        <w:tab/>
        <w:t>Por lo antes expuesto en el artículo 54 y por analogía la superintendencia de Bienes Nacionales debe asignar un perito avalador para inicial un nuevo proceso para no causar daño al  presupuesto  vigente de la institución.</w:t>
      </w:r>
    </w:p>
    <w:p>
      <w:pPr>
        <w:pStyle w:val="style196"/>
        <w:pageBreakBefore/>
        <w:spacing w:line="360" w:lineRule="auto"/>
        <w:ind w:hanging="0" w:left="0" w:right="51"/>
        <w:jc w:val="both"/>
      </w:pPr>
      <w:r>
        <w:rPr>
          <w:rStyle w:val="style168"/>
          <w:rFonts w:ascii="Arial" w:cs="Arial" w:hAnsi="Arial"/>
          <w:color w:val="000000"/>
          <w:sz w:val="24"/>
          <w:szCs w:val="24"/>
        </w:rPr>
        <w:t>Ítem 14.</w:t>
      </w:r>
      <w:r>
        <w:rPr>
          <w:rFonts w:ascii="Arial" w:cs="Arial" w:hAnsi="Arial"/>
          <w:color w:val="000000"/>
          <w:sz w:val="24"/>
          <w:szCs w:val="24"/>
        </w:rPr>
        <w:t xml:space="preserve"> ¿Está de acuerdo usted que el Gobierno Nacional implemente la alianza corporativa entre las  Empresas del ramo Siderúrgico con Instituciones de Prestación Servicios  que mantengan Propiedades Plantas y Equipos en fases de obsolescencias, inutilizables, </w:t>
      </w:r>
      <w:r>
        <w:rPr>
          <w:rFonts w:ascii="Arial" w:cs="Arial" w:hAnsi="Arial"/>
          <w:color w:val="000000"/>
          <w:sz w:val="24"/>
          <w:szCs w:val="24"/>
          <w:shd w:fill="FFFFFF" w:val="clear"/>
        </w:rPr>
        <w:t xml:space="preserve">o en mal estado difícil de recuperar como  de  funcionar y estos no sean susceptibles a reparación para que sean recolectados y reciclados como  </w:t>
      </w:r>
      <w:r>
        <w:rPr>
          <w:rFonts w:ascii="Arial" w:cs="Arial" w:hAnsi="Arial"/>
          <w:color w:val="000000"/>
          <w:sz w:val="24"/>
          <w:szCs w:val="24"/>
        </w:rPr>
        <w:t>insumo para la Producción Automotriz y la Construcción Civil en Venezuela?</w:t>
      </w:r>
    </w:p>
    <w:p>
      <w:pPr>
        <w:pStyle w:val="style196"/>
        <w:spacing w:line="360" w:lineRule="auto"/>
        <w:jc w:val="both"/>
      </w:pPr>
      <w:r>
        <w:rPr>
          <w:rFonts w:ascii="Arial" w:cs="Arial" w:hAnsi="Arial"/>
          <w:color w:val="000000"/>
          <w:sz w:val="24"/>
          <w:szCs w:val="24"/>
        </w:rPr>
      </w:r>
    </w:p>
    <w:tbl>
      <w:tblPr>
        <w:jc w:val="center"/>
        <w:tblBorders>
          <w:top w:color="000000" w:space="0" w:sz="4" w:val="single"/>
          <w:left w:color="000000" w:space="0" w:sz="4" w:val="single"/>
          <w:bottom w:color="000000" w:space="0" w:sz="4" w:val="single"/>
          <w:right w:color="000000" w:space="0" w:sz="4" w:val="single"/>
        </w:tblBorders>
      </w:tblPr>
      <w:tblGrid>
        <w:gridCol w:w="5988"/>
      </w:tblGrid>
      <w:tr>
        <w:trPr>
          <w:trHeight w:hRule="atLeast" w:val="315"/>
          <w:cantSplit w:val="false"/>
        </w:trPr>
        <w:tc>
          <w:tcPr>
            <w:tcW w:type="dxa" w:w="5988"/>
            <w:gridSpan w:val="4"/>
            <w:tcBorders>
              <w:top w:color="000000" w:space="0" w:sz="4" w:val="single"/>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197"/>
              <w:shd w:fill="FFFFFF" w:val="clear"/>
              <w:spacing w:after="120" w:before="120" w:line="360" w:lineRule="auto"/>
              <w:jc w:val="center"/>
            </w:pPr>
            <w:r>
              <w:rPr>
                <w:rFonts w:ascii="Arial" w:cs="Arial" w:hAnsi="Arial"/>
                <w:b/>
                <w:color w:val="000000"/>
              </w:rPr>
              <w:t>Cuadro  17</w:t>
            </w:r>
          </w:p>
          <w:p>
            <w:pPr>
              <w:pStyle w:val="style0"/>
              <w:spacing w:after="200" w:before="0" w:line="360" w:lineRule="auto"/>
              <w:jc w:val="both"/>
            </w:pPr>
            <w:r>
              <w:rPr>
                <w:rFonts w:ascii="Arial" w:cs="Arial" w:hAnsi="Arial"/>
                <w:b/>
                <w:sz w:val="24"/>
                <w:szCs w:val="24"/>
              </w:rPr>
              <w:t xml:space="preserve">Consentimiento para </w:t>
            </w:r>
            <w:r>
              <w:rPr>
                <w:rFonts w:ascii="Arial" w:cs="Arial" w:hAnsi="Arial"/>
                <w:b/>
                <w:color w:val="000000"/>
                <w:sz w:val="24"/>
                <w:szCs w:val="24"/>
              </w:rPr>
              <w:t>que el Gobierno Nacional implemente la alianza corporativa entre las  Empresas del ramo Siderúrgico con Instituciones de Prestación Servicios  que mantengan chatarras</w:t>
            </w:r>
            <w:r>
              <w:rPr>
                <w:rFonts w:ascii="Arial" w:cs="Arial" w:hAnsi="Arial"/>
                <w:b/>
                <w:color w:val="000000"/>
                <w:sz w:val="24"/>
                <w:szCs w:val="24"/>
                <w:shd w:fill="FFFFFF" w:val="clear"/>
              </w:rPr>
              <w:t xml:space="preserve"> y estos sean recolectados y reciclados como  </w:t>
            </w:r>
            <w:r>
              <w:rPr>
                <w:rFonts w:ascii="Arial" w:cs="Arial" w:hAnsi="Arial"/>
                <w:b/>
                <w:color w:val="000000"/>
                <w:sz w:val="24"/>
                <w:szCs w:val="24"/>
              </w:rPr>
              <w:t>insumo para la Producción Automotriz y la Construcción Civil en Venezuela</w:t>
            </w:r>
          </w:p>
        </w:tc>
      </w:tr>
      <w:tr>
        <w:trPr>
          <w:trHeight w:hRule="atLeast" w:val="315"/>
          <w:cantSplit w:val="false"/>
        </w:trPr>
        <w:tc>
          <w:tcPr>
            <w:tcW w:type="dxa" w:w="1080"/>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b/>
                <w:szCs w:val="20"/>
              </w:rPr>
              <w:t>Ítem</w:t>
            </w:r>
          </w:p>
        </w:tc>
        <w:tc>
          <w:tcPr>
            <w:tcW w:type="dxa" w:w="1938"/>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b/>
                <w:szCs w:val="20"/>
              </w:rPr>
              <w:t>Opciones  de Repuestas</w:t>
            </w:r>
          </w:p>
        </w:tc>
        <w:tc>
          <w:tcPr>
            <w:tcW w:type="dxa" w:w="1760"/>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b/>
                <w:szCs w:val="20"/>
              </w:rPr>
              <w:t>Frecuencia</w:t>
            </w:r>
          </w:p>
        </w:tc>
        <w:tc>
          <w:tcPr>
            <w:tcW w:type="dxa" w:w="1210"/>
            <w:tcBorders>
              <w:top w:color="000000" w:space="0" w:sz="4" w:val="single"/>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b/>
                <w:szCs w:val="20"/>
              </w:rPr>
              <w:t>Valor %</w:t>
            </w:r>
          </w:p>
        </w:tc>
      </w:tr>
      <w:tr>
        <w:trPr>
          <w:trHeight w:hRule="atLeast" w:val="300"/>
          <w:cantSplit w:val="false"/>
        </w:trPr>
        <w:tc>
          <w:tcPr>
            <w:tcW w:type="dxa" w:w="108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rPr>
              <w:t>A</w:t>
            </w:r>
          </w:p>
        </w:tc>
        <w:tc>
          <w:tcPr>
            <w:tcW w:type="dxa" w:w="1938"/>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color w:val="000000"/>
              </w:rPr>
              <w:t>No contestó</w:t>
            </w:r>
          </w:p>
        </w:tc>
        <w:tc>
          <w:tcPr>
            <w:tcW w:type="dxa" w:w="176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rPr>
              <w:t>0</w:t>
            </w:r>
          </w:p>
        </w:tc>
        <w:tc>
          <w:tcPr>
            <w:tcW w:type="dxa" w:w="121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rPr>
              <w:t>0%</w:t>
            </w:r>
          </w:p>
        </w:tc>
      </w:tr>
      <w:tr>
        <w:trPr>
          <w:trHeight w:hRule="atLeast" w:val="300"/>
          <w:cantSplit w:val="false"/>
        </w:trPr>
        <w:tc>
          <w:tcPr>
            <w:tcW w:type="dxa" w:w="108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rPr>
              <w:t>B</w:t>
            </w:r>
          </w:p>
        </w:tc>
        <w:tc>
          <w:tcPr>
            <w:tcW w:type="dxa" w:w="1938"/>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color w:val="000000"/>
              </w:rPr>
              <w:t>Siempre</w:t>
            </w:r>
          </w:p>
        </w:tc>
        <w:tc>
          <w:tcPr>
            <w:tcW w:type="dxa" w:w="176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rPr>
              <w:t>19</w:t>
            </w:r>
          </w:p>
        </w:tc>
        <w:tc>
          <w:tcPr>
            <w:tcW w:type="dxa" w:w="121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rPr>
              <w:t>100%</w:t>
            </w:r>
          </w:p>
        </w:tc>
      </w:tr>
      <w:tr>
        <w:trPr>
          <w:trHeight w:hRule="atLeast" w:val="300"/>
          <w:cantSplit w:val="false"/>
        </w:trPr>
        <w:tc>
          <w:tcPr>
            <w:tcW w:type="dxa" w:w="108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rPr>
              <w:t>C</w:t>
            </w:r>
          </w:p>
        </w:tc>
        <w:tc>
          <w:tcPr>
            <w:tcW w:type="dxa" w:w="1938"/>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color w:val="000000"/>
              </w:rPr>
              <w:t>Casi siempre</w:t>
            </w:r>
          </w:p>
        </w:tc>
        <w:tc>
          <w:tcPr>
            <w:tcW w:type="dxa" w:w="176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rPr>
              <w:t>0</w:t>
            </w:r>
          </w:p>
        </w:tc>
        <w:tc>
          <w:tcPr>
            <w:tcW w:type="dxa" w:w="121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rPr>
              <w:t>0%</w:t>
            </w:r>
          </w:p>
        </w:tc>
      </w:tr>
      <w:tr>
        <w:trPr>
          <w:trHeight w:hRule="atLeast" w:val="300"/>
          <w:cantSplit w:val="false"/>
        </w:trPr>
        <w:tc>
          <w:tcPr>
            <w:tcW w:type="dxa" w:w="108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rPr>
              <w:t>D</w:t>
            </w:r>
          </w:p>
        </w:tc>
        <w:tc>
          <w:tcPr>
            <w:tcW w:type="dxa" w:w="1938"/>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color w:val="000000"/>
              </w:rPr>
              <w:t>A veces</w:t>
            </w:r>
          </w:p>
        </w:tc>
        <w:tc>
          <w:tcPr>
            <w:tcW w:type="dxa" w:w="176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rPr>
              <w:t>0</w:t>
            </w:r>
          </w:p>
        </w:tc>
        <w:tc>
          <w:tcPr>
            <w:tcW w:type="dxa" w:w="121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rPr>
              <w:t>0%</w:t>
            </w:r>
          </w:p>
        </w:tc>
      </w:tr>
      <w:tr>
        <w:trPr>
          <w:trHeight w:hRule="atLeast" w:val="244"/>
          <w:cantSplit w:val="false"/>
        </w:trPr>
        <w:tc>
          <w:tcPr>
            <w:tcW w:type="dxa" w:w="108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rPr>
              <w:t>E</w:t>
            </w:r>
          </w:p>
        </w:tc>
        <w:tc>
          <w:tcPr>
            <w:tcW w:type="dxa" w:w="1938"/>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color w:val="000000"/>
              </w:rPr>
              <w:t>Casi Nunca</w:t>
            </w:r>
          </w:p>
        </w:tc>
        <w:tc>
          <w:tcPr>
            <w:tcW w:type="dxa" w:w="176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rPr>
              <w:t>0</w:t>
            </w:r>
          </w:p>
        </w:tc>
        <w:tc>
          <w:tcPr>
            <w:tcW w:type="dxa" w:w="121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rPr>
              <w:t>0%</w:t>
            </w:r>
          </w:p>
        </w:tc>
      </w:tr>
      <w:tr>
        <w:trPr>
          <w:trHeight w:hRule="atLeast" w:val="308"/>
          <w:cantSplit w:val="false"/>
        </w:trPr>
        <w:tc>
          <w:tcPr>
            <w:tcW w:type="dxa" w:w="108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rPr>
              <w:t>F</w:t>
            </w:r>
          </w:p>
        </w:tc>
        <w:tc>
          <w:tcPr>
            <w:tcW w:type="dxa" w:w="1938"/>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color w:val="000000"/>
              </w:rPr>
              <w:t>Nunca</w:t>
            </w:r>
          </w:p>
        </w:tc>
        <w:tc>
          <w:tcPr>
            <w:tcW w:type="dxa" w:w="176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rPr>
              <w:t>0</w:t>
            </w:r>
          </w:p>
        </w:tc>
        <w:tc>
          <w:tcPr>
            <w:tcW w:type="dxa" w:w="121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rPr>
              <w:t>0%</w:t>
            </w:r>
          </w:p>
        </w:tc>
      </w:tr>
      <w:tr>
        <w:trPr>
          <w:trHeight w:hRule="atLeast" w:val="300"/>
          <w:cantSplit w:val="false"/>
        </w:trPr>
        <w:tc>
          <w:tcPr>
            <w:tcW w:type="dxa" w:w="1080"/>
            <w:tcBorders>
              <w:top w:color="000000" w:space="0" w:sz="4" w:val="single"/>
            </w:tcBorders>
            <w:shd w:fill="auto" w:val="clear"/>
            <w:tcMar>
              <w:top w:type="dxa" w:w="0"/>
              <w:left w:type="dxa" w:w="70"/>
              <w:bottom w:type="dxa" w:w="0"/>
              <w:right w:type="dxa" w:w="70"/>
            </w:tcMar>
            <w:vAlign w:val="bottom"/>
          </w:tcPr>
          <w:p>
            <w:pPr>
              <w:pStyle w:val="style0"/>
              <w:snapToGrid w:val="false"/>
              <w:spacing w:after="200" w:before="0" w:line="240" w:lineRule="auto"/>
            </w:pPr>
            <w:r>
              <w:rPr>
                <w:rFonts w:ascii="Arial" w:cs="Arial" w:hAnsi="Arial"/>
                <w:color w:val="000000"/>
                <w:lang w:eastAsia="es-VE" w:val="es-VE"/>
              </w:rPr>
            </w:r>
          </w:p>
        </w:tc>
        <w:p>
          <w:pPr>
            <w:pStyle w:val="style0"/>
            <w:spacing w:after="200" w:before="0"/>
          </w:pPr>
          <w:r>
            <w:rPr>
              <w:rFonts w:ascii="Arial" w:cs="Arial" w:hAnsi="Arial"/>
            </w:rPr>
            <w:t>Fuente: Mendoza (2015)</w:t>
          </w:r>
        </w:p>
        <w:tc>
          <w:tcPr>
            <w:tcW w:type="dxa" w:w="1938"/>
            <w:tcBorders>
              <w:top w:color="000000" w:space="0" w:sz="4" w:val="single"/>
            </w:tcBorders>
            <w:shd w:fill="auto" w:val="clear"/>
            <w:tcMar>
              <w:top w:type="dxa" w:w="0"/>
              <w:left w:type="dxa" w:w="70"/>
              <w:bottom w:type="dxa" w:w="0"/>
              <w:right w:type="dxa" w:w="70"/>
            </w:tcMar>
            <w:vAlign w:val="bottom"/>
          </w:tcPr>
          <w:p>
            <w:pPr>
              <w:pStyle w:val="style0"/>
              <w:snapToGrid w:val="false"/>
              <w:spacing w:after="200" w:before="0" w:line="240" w:lineRule="auto"/>
            </w:pPr>
            <w:r>
              <w:rPr>
                <w:rFonts w:ascii="Arial" w:cs="Arial" w:hAnsi="Arial"/>
                <w:color w:val="000000"/>
              </w:rPr>
            </w:r>
          </w:p>
        </w:tc>
        <w:tc>
          <w:tcPr>
            <w:tcW w:type="dxa" w:w="1760"/>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rPr>
              <w:t>19</w:t>
            </w:r>
          </w:p>
        </w:tc>
        <w:tc>
          <w:tcPr>
            <w:tcW w:type="dxa" w:w="1210"/>
            <w:tcBorders>
              <w:top w:color="000000" w:space="0" w:sz="4" w:val="single"/>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rPr>
              <w:t>100%</w:t>
            </w:r>
          </w:p>
        </w:tc>
      </w:tr>
    </w:tbl>
    <w:p>
      <w:pPr>
        <w:pStyle w:val="style196"/>
        <w:spacing w:line="360" w:lineRule="auto"/>
        <w:jc w:val="both"/>
      </w:pPr>
      <w:r>
        <w:rPr>
          <w:rStyle w:val="style168"/>
          <w:rFonts w:ascii="Arial" w:cs="Arial" w:hAnsi="Arial"/>
          <w:color w:val="000000"/>
          <w:sz w:val="24"/>
          <w:szCs w:val="24"/>
          <w:lang w:eastAsia="es-VE" w:val="es-VE"/>
        </w:rPr>
        <w:drawing>
          <wp:inline distB="0" distL="0" distR="0" distT="0">
            <wp:extent cx="5255260" cy="1233170"/>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47"/>
                    <a:srcRect/>
                    <a:stretch>
                      <a:fillRect/>
                    </a:stretch>
                  </pic:blipFill>
                  <pic:spPr bwMode="auto">
                    <a:xfrm>
                      <a:off x="0" y="0"/>
                      <a:ext cx="5255260" cy="1233170"/>
                    </a:xfrm>
                    <a:prstGeom prst="rect">
                      <a:avLst/>
                    </a:prstGeom>
                    <a:noFill/>
                    <a:ln w="9525">
                      <a:noFill/>
                      <a:miter lim="800000"/>
                      <a:headEnd/>
                      <a:tailEnd/>
                    </a:ln>
                  </pic:spPr>
                </pic:pic>
              </a:graphicData>
            </a:graphic>
          </wp:inline>
        </w:drawing>
      </w:r>
    </w:p>
    <w:p>
      <w:pPr>
        <w:pStyle w:val="style0"/>
        <w:spacing w:after="200" w:before="0"/>
      </w:pPr>
      <w:r>
        <w:rPr>
          <w:rFonts w:ascii="Arial" w:cs="Arial" w:hAnsi="Arial"/>
        </w:rPr>
        <w:t>Fuente: Mendoza (2015)</w:t>
      </w:r>
    </w:p>
    <w:p>
      <w:pPr>
        <w:pStyle w:val="style197"/>
        <w:spacing w:after="0" w:before="0"/>
        <w:jc w:val="both"/>
      </w:pPr>
      <w:r>
        <w:rPr>
          <w:rFonts w:ascii="Arial" w:cs="Arial" w:hAnsi="Arial"/>
          <w:b/>
          <w:bCs/>
          <w:color w:val="000000"/>
        </w:rPr>
        <w:t xml:space="preserve">Gráfico 14 </w:t>
      </w:r>
      <w:r>
        <w:rPr>
          <w:rFonts w:ascii="Arial" w:cs="Arial" w:hAnsi="Arial"/>
          <w:b/>
        </w:rPr>
        <w:t xml:space="preserve">Consentimiento para </w:t>
      </w:r>
      <w:r>
        <w:rPr>
          <w:rFonts w:ascii="Arial" w:cs="Arial" w:hAnsi="Arial"/>
          <w:b/>
          <w:color w:val="000000"/>
        </w:rPr>
        <w:t>que el Gobierno Nacional implemente la alianza corporativa entre las  Empresas del ramo Siderúrgico con Instituciones de Prestación Servicios  que mantengan chatarras</w:t>
      </w:r>
      <w:r>
        <w:rPr>
          <w:rFonts w:ascii="Arial" w:cs="Arial" w:hAnsi="Arial"/>
          <w:b/>
          <w:color w:val="000000"/>
          <w:shd w:fill="FFFFFF" w:val="clear"/>
        </w:rPr>
        <w:t xml:space="preserve"> y estos sean recolectados y reciclados como  </w:t>
      </w:r>
      <w:r>
        <w:rPr>
          <w:rFonts w:ascii="Arial" w:cs="Arial" w:hAnsi="Arial"/>
          <w:b/>
          <w:color w:val="000000"/>
        </w:rPr>
        <w:t xml:space="preserve">insumo para la Producción Automotriz y la Construcción Civil en Venezuela  </w:t>
      </w:r>
    </w:p>
    <w:p>
      <w:pPr>
        <w:pStyle w:val="style197"/>
        <w:spacing w:after="0" w:before="0"/>
        <w:jc w:val="both"/>
      </w:pPr>
      <w:r>
        <w:rPr/>
      </w:r>
    </w:p>
    <w:p>
      <w:pPr>
        <w:pStyle w:val="style196"/>
        <w:spacing w:line="360" w:lineRule="auto"/>
        <w:jc w:val="both"/>
      </w:pPr>
      <w:r>
        <w:rPr>
          <w:rStyle w:val="style168"/>
          <w:rFonts w:ascii="Arial" w:cs="Arial" w:hAnsi="Arial"/>
          <w:b/>
          <w:color w:val="000000"/>
          <w:sz w:val="24"/>
          <w:szCs w:val="24"/>
          <w:shd w:fill="FFFFFF" w:val="clear"/>
        </w:rPr>
        <w:t xml:space="preserve">Análisis: </w:t>
      </w:r>
      <w:r>
        <w:rPr>
          <w:rStyle w:val="style168"/>
          <w:rFonts w:ascii="Arial" w:cs="Arial" w:hAnsi="Arial"/>
          <w:color w:val="000000"/>
          <w:sz w:val="24"/>
          <w:szCs w:val="24"/>
          <w:shd w:fill="FFFFFF" w:val="clear"/>
        </w:rPr>
        <w:t>Según los resultados obtenidos en la aplicación de las encuestas el 100% de los encuestado respondió´ que si está de acuerdo  que se implemente la alianza entre la empresa Siderúrgica  con las instituciones públicas que preste servicio.</w:t>
      </w:r>
    </w:p>
    <w:p>
      <w:pPr>
        <w:pStyle w:val="style196"/>
        <w:spacing w:line="360" w:lineRule="auto"/>
        <w:jc w:val="both"/>
      </w:pPr>
      <w:r>
        <w:rPr>
          <w:rFonts w:ascii="Verdana" w:cs="Verdana" w:eastAsia="Verdana" w:hAnsi="Verdana"/>
          <w:color w:val="000000"/>
          <w:shd w:fill="FFFFFF" w:val="clear"/>
        </w:rPr>
        <w:t xml:space="preserve"> </w:t>
      </w:r>
      <w:r>
        <w:rPr>
          <w:rFonts w:ascii="Verdana" w:cs="Verdana" w:hAnsi="Verdana"/>
          <w:color w:val="000000"/>
          <w:shd w:fill="FFFFFF" w:val="clear"/>
        </w:rPr>
        <w:tab/>
      </w:r>
      <w:r>
        <w:rPr>
          <w:rFonts w:ascii="Arial" w:cs="Arial" w:hAnsi="Arial"/>
          <w:color w:val="000000"/>
          <w:sz w:val="24"/>
          <w:szCs w:val="24"/>
          <w:shd w:fill="FFFFFF" w:val="clear"/>
        </w:rPr>
        <w:t>Sobre la definición de  Alianza Estratégica la pagina de Gestión Ciencias Económicas y Comerciales señala que   “es una asociación entre dos o más empresas que unen recursos y experiencias para desarrollar una actividad específica, crear sinergias de grupo o como una opción estratégica para el crecimiento”.</w:t>
      </w:r>
    </w:p>
    <w:p>
      <w:pPr>
        <w:pStyle w:val="style196"/>
        <w:spacing w:line="360" w:lineRule="auto"/>
        <w:jc w:val="both"/>
      </w:pPr>
      <w:r>
        <w:rPr>
          <w:rFonts w:ascii="Arial" w:cs="Arial" w:hAnsi="Arial"/>
          <w:color w:val="000000"/>
          <w:sz w:val="24"/>
          <w:szCs w:val="24"/>
          <w:shd w:fill="FFFFFF" w:val="clear"/>
        </w:rPr>
        <w:tab/>
        <w:t xml:space="preserve">De igual forma expresa que las Alianzas Estratégicas se establecen normalmente entre empresas competidoras o que producen productos o servicios complementarios. Los sectores de actividad  que han tenido particular relevancia son los sectores de las áreas de tecnología </w:t>
      </w:r>
    </w:p>
    <w:p>
      <w:pPr>
        <w:pStyle w:val="style196"/>
        <w:spacing w:line="360" w:lineRule="auto"/>
        <w:jc w:val="both"/>
      </w:pPr>
      <w:r>
        <w:rPr>
          <w:rFonts w:ascii="Arial" w:cs="Arial" w:hAnsi="Arial"/>
          <w:color w:val="000000"/>
          <w:sz w:val="24"/>
          <w:szCs w:val="24"/>
          <w:shd w:fill="FFFFFF" w:val="clear"/>
        </w:rPr>
        <w:tab/>
        <w:t>En esta definición encaja ambas instituciones puesto que la empresa siderúrgica es una organización dedicada al ramo tecnológico y el IUTY es una institución formadora de técnico especializado en diferente carrera, la intención es buscar el intercambio entre ambas empresas para generar  un servicio complementario para el bienestar de la nación con respecto a los programas sociales (Construcción Civil y Automotriz)</w:t>
      </w:r>
    </w:p>
    <w:p>
      <w:pPr>
        <w:pStyle w:val="style196"/>
        <w:spacing w:line="360" w:lineRule="auto"/>
        <w:jc w:val="both"/>
      </w:pPr>
      <w:r>
        <w:rPr>
          <w:rStyle w:val="style168"/>
          <w:rFonts w:ascii="Arial" w:cs="Arial" w:hAnsi="Arial"/>
          <w:color w:val="000000"/>
          <w:sz w:val="24"/>
          <w:szCs w:val="24"/>
        </w:rPr>
        <w:t>Ítem 15.</w:t>
      </w:r>
      <w:r>
        <w:rPr>
          <w:rFonts w:ascii="Arial" w:cs="Arial" w:hAnsi="Arial"/>
          <w:color w:val="000000"/>
          <w:sz w:val="24"/>
          <w:szCs w:val="24"/>
        </w:rPr>
        <w:t xml:space="preserve"> ¿Será  conveniente realizar un plan anual de retiro o  desincorporación de Propiedad, Planta y Equipo en fases de obsolescencia, inutilizable, </w:t>
      </w:r>
      <w:r>
        <w:rPr>
          <w:rFonts w:ascii="Arial" w:cs="Arial" w:hAnsi="Arial"/>
          <w:color w:val="000000"/>
          <w:sz w:val="24"/>
          <w:szCs w:val="24"/>
          <w:shd w:fill="FFFFFF" w:val="clear"/>
        </w:rPr>
        <w:t>o en mal estado difícil de recuperar como  de  funcionar y estos no sean susceptibles a reparación para no mantener gran cantidad  de materiales inservibles y así mantener  depurado los estados financieros</w:t>
      </w:r>
      <w:r>
        <w:rPr>
          <w:rFonts w:ascii="Arial" w:cs="Arial" w:hAnsi="Arial"/>
          <w:color w:val="000000"/>
          <w:sz w:val="24"/>
          <w:szCs w:val="24"/>
        </w:rPr>
        <w:t>?</w:t>
      </w:r>
    </w:p>
    <w:p>
      <w:pPr>
        <w:pStyle w:val="style196"/>
        <w:jc w:val="both"/>
      </w:pPr>
      <w:r>
        <w:rPr>
          <w:rFonts w:ascii="Arial" w:cs="Arial" w:hAnsi="Arial"/>
          <w:color w:val="000000"/>
          <w:sz w:val="24"/>
          <w:szCs w:val="24"/>
        </w:rPr>
      </w:r>
    </w:p>
    <w:p>
      <w:pPr>
        <w:pStyle w:val="style196"/>
        <w:jc w:val="both"/>
      </w:pPr>
      <w:r>
        <w:rPr>
          <w:rFonts w:ascii="Arial" w:cs="Arial" w:hAnsi="Arial"/>
          <w:color w:val="000000"/>
          <w:sz w:val="24"/>
          <w:szCs w:val="24"/>
        </w:rPr>
      </w:r>
    </w:p>
    <w:tbl>
      <w:tblPr>
        <w:jc w:val="center"/>
        <w:tblBorders>
          <w:top w:color="000000" w:space="0" w:sz="4" w:val="single"/>
          <w:left w:color="000000" w:space="0" w:sz="4" w:val="single"/>
          <w:bottom w:color="000000" w:space="0" w:sz="4" w:val="single"/>
          <w:right w:color="000000" w:space="0" w:sz="4" w:val="single"/>
        </w:tblBorders>
      </w:tblPr>
      <w:tblGrid>
        <w:gridCol w:w="6272"/>
      </w:tblGrid>
      <w:tr>
        <w:trPr>
          <w:trHeight w:hRule="atLeast" w:val="315"/>
          <w:cantSplit w:val="false"/>
        </w:trPr>
        <w:tc>
          <w:tcPr>
            <w:tcW w:type="dxa" w:w="6272"/>
            <w:gridSpan w:val="4"/>
            <w:tcBorders>
              <w:top w:color="000000" w:space="0" w:sz="4" w:val="single"/>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197"/>
              <w:shd w:fill="FFFFFF" w:val="clear"/>
              <w:spacing w:after="120" w:before="120" w:line="360" w:lineRule="auto"/>
              <w:jc w:val="center"/>
            </w:pPr>
            <w:r>
              <w:rPr>
                <w:rFonts w:ascii="Arial" w:cs="Arial" w:hAnsi="Arial"/>
                <w:b/>
                <w:color w:val="000000"/>
              </w:rPr>
              <w:t>Cuadro  18</w:t>
            </w:r>
          </w:p>
          <w:p>
            <w:pPr>
              <w:pStyle w:val="style197"/>
              <w:shd w:fill="FFFFFF" w:val="clear"/>
              <w:spacing w:after="120" w:before="120" w:line="360" w:lineRule="auto"/>
              <w:jc w:val="both"/>
            </w:pPr>
            <w:r>
              <w:rPr>
                <w:rFonts w:ascii="Arial" w:cs="Arial" w:hAnsi="Arial"/>
                <w:b/>
                <w:color w:val="000000"/>
              </w:rPr>
              <w:t xml:space="preserve">Conocimiento para implementar un plan anual de retiro o  desincorporación de Propiedad, Planta y Equipo en fases de obsolescencia, inutilizable, </w:t>
            </w:r>
            <w:r>
              <w:rPr>
                <w:rFonts w:ascii="Arial" w:cs="Arial" w:hAnsi="Arial"/>
                <w:b/>
                <w:color w:val="000000"/>
                <w:shd w:fill="FFFFFF" w:val="clear"/>
              </w:rPr>
              <w:t>o en mal estado difícil de recuperar como  de  funcionar y estos no sean susceptibles a reparación y así mantener  depurado los estados financieros</w:t>
            </w:r>
          </w:p>
        </w:tc>
      </w:tr>
      <w:tr>
        <w:trPr>
          <w:trHeight w:hRule="atLeast" w:val="315"/>
          <w:cantSplit w:val="false"/>
        </w:trPr>
        <w:tc>
          <w:tcPr>
            <w:tcW w:type="dxa" w:w="714"/>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b/>
                <w:szCs w:val="20"/>
              </w:rPr>
              <w:t>Ítem</w:t>
            </w:r>
          </w:p>
        </w:tc>
        <w:tc>
          <w:tcPr>
            <w:tcW w:type="dxa" w:w="2348"/>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b/>
                <w:szCs w:val="20"/>
              </w:rPr>
              <w:t>Opciones  de Repuestas</w:t>
            </w:r>
          </w:p>
        </w:tc>
        <w:tc>
          <w:tcPr>
            <w:tcW w:type="dxa" w:w="2000"/>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b/>
                <w:szCs w:val="20"/>
              </w:rPr>
              <w:t>Frecuencia</w:t>
            </w:r>
          </w:p>
        </w:tc>
        <w:tc>
          <w:tcPr>
            <w:tcW w:type="dxa" w:w="1210"/>
            <w:tcBorders>
              <w:top w:color="000000" w:space="0" w:sz="4" w:val="single"/>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b/>
                <w:szCs w:val="20"/>
              </w:rPr>
              <w:t>Valor %</w:t>
            </w:r>
          </w:p>
        </w:tc>
      </w:tr>
      <w:tr>
        <w:trPr>
          <w:trHeight w:hRule="atLeast" w:val="300"/>
          <w:cantSplit w:val="false"/>
        </w:trPr>
        <w:tc>
          <w:tcPr>
            <w:tcW w:type="dxa" w:w="714"/>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sz w:val="24"/>
              </w:rPr>
              <w:t>A</w:t>
            </w:r>
          </w:p>
        </w:tc>
        <w:tc>
          <w:tcPr>
            <w:tcW w:type="dxa" w:w="2348"/>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color w:val="000000"/>
                <w:sz w:val="24"/>
              </w:rPr>
              <w:t>No contestó</w:t>
            </w:r>
          </w:p>
        </w:tc>
        <w:tc>
          <w:tcPr>
            <w:tcW w:type="dxa" w:w="200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rPr>
              <w:t>0</w:t>
            </w:r>
          </w:p>
        </w:tc>
        <w:tc>
          <w:tcPr>
            <w:tcW w:type="dxa" w:w="121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rPr>
              <w:t>0%</w:t>
            </w:r>
          </w:p>
        </w:tc>
      </w:tr>
      <w:tr>
        <w:trPr>
          <w:trHeight w:hRule="atLeast" w:val="300"/>
          <w:cantSplit w:val="false"/>
        </w:trPr>
        <w:tc>
          <w:tcPr>
            <w:tcW w:type="dxa" w:w="714"/>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sz w:val="24"/>
              </w:rPr>
              <w:t>B</w:t>
            </w:r>
          </w:p>
        </w:tc>
        <w:tc>
          <w:tcPr>
            <w:tcW w:type="dxa" w:w="2348"/>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color w:val="000000"/>
                <w:sz w:val="24"/>
              </w:rPr>
              <w:t>Siempre</w:t>
            </w:r>
          </w:p>
        </w:tc>
        <w:tc>
          <w:tcPr>
            <w:tcW w:type="dxa" w:w="200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rPr>
              <w:t>15</w:t>
            </w:r>
          </w:p>
        </w:tc>
        <w:tc>
          <w:tcPr>
            <w:tcW w:type="dxa" w:w="121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rPr>
              <w:t>79%</w:t>
            </w:r>
          </w:p>
        </w:tc>
      </w:tr>
      <w:tr>
        <w:trPr>
          <w:trHeight w:hRule="atLeast" w:val="300"/>
          <w:cantSplit w:val="false"/>
        </w:trPr>
        <w:tc>
          <w:tcPr>
            <w:tcW w:type="dxa" w:w="714"/>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sz w:val="24"/>
              </w:rPr>
              <w:t>C</w:t>
            </w:r>
          </w:p>
        </w:tc>
        <w:tc>
          <w:tcPr>
            <w:tcW w:type="dxa" w:w="2348"/>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color w:val="000000"/>
                <w:sz w:val="24"/>
              </w:rPr>
              <w:t>Casi siempre</w:t>
            </w:r>
          </w:p>
        </w:tc>
        <w:tc>
          <w:tcPr>
            <w:tcW w:type="dxa" w:w="200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rPr>
              <w:t>4</w:t>
            </w:r>
          </w:p>
        </w:tc>
        <w:tc>
          <w:tcPr>
            <w:tcW w:type="dxa" w:w="121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rPr>
              <w:t>21%</w:t>
            </w:r>
          </w:p>
        </w:tc>
      </w:tr>
      <w:tr>
        <w:trPr>
          <w:trHeight w:hRule="atLeast" w:val="300"/>
          <w:cantSplit w:val="false"/>
        </w:trPr>
        <w:tc>
          <w:tcPr>
            <w:tcW w:type="dxa" w:w="714"/>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sz w:val="24"/>
              </w:rPr>
              <w:t>D</w:t>
            </w:r>
          </w:p>
        </w:tc>
        <w:tc>
          <w:tcPr>
            <w:tcW w:type="dxa" w:w="2348"/>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color w:val="000000"/>
                <w:sz w:val="24"/>
              </w:rPr>
              <w:t>A veces</w:t>
            </w:r>
          </w:p>
        </w:tc>
        <w:tc>
          <w:tcPr>
            <w:tcW w:type="dxa" w:w="200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rPr>
              <w:t>0</w:t>
            </w:r>
          </w:p>
        </w:tc>
        <w:tc>
          <w:tcPr>
            <w:tcW w:type="dxa" w:w="121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rPr>
              <w:t>0%</w:t>
            </w:r>
          </w:p>
        </w:tc>
      </w:tr>
      <w:tr>
        <w:trPr>
          <w:trHeight w:hRule="atLeast" w:val="300"/>
          <w:cantSplit w:val="false"/>
        </w:trPr>
        <w:tc>
          <w:tcPr>
            <w:tcW w:type="dxa" w:w="714"/>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sz w:val="24"/>
              </w:rPr>
              <w:t>E</w:t>
            </w:r>
          </w:p>
        </w:tc>
        <w:tc>
          <w:tcPr>
            <w:tcW w:type="dxa" w:w="2348"/>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color w:val="000000"/>
                <w:sz w:val="24"/>
              </w:rPr>
              <w:t>Casi Nunca</w:t>
            </w:r>
          </w:p>
        </w:tc>
        <w:tc>
          <w:tcPr>
            <w:tcW w:type="dxa" w:w="200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rPr>
              <w:t>0</w:t>
            </w:r>
          </w:p>
        </w:tc>
        <w:tc>
          <w:tcPr>
            <w:tcW w:type="dxa" w:w="121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rPr>
              <w:t>0%</w:t>
            </w:r>
          </w:p>
        </w:tc>
      </w:tr>
      <w:tr>
        <w:trPr>
          <w:trHeight w:hRule="atLeast" w:val="300"/>
          <w:cantSplit w:val="false"/>
        </w:trPr>
        <w:tc>
          <w:tcPr>
            <w:tcW w:type="dxa" w:w="714"/>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sz w:val="24"/>
              </w:rPr>
              <w:t>F</w:t>
            </w:r>
          </w:p>
        </w:tc>
        <w:tc>
          <w:tcPr>
            <w:tcW w:type="dxa" w:w="2348"/>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color w:val="000000"/>
                <w:sz w:val="24"/>
              </w:rPr>
              <w:t>Nunca</w:t>
            </w:r>
          </w:p>
        </w:tc>
        <w:tc>
          <w:tcPr>
            <w:tcW w:type="dxa" w:w="200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rPr>
              <w:t>0</w:t>
            </w:r>
          </w:p>
        </w:tc>
        <w:tc>
          <w:tcPr>
            <w:tcW w:type="dxa" w:w="121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rPr>
              <w:t>0%</w:t>
            </w:r>
          </w:p>
        </w:tc>
      </w:tr>
      <w:tr>
        <w:trPr>
          <w:trHeight w:hRule="atLeast" w:val="300"/>
          <w:cantSplit w:val="false"/>
        </w:trPr>
        <w:tc>
          <w:tcPr>
            <w:tcW w:type="dxa" w:w="714"/>
            <w:tcBorders>
              <w:top w:color="000000" w:space="0" w:sz="4" w:val="single"/>
            </w:tcBorders>
            <w:shd w:fill="auto" w:val="clear"/>
            <w:tcMar>
              <w:top w:type="dxa" w:w="0"/>
              <w:left w:type="dxa" w:w="70"/>
              <w:bottom w:type="dxa" w:w="0"/>
              <w:right w:type="dxa" w:w="70"/>
            </w:tcMar>
            <w:vAlign w:val="bottom"/>
          </w:tcPr>
          <w:p>
            <w:pPr>
              <w:pStyle w:val="style0"/>
              <w:snapToGrid w:val="false"/>
              <w:spacing w:after="200" w:before="0" w:line="240" w:lineRule="auto"/>
            </w:pPr>
            <w:r>
              <w:rPr>
                <w:rFonts w:ascii="Arial" w:cs="Arial" w:hAnsi="Arial"/>
                <w:color w:val="000000"/>
                <w:sz w:val="24"/>
                <w:lang w:eastAsia="es-VE" w:val="es-VE"/>
              </w:rPr>
            </w:r>
          </w:p>
        </w:tc>
        <w:p>
          <w:pPr>
            <w:pStyle w:val="style0"/>
            <w:spacing w:after="200" w:before="0"/>
          </w:pPr>
          <w:r>
            <w:rPr>
              <w:rFonts w:ascii="Arial" w:cs="Arial" w:hAnsi="Arial"/>
            </w:rPr>
            <w:t>Fuente: Mendoza (2015)</w:t>
          </w:r>
        </w:p>
        <w:tc>
          <w:tcPr>
            <w:tcW w:type="dxa" w:w="2348"/>
            <w:tcBorders>
              <w:top w:color="000000" w:space="0" w:sz="4" w:val="single"/>
            </w:tcBorders>
            <w:shd w:fill="auto" w:val="clear"/>
            <w:tcMar>
              <w:top w:type="dxa" w:w="0"/>
              <w:left w:type="dxa" w:w="70"/>
              <w:bottom w:type="dxa" w:w="0"/>
              <w:right w:type="dxa" w:w="70"/>
            </w:tcMar>
            <w:vAlign w:val="bottom"/>
          </w:tcPr>
          <w:p>
            <w:pPr>
              <w:pStyle w:val="style0"/>
              <w:snapToGrid w:val="false"/>
              <w:spacing w:after="200" w:before="0" w:line="240" w:lineRule="auto"/>
            </w:pPr>
            <w:r>
              <w:rPr>
                <w:rFonts w:ascii="Arial" w:cs="Arial" w:hAnsi="Arial"/>
                <w:color w:val="000000"/>
                <w:sz w:val="24"/>
              </w:rPr>
            </w:r>
          </w:p>
        </w:tc>
        <w:tc>
          <w:tcPr>
            <w:tcW w:type="dxa" w:w="2000"/>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rPr>
              <w:t>19</w:t>
            </w:r>
          </w:p>
        </w:tc>
        <w:tc>
          <w:tcPr>
            <w:tcW w:type="dxa" w:w="1210"/>
            <w:tcBorders>
              <w:top w:color="000000" w:space="0" w:sz="4" w:val="single"/>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sz w:val="24"/>
              </w:rPr>
              <w:t>100%</w:t>
            </w:r>
          </w:p>
        </w:tc>
      </w:tr>
    </w:tbl>
    <w:p>
      <w:pPr>
        <w:pStyle w:val="style196"/>
        <w:spacing w:line="360" w:lineRule="auto"/>
        <w:jc w:val="both"/>
      </w:pPr>
      <w:r>
        <w:rPr/>
      </w:r>
    </w:p>
    <w:p>
      <w:pPr>
        <w:pStyle w:val="style196"/>
        <w:spacing w:line="360" w:lineRule="auto"/>
        <w:jc w:val="center"/>
      </w:pPr>
      <w:r>
        <w:rPr>
          <w:rStyle w:val="style168"/>
          <w:rFonts w:ascii="Arial" w:cs="Arial" w:hAnsi="Arial"/>
          <w:color w:val="000000"/>
          <w:sz w:val="24"/>
          <w:szCs w:val="24"/>
          <w:lang w:eastAsia="es-VE" w:val="es-VE"/>
        </w:rPr>
        <w:drawing>
          <wp:inline distB="0" distL="0" distR="0" distT="0">
            <wp:extent cx="5255260" cy="2244090"/>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48"/>
                    <a:srcRect/>
                    <a:stretch>
                      <a:fillRect/>
                    </a:stretch>
                  </pic:blipFill>
                  <pic:spPr bwMode="auto">
                    <a:xfrm>
                      <a:off x="0" y="0"/>
                      <a:ext cx="5255260" cy="2244090"/>
                    </a:xfrm>
                    <a:prstGeom prst="rect">
                      <a:avLst/>
                    </a:prstGeom>
                    <a:noFill/>
                    <a:ln w="9525">
                      <a:noFill/>
                      <a:miter lim="800000"/>
                      <a:headEnd/>
                      <a:tailEnd/>
                    </a:ln>
                  </pic:spPr>
                </pic:pic>
              </a:graphicData>
            </a:graphic>
          </wp:inline>
        </w:drawing>
      </w:r>
    </w:p>
    <w:p>
      <w:pPr>
        <w:pStyle w:val="style0"/>
        <w:spacing w:after="200" w:before="0"/>
      </w:pPr>
      <w:r>
        <w:rPr>
          <w:rFonts w:ascii="Arial" w:cs="Arial" w:hAnsi="Arial"/>
        </w:rPr>
        <w:t>Fuente: Mendoza (2015)</w:t>
      </w:r>
    </w:p>
    <w:p>
      <w:pPr>
        <w:pStyle w:val="style197"/>
        <w:spacing w:after="0" w:before="0"/>
        <w:jc w:val="both"/>
      </w:pPr>
      <w:r>
        <w:rPr>
          <w:rFonts w:ascii="Arial" w:cs="Arial" w:hAnsi="Arial"/>
          <w:b/>
          <w:bCs/>
          <w:color w:val="000000"/>
        </w:rPr>
        <w:t xml:space="preserve">Gráfico 15 </w:t>
      </w:r>
      <w:r>
        <w:rPr>
          <w:rFonts w:ascii="Arial" w:cs="Arial" w:hAnsi="Arial"/>
          <w:b/>
          <w:color w:val="000000"/>
          <w:sz w:val="22"/>
        </w:rPr>
        <w:t xml:space="preserve">Conocimiento para implementar un plan anual de retiro o  desincorporación de Propiedad, Planta y Equipo en fases de obsolescencia, inutilizable, </w:t>
      </w:r>
      <w:r>
        <w:rPr>
          <w:rFonts w:ascii="Arial" w:cs="Arial" w:hAnsi="Arial"/>
          <w:b/>
          <w:color w:val="000000"/>
          <w:sz w:val="22"/>
          <w:shd w:fill="FFFFFF" w:val="clear"/>
        </w:rPr>
        <w:t>o en mal estado difícil de recuperar como  de  funcionar y estos no sean susceptibles a reparación y así mantener  depurado los estados financieros</w:t>
      </w:r>
    </w:p>
    <w:p>
      <w:pPr>
        <w:pStyle w:val="style197"/>
        <w:spacing w:after="0" w:before="0" w:line="360" w:lineRule="auto"/>
        <w:jc w:val="both"/>
      </w:pPr>
      <w:r>
        <w:rPr>
          <w:rFonts w:ascii="Arial" w:cs="Arial" w:hAnsi="Arial"/>
          <w:b/>
          <w:color w:val="000000"/>
          <w:shd w:fill="FFFFFF" w:val="clear"/>
        </w:rPr>
      </w:r>
    </w:p>
    <w:p>
      <w:pPr>
        <w:pStyle w:val="style197"/>
        <w:spacing w:after="0" w:before="0" w:line="360" w:lineRule="auto"/>
        <w:jc w:val="both"/>
      </w:pPr>
      <w:r>
        <w:rPr>
          <w:rFonts w:ascii="Arial" w:cs="Arial" w:hAnsi="Arial"/>
          <w:b/>
          <w:color w:val="000000"/>
          <w:shd w:fill="FFFFFF" w:val="clear"/>
        </w:rPr>
        <w:t xml:space="preserve">Análisis: </w:t>
      </w:r>
      <w:r>
        <w:rPr>
          <w:rFonts w:ascii="Arial" w:cs="Arial" w:hAnsi="Arial"/>
          <w:color w:val="000000"/>
          <w:shd w:fill="FFFFFF" w:val="clear"/>
        </w:rPr>
        <w:t xml:space="preserve">En el cuadro y gráfico correspondiente al ítem 15 se puede visualizar que el setenta y nueve (79) por ciento (%) de los encuestado indicó estar de acuerdo que se establezca un plan anual de retiro de aquellos bienes que estén deteriorado que estén  en mal estado y que los mismos no funciones mientras que el veintiuno (21) por ciento (%) contestó casi siempre debe establecerse un plan   para evitar la concentración y  acumulación de   materiales inservibles, esta estrategia va permitir  mantener los estados financiero actualizado sobre todo las partidas  propiedades planta y equipo como también   el stock de inventario  </w:t>
      </w:r>
    </w:p>
    <w:p>
      <w:pPr>
        <w:pStyle w:val="style197"/>
        <w:pageBreakBefore/>
        <w:spacing w:after="0" w:before="0" w:line="360" w:lineRule="auto"/>
        <w:jc w:val="both"/>
      </w:pPr>
      <w:r>
        <w:rPr>
          <w:rFonts w:ascii="Arial" w:cs="Arial" w:hAnsi="Arial"/>
          <w:bCs/>
          <w:color w:val="000000"/>
        </w:rPr>
        <w:t>Ítem 16.</w:t>
      </w:r>
      <w:r>
        <w:rPr>
          <w:rFonts w:ascii="Arial" w:cs="Arial" w:hAnsi="Arial"/>
          <w:color w:val="000000"/>
          <w:shd w:fill="FFFFFF" w:val="clear"/>
        </w:rPr>
        <w:t xml:space="preserve"> ¿Usted como integrante de la comunidad universitaria está de acuerdo con que se aplique un plan de Ecoeficiencia permanente en la Institución que aporte a su sustentabilidad?</w:t>
      </w:r>
    </w:p>
    <w:p>
      <w:pPr>
        <w:pStyle w:val="style197"/>
        <w:spacing w:after="0" w:before="0" w:line="360" w:lineRule="auto"/>
        <w:jc w:val="both"/>
      </w:pPr>
      <w:r>
        <w:rPr>
          <w:rFonts w:ascii="Arial" w:cs="Arial" w:hAnsi="Arial"/>
          <w:color w:val="000000"/>
          <w:shd w:fill="FFFFFF" w:val="clear"/>
        </w:rPr>
      </w:r>
    </w:p>
    <w:tbl>
      <w:tblPr>
        <w:jc w:val="center"/>
        <w:tblBorders>
          <w:top w:color="000000" w:space="0" w:sz="4" w:val="single"/>
          <w:left w:color="000000" w:space="0" w:sz="4" w:val="single"/>
          <w:bottom w:color="000000" w:space="0" w:sz="4" w:val="single"/>
          <w:right w:color="000000" w:space="0" w:sz="4" w:val="single"/>
        </w:tblBorders>
      </w:tblPr>
      <w:tblGrid>
        <w:gridCol w:w="6451"/>
      </w:tblGrid>
      <w:tr>
        <w:trPr>
          <w:trHeight w:hRule="atLeast" w:val="315"/>
          <w:cantSplit w:val="false"/>
        </w:trPr>
        <w:tc>
          <w:tcPr>
            <w:tcW w:type="dxa" w:w="6451"/>
            <w:gridSpan w:val="4"/>
            <w:tcBorders>
              <w:top w:color="000000" w:space="0" w:sz="4" w:val="single"/>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197"/>
              <w:shd w:fill="FFFFFF" w:val="clear"/>
              <w:spacing w:after="120" w:before="120" w:line="360" w:lineRule="auto"/>
              <w:jc w:val="center"/>
            </w:pPr>
            <w:r>
              <w:rPr>
                <w:rFonts w:ascii="Arial" w:cs="Arial" w:hAnsi="Arial"/>
                <w:b/>
                <w:color w:val="000000"/>
              </w:rPr>
              <w:t>Cuadro  19</w:t>
            </w:r>
          </w:p>
          <w:p>
            <w:pPr>
              <w:pStyle w:val="style197"/>
              <w:shd w:fill="FFFFFF" w:val="clear"/>
              <w:spacing w:after="120" w:before="120" w:line="360" w:lineRule="auto"/>
              <w:jc w:val="both"/>
            </w:pPr>
            <w:r>
              <w:rPr>
                <w:rFonts w:ascii="Arial" w:cs="Arial" w:hAnsi="Arial"/>
                <w:b/>
                <w:color w:val="000000"/>
              </w:rPr>
              <w:t>Opinión sobre Implementación de un plan de Ecoeficiencia permanente en la institución</w:t>
            </w:r>
          </w:p>
        </w:tc>
      </w:tr>
      <w:tr>
        <w:trPr>
          <w:trHeight w:hRule="atLeast" w:val="315"/>
          <w:cantSplit w:val="false"/>
        </w:trPr>
        <w:tc>
          <w:tcPr>
            <w:tcW w:type="dxa" w:w="1141"/>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b/>
                <w:szCs w:val="20"/>
              </w:rPr>
              <w:t>Ítem</w:t>
            </w:r>
          </w:p>
        </w:tc>
        <w:tc>
          <w:tcPr>
            <w:tcW w:type="dxa" w:w="2140"/>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b/>
                <w:szCs w:val="20"/>
              </w:rPr>
              <w:t>Opciones  de Repuestas</w:t>
            </w:r>
          </w:p>
        </w:tc>
        <w:tc>
          <w:tcPr>
            <w:tcW w:type="dxa" w:w="1960"/>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b/>
                <w:szCs w:val="20"/>
              </w:rPr>
              <w:t>Frecuencia</w:t>
            </w:r>
          </w:p>
        </w:tc>
        <w:tc>
          <w:tcPr>
            <w:tcW w:type="dxa" w:w="1210"/>
            <w:tcBorders>
              <w:top w:color="000000" w:space="0" w:sz="4" w:val="single"/>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b/>
                <w:szCs w:val="20"/>
              </w:rPr>
              <w:t>Valor %</w:t>
            </w:r>
          </w:p>
        </w:tc>
      </w:tr>
      <w:tr>
        <w:trPr>
          <w:trHeight w:hRule="atLeast" w:val="300"/>
          <w:cantSplit w:val="false"/>
        </w:trPr>
        <w:tc>
          <w:tcPr>
            <w:tcW w:type="dxa" w:w="1141"/>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rPr>
              <w:t>A</w:t>
            </w:r>
          </w:p>
        </w:tc>
        <w:tc>
          <w:tcPr>
            <w:tcW w:type="dxa" w:w="214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color w:val="000000"/>
              </w:rPr>
              <w:t>No contestó</w:t>
            </w:r>
          </w:p>
        </w:tc>
        <w:tc>
          <w:tcPr>
            <w:tcW w:type="dxa" w:w="196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rPr>
              <w:t>0</w:t>
            </w:r>
          </w:p>
        </w:tc>
        <w:tc>
          <w:tcPr>
            <w:tcW w:type="dxa" w:w="121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rPr>
              <w:t>0%</w:t>
            </w:r>
          </w:p>
        </w:tc>
      </w:tr>
      <w:tr>
        <w:trPr>
          <w:trHeight w:hRule="atLeast" w:val="300"/>
          <w:cantSplit w:val="false"/>
        </w:trPr>
        <w:tc>
          <w:tcPr>
            <w:tcW w:type="dxa" w:w="1141"/>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rPr>
              <w:t>B</w:t>
            </w:r>
          </w:p>
        </w:tc>
        <w:tc>
          <w:tcPr>
            <w:tcW w:type="dxa" w:w="214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color w:val="000000"/>
              </w:rPr>
              <w:t>Siempre</w:t>
            </w:r>
          </w:p>
        </w:tc>
        <w:tc>
          <w:tcPr>
            <w:tcW w:type="dxa" w:w="196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rPr>
              <w:t>19</w:t>
            </w:r>
          </w:p>
        </w:tc>
        <w:tc>
          <w:tcPr>
            <w:tcW w:type="dxa" w:w="121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rPr>
              <w:t>100%</w:t>
            </w:r>
          </w:p>
        </w:tc>
      </w:tr>
      <w:tr>
        <w:trPr>
          <w:trHeight w:hRule="atLeast" w:val="300"/>
          <w:cantSplit w:val="false"/>
        </w:trPr>
        <w:tc>
          <w:tcPr>
            <w:tcW w:type="dxa" w:w="1141"/>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rPr>
              <w:t>C</w:t>
            </w:r>
          </w:p>
        </w:tc>
        <w:tc>
          <w:tcPr>
            <w:tcW w:type="dxa" w:w="214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color w:val="000000"/>
              </w:rPr>
              <w:t>Casi siempre</w:t>
            </w:r>
          </w:p>
        </w:tc>
        <w:tc>
          <w:tcPr>
            <w:tcW w:type="dxa" w:w="196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rPr>
              <w:t>0</w:t>
            </w:r>
          </w:p>
        </w:tc>
        <w:tc>
          <w:tcPr>
            <w:tcW w:type="dxa" w:w="121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rPr>
              <w:t>0%</w:t>
            </w:r>
          </w:p>
        </w:tc>
      </w:tr>
      <w:tr>
        <w:trPr>
          <w:trHeight w:hRule="atLeast" w:val="300"/>
          <w:cantSplit w:val="false"/>
        </w:trPr>
        <w:tc>
          <w:tcPr>
            <w:tcW w:type="dxa" w:w="1141"/>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rPr>
              <w:t>D</w:t>
            </w:r>
          </w:p>
        </w:tc>
        <w:tc>
          <w:tcPr>
            <w:tcW w:type="dxa" w:w="214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color w:val="000000"/>
              </w:rPr>
              <w:t>A veces</w:t>
            </w:r>
          </w:p>
        </w:tc>
        <w:tc>
          <w:tcPr>
            <w:tcW w:type="dxa" w:w="196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rPr>
              <w:t>0</w:t>
            </w:r>
          </w:p>
        </w:tc>
        <w:tc>
          <w:tcPr>
            <w:tcW w:type="dxa" w:w="121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rPr>
              <w:t>0%</w:t>
            </w:r>
          </w:p>
        </w:tc>
      </w:tr>
      <w:tr>
        <w:trPr>
          <w:trHeight w:hRule="atLeast" w:val="300"/>
          <w:cantSplit w:val="false"/>
        </w:trPr>
        <w:tc>
          <w:tcPr>
            <w:tcW w:type="dxa" w:w="1141"/>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rPr>
              <w:t>E</w:t>
            </w:r>
          </w:p>
        </w:tc>
        <w:tc>
          <w:tcPr>
            <w:tcW w:type="dxa" w:w="214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color w:val="000000"/>
              </w:rPr>
              <w:t>Casi Nunca</w:t>
            </w:r>
          </w:p>
        </w:tc>
        <w:tc>
          <w:tcPr>
            <w:tcW w:type="dxa" w:w="196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rPr>
              <w:t>0</w:t>
            </w:r>
          </w:p>
        </w:tc>
        <w:tc>
          <w:tcPr>
            <w:tcW w:type="dxa" w:w="121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rPr>
              <w:t>0%</w:t>
            </w:r>
          </w:p>
        </w:tc>
      </w:tr>
      <w:tr>
        <w:trPr>
          <w:trHeight w:hRule="atLeast" w:val="300"/>
          <w:cantSplit w:val="false"/>
        </w:trPr>
        <w:tc>
          <w:tcPr>
            <w:tcW w:type="dxa" w:w="1141"/>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rPr>
              <w:t>F</w:t>
            </w:r>
          </w:p>
        </w:tc>
        <w:tc>
          <w:tcPr>
            <w:tcW w:type="dxa" w:w="214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color w:val="000000"/>
              </w:rPr>
              <w:t>Nunca</w:t>
            </w:r>
          </w:p>
        </w:tc>
        <w:tc>
          <w:tcPr>
            <w:tcW w:type="dxa" w:w="196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rPr>
              <w:t>0</w:t>
            </w:r>
          </w:p>
        </w:tc>
        <w:tc>
          <w:tcPr>
            <w:tcW w:type="dxa" w:w="121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rPr>
              <w:t>0%</w:t>
            </w:r>
          </w:p>
        </w:tc>
      </w:tr>
      <w:tr>
        <w:trPr>
          <w:trHeight w:hRule="atLeast" w:val="300"/>
          <w:cantSplit w:val="false"/>
        </w:trPr>
        <w:tc>
          <w:tcPr>
            <w:tcW w:type="dxa" w:w="1141"/>
            <w:tcBorders>
              <w:top w:color="000000" w:space="0" w:sz="4" w:val="single"/>
            </w:tcBorders>
            <w:shd w:fill="auto" w:val="clear"/>
            <w:tcMar>
              <w:top w:type="dxa" w:w="0"/>
              <w:left w:type="dxa" w:w="70"/>
              <w:bottom w:type="dxa" w:w="0"/>
              <w:right w:type="dxa" w:w="70"/>
            </w:tcMar>
            <w:vAlign w:val="bottom"/>
          </w:tcPr>
          <w:p>
            <w:pPr>
              <w:pStyle w:val="style0"/>
              <w:snapToGrid w:val="false"/>
              <w:spacing w:after="200" w:before="0" w:line="240" w:lineRule="auto"/>
            </w:pPr>
            <w:r>
              <w:rPr>
                <w:rFonts w:ascii="Arial" w:cs="Arial" w:hAnsi="Arial"/>
                <w:color w:val="000000"/>
                <w:lang w:eastAsia="es-VE" w:val="es-VE"/>
              </w:rPr>
            </w:r>
          </w:p>
        </w:tc>
        <w:p>
          <w:pPr>
            <w:pStyle w:val="style0"/>
            <w:spacing w:after="200" w:before="0"/>
          </w:pPr>
          <w:r>
            <w:rPr>
              <w:rFonts w:ascii="Arial" w:cs="Arial" w:hAnsi="Arial"/>
            </w:rPr>
            <w:t>Fuente: Mendoza (2015)</w:t>
          </w:r>
        </w:p>
        <w:tc>
          <w:tcPr>
            <w:tcW w:type="dxa" w:w="2140"/>
            <w:tcBorders>
              <w:top w:color="000000" w:space="0" w:sz="4" w:val="single"/>
            </w:tcBorders>
            <w:shd w:fill="auto" w:val="clear"/>
            <w:tcMar>
              <w:top w:type="dxa" w:w="0"/>
              <w:left w:type="dxa" w:w="70"/>
              <w:bottom w:type="dxa" w:w="0"/>
              <w:right w:type="dxa" w:w="70"/>
            </w:tcMar>
            <w:vAlign w:val="bottom"/>
          </w:tcPr>
          <w:p>
            <w:pPr>
              <w:pStyle w:val="style0"/>
              <w:snapToGrid w:val="false"/>
              <w:spacing w:after="200" w:before="0" w:line="240" w:lineRule="auto"/>
            </w:pPr>
            <w:r>
              <w:rPr>
                <w:rFonts w:ascii="Arial" w:cs="Arial" w:hAnsi="Arial"/>
                <w:color w:val="000000"/>
              </w:rPr>
            </w:r>
          </w:p>
        </w:tc>
        <w:tc>
          <w:tcPr>
            <w:tcW w:type="dxa" w:w="1960"/>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rPr>
              <w:t>19</w:t>
            </w:r>
          </w:p>
        </w:tc>
        <w:tc>
          <w:tcPr>
            <w:tcW w:type="dxa" w:w="1210"/>
            <w:tcBorders>
              <w:top w:color="000000" w:space="0" w:sz="4" w:val="single"/>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rPr>
              <w:t>100%</w:t>
            </w:r>
          </w:p>
        </w:tc>
      </w:tr>
    </w:tbl>
    <w:p>
      <w:pPr>
        <w:pStyle w:val="style197"/>
        <w:spacing w:after="0" w:before="0" w:line="360" w:lineRule="auto"/>
        <w:jc w:val="both"/>
      </w:pPr>
      <w:r>
        <w:rPr>
          <w:rFonts w:ascii="Arial" w:cs="Arial" w:hAnsi="Arial"/>
          <w:color w:val="000000"/>
          <w:shd w:fill="FFFFFF" w:val="clear"/>
        </w:rPr>
      </w:r>
    </w:p>
    <w:p>
      <w:pPr>
        <w:pStyle w:val="style197"/>
        <w:spacing w:after="0" w:before="0" w:line="360" w:lineRule="auto"/>
        <w:jc w:val="both"/>
      </w:pPr>
      <w:r>
        <w:rPr>
          <w:rFonts w:ascii="Arial" w:cs="Arial" w:hAnsi="Arial"/>
          <w:color w:val="000000"/>
          <w:shd w:fill="FFFFFF" w:val="clear"/>
          <w:lang w:eastAsia="es-VE" w:val="es-ES"/>
        </w:rPr>
        <w:drawing>
          <wp:inline distB="0" distL="0" distR="0" distT="0">
            <wp:extent cx="4529455" cy="1767840"/>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49"/>
                    <a:srcRect/>
                    <a:stretch>
                      <a:fillRect/>
                    </a:stretch>
                  </pic:blipFill>
                  <pic:spPr bwMode="auto">
                    <a:xfrm>
                      <a:off x="0" y="0"/>
                      <a:ext cx="4529455" cy="1767840"/>
                    </a:xfrm>
                    <a:prstGeom prst="rect">
                      <a:avLst/>
                    </a:prstGeom>
                    <a:noFill/>
                    <a:ln w="9525">
                      <a:noFill/>
                      <a:miter lim="800000"/>
                      <a:headEnd/>
                      <a:tailEnd/>
                    </a:ln>
                  </pic:spPr>
                </pic:pic>
              </a:graphicData>
            </a:graphic>
          </wp:inline>
        </w:drawing>
      </w:r>
    </w:p>
    <w:p>
      <w:pPr>
        <w:pStyle w:val="style0"/>
        <w:spacing w:after="200" w:before="0"/>
      </w:pPr>
      <w:r>
        <w:rPr>
          <w:rFonts w:ascii="Arial" w:cs="Arial" w:hAnsi="Arial"/>
        </w:rPr>
        <w:t>Fuente: Mendoza (2015)</w:t>
      </w:r>
    </w:p>
    <w:p>
      <w:pPr>
        <w:pStyle w:val="style197"/>
        <w:shd w:fill="FFFFFF" w:val="clear"/>
        <w:spacing w:after="120" w:before="120"/>
        <w:jc w:val="both"/>
      </w:pPr>
      <w:r>
        <w:rPr>
          <w:rFonts w:ascii="Arial" w:cs="Arial" w:hAnsi="Arial"/>
          <w:b/>
          <w:bCs/>
          <w:color w:val="000000"/>
        </w:rPr>
        <w:t xml:space="preserve">Gráfico 16 </w:t>
      </w:r>
      <w:r>
        <w:rPr>
          <w:rFonts w:ascii="Arial" w:cs="Arial" w:hAnsi="Arial"/>
          <w:b/>
          <w:color w:val="000000"/>
        </w:rPr>
        <w:t>Opinión sobre Implementación de un plan de Ecoeficiencia permanente en la institución</w:t>
      </w:r>
    </w:p>
    <w:p>
      <w:pPr>
        <w:pStyle w:val="style196"/>
        <w:spacing w:line="360" w:lineRule="auto"/>
        <w:jc w:val="both"/>
      </w:pPr>
      <w:r>
        <w:rPr>
          <w:rFonts w:ascii="Arial" w:cs="Arial" w:hAnsi="Arial"/>
          <w:b/>
          <w:color w:val="000000"/>
          <w:sz w:val="24"/>
          <w:szCs w:val="24"/>
          <w:shd w:fill="FFFFFF" w:val="clear"/>
        </w:rPr>
        <w:t xml:space="preserve">Análisis: </w:t>
      </w:r>
      <w:r>
        <w:rPr>
          <w:rFonts w:ascii="Arial" w:cs="Arial" w:hAnsi="Arial"/>
          <w:color w:val="000000"/>
          <w:sz w:val="24"/>
          <w:szCs w:val="24"/>
          <w:shd w:fill="FFFFFF" w:val="clear"/>
        </w:rPr>
        <w:t xml:space="preserve">Según los resultados obtenidos  100% de los encuestados opinaron estar de acuerdo  con que se aplique  un plan de ecoeficiencia  </w:t>
      </w:r>
    </w:p>
    <w:p>
      <w:pPr>
        <w:pStyle w:val="style196"/>
        <w:spacing w:line="360" w:lineRule="auto"/>
        <w:jc w:val="both"/>
      </w:pPr>
      <w:r>
        <w:rPr>
          <w:rFonts w:ascii="Arial" w:cs="Arial" w:hAnsi="Arial"/>
          <w:color w:val="000000"/>
          <w:sz w:val="24"/>
          <w:szCs w:val="24"/>
          <w:shd w:fill="FFFFFF" w:val="clear"/>
        </w:rPr>
      </w:r>
    </w:p>
    <w:p>
      <w:pPr>
        <w:pStyle w:val="style197"/>
        <w:shd w:fill="FFFFFF" w:val="clear"/>
        <w:spacing w:after="135" w:before="0" w:line="270" w:lineRule="atLeast"/>
        <w:jc w:val="both"/>
      </w:pPr>
      <w:r>
        <w:rPr>
          <w:rFonts w:ascii="Arial" w:cs="Arial" w:hAnsi="Arial"/>
          <w:color w:val="000000"/>
          <w:shd w:fill="FFFFFF" w:val="clear"/>
        </w:rPr>
        <w:tab/>
        <w:t xml:space="preserve">Para vitalis.com define al  ecoeficiencia como: </w:t>
      </w:r>
    </w:p>
    <w:p>
      <w:pPr>
        <w:pStyle w:val="style197"/>
        <w:shd w:fill="FFFFFF" w:val="clear"/>
        <w:spacing w:after="135" w:before="0" w:line="270" w:lineRule="atLeast"/>
        <w:jc w:val="both"/>
      </w:pPr>
      <w:r>
        <w:rPr>
          <w:rFonts w:ascii="Arial" w:cs="Arial" w:hAnsi="Arial"/>
          <w:color w:val="000000"/>
          <w:shd w:fill="FFFFFF" w:val="clear"/>
        </w:rPr>
      </w:r>
    </w:p>
    <w:p>
      <w:pPr>
        <w:pStyle w:val="style197"/>
        <w:shd w:fill="FFFFFF" w:val="clear"/>
        <w:spacing w:after="135" w:before="0" w:line="270" w:lineRule="atLeast"/>
        <w:ind w:hanging="0" w:left="1134" w:right="1183"/>
        <w:jc w:val="both"/>
      </w:pPr>
      <w:r>
        <w:rPr>
          <w:rFonts w:ascii="Arial" w:cs="Arial" w:hAnsi="Arial"/>
          <w:color w:val="000000"/>
          <w:szCs w:val="20"/>
        </w:rPr>
        <w:t>Es una cultura administrativa que guía a todos los sectores de la sociedad a asumir su responsabilidad con la sustentabilidad y motiva para que las actividades productivas sean más competitivas, adaptando y readecuando los sistemas productivos existentes a las necesidades del mercado y del ambiente, impulsando niveles más altos de desarrollo económico, social y ambiental</w:t>
      </w:r>
      <w:r>
        <w:rPr>
          <w:rFonts w:ascii="Helvetica" w:cs="Helvetica" w:hAnsi="Helvetica"/>
          <w:color w:val="000000"/>
          <w:sz w:val="20"/>
          <w:szCs w:val="20"/>
        </w:rPr>
        <w:t>.</w:t>
      </w:r>
    </w:p>
    <w:p>
      <w:pPr>
        <w:pStyle w:val="style197"/>
        <w:shd w:fill="FFFFFF" w:val="clear"/>
        <w:spacing w:after="135" w:before="0" w:line="270" w:lineRule="atLeast"/>
        <w:ind w:hanging="0" w:left="1134" w:right="1183"/>
        <w:jc w:val="both"/>
      </w:pPr>
      <w:r>
        <w:rPr>
          <w:rFonts w:ascii="Helvetica" w:cs="Helvetica" w:hAnsi="Helvetica"/>
          <w:color w:val="000000"/>
          <w:sz w:val="20"/>
          <w:szCs w:val="20"/>
        </w:rPr>
      </w:r>
    </w:p>
    <w:p>
      <w:pPr>
        <w:pStyle w:val="style197"/>
        <w:shd w:fill="FFFFFF" w:val="clear"/>
        <w:spacing w:after="135" w:before="0" w:line="360" w:lineRule="auto"/>
        <w:jc w:val="both"/>
      </w:pPr>
      <w:r>
        <w:rPr>
          <w:rFonts w:ascii="Helvetica" w:cs="Helvetica" w:hAnsi="Helvetica"/>
          <w:color w:val="000000"/>
          <w:sz w:val="20"/>
          <w:szCs w:val="20"/>
        </w:rPr>
        <w:tab/>
      </w:r>
      <w:r>
        <w:rPr>
          <w:rFonts w:ascii="Arial" w:cs="Arial" w:hAnsi="Arial"/>
          <w:color w:val="000000"/>
        </w:rPr>
        <w:t xml:space="preserve"> Es decir producir más con menos  lo bueno de la ecoeficiencia es que involucra a toda la sociedad  a tomar su compromiso con el desarrollo económico, social y con el sistema productivo del país y en especial con el ambiente. </w:t>
      </w:r>
    </w:p>
    <w:p>
      <w:pPr>
        <w:pStyle w:val="style197"/>
        <w:pageBreakBefore/>
        <w:shd w:fill="FFFFFF" w:val="clear"/>
        <w:spacing w:after="135" w:before="0" w:line="360" w:lineRule="auto"/>
        <w:jc w:val="both"/>
      </w:pPr>
      <w:r>
        <w:rPr>
          <w:rFonts w:ascii="Arial" w:cs="Arial" w:hAnsi="Arial"/>
          <w:color w:val="000000"/>
          <w:shd w:fill="FFFFFF" w:val="clear"/>
        </w:rPr>
        <w:t>Ítem 17. ¿</w:t>
      </w:r>
      <w:r>
        <w:rPr>
          <w:rFonts w:ascii="Arial" w:cs="Arial" w:hAnsi="Arial"/>
          <w:color w:val="000000"/>
        </w:rPr>
        <w:t xml:space="preserve">Sabe Usted si los Directivos de la Institución se han establecido como  objetivo la </w:t>
      </w:r>
      <w:r>
        <w:rPr>
          <w:rFonts w:ascii="Arial" w:cs="Arial" w:hAnsi="Arial"/>
          <w:color w:val="000000"/>
          <w:shd w:fill="FFFFFF" w:val="clear"/>
        </w:rPr>
        <w:t>desincorporación de los Bienes Nacionales en estado de Obsolescencia, deterioro y corrosión?</w:t>
      </w:r>
    </w:p>
    <w:p>
      <w:pPr>
        <w:pStyle w:val="style197"/>
        <w:spacing w:after="0" w:before="0" w:line="360" w:lineRule="auto"/>
        <w:jc w:val="both"/>
      </w:pPr>
      <w:r>
        <w:rPr>
          <w:rFonts w:ascii="Arial" w:cs="Arial" w:hAnsi="Arial"/>
          <w:color w:val="000000"/>
          <w:shd w:fill="FFFFFF" w:val="clear"/>
        </w:rPr>
      </w:r>
    </w:p>
    <w:tbl>
      <w:tblPr>
        <w:jc w:val="center"/>
        <w:tblBorders>
          <w:top w:color="000000" w:space="0" w:sz="4" w:val="single"/>
          <w:left w:color="000000" w:space="0" w:sz="4" w:val="single"/>
          <w:bottom w:color="000000" w:space="0" w:sz="4" w:val="single"/>
          <w:right w:color="000000" w:space="0" w:sz="4" w:val="single"/>
        </w:tblBorders>
      </w:tblPr>
      <w:tblGrid>
        <w:gridCol w:w="6503"/>
      </w:tblGrid>
      <w:tr>
        <w:trPr>
          <w:trHeight w:hRule="atLeast" w:val="315"/>
          <w:cantSplit w:val="false"/>
        </w:trPr>
        <w:tc>
          <w:tcPr>
            <w:tcW w:type="dxa" w:w="6503"/>
            <w:gridSpan w:val="4"/>
            <w:tcBorders>
              <w:top w:color="000000" w:space="0" w:sz="4" w:val="single"/>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197"/>
              <w:shd w:fill="FFFFFF" w:val="clear"/>
              <w:spacing w:after="120" w:before="120" w:line="360" w:lineRule="auto"/>
              <w:jc w:val="center"/>
            </w:pPr>
            <w:r>
              <w:rPr>
                <w:rFonts w:ascii="Arial" w:cs="Arial" w:hAnsi="Arial"/>
                <w:b/>
                <w:color w:val="000000"/>
              </w:rPr>
              <w:t>Cuadro  20</w:t>
            </w:r>
          </w:p>
          <w:p>
            <w:pPr>
              <w:pStyle w:val="style197"/>
              <w:shd w:fill="FFFFFF" w:val="clear"/>
              <w:spacing w:after="120" w:before="120" w:line="360" w:lineRule="auto"/>
              <w:jc w:val="both"/>
            </w:pPr>
            <w:r>
              <w:rPr>
                <w:rFonts w:ascii="Arial" w:cs="Arial" w:hAnsi="Arial"/>
                <w:color w:val="000000"/>
              </w:rPr>
              <w:t xml:space="preserve">Conocimiento sobre la intención de los Directivos en desincorporar </w:t>
            </w:r>
            <w:r>
              <w:rPr>
                <w:rFonts w:ascii="Arial" w:cs="Arial" w:hAnsi="Arial"/>
                <w:color w:val="000000"/>
                <w:shd w:fill="FFFFFF" w:val="clear"/>
              </w:rPr>
              <w:t>de los Bienes Nacionales en estado de Obsolescencia, deterioro y corrosión</w:t>
            </w:r>
          </w:p>
        </w:tc>
      </w:tr>
      <w:tr>
        <w:trPr>
          <w:trHeight w:hRule="atLeast" w:val="315"/>
          <w:cantSplit w:val="false"/>
        </w:trPr>
        <w:tc>
          <w:tcPr>
            <w:tcW w:type="dxa" w:w="1313"/>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b/>
                <w:szCs w:val="20"/>
              </w:rPr>
              <w:t>Ítem</w:t>
            </w:r>
          </w:p>
        </w:tc>
        <w:tc>
          <w:tcPr>
            <w:tcW w:type="dxa" w:w="2080"/>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b/>
                <w:szCs w:val="20"/>
              </w:rPr>
              <w:t>Opciones  de Repuestas</w:t>
            </w:r>
          </w:p>
        </w:tc>
        <w:tc>
          <w:tcPr>
            <w:tcW w:type="dxa" w:w="1900"/>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b/>
                <w:szCs w:val="20"/>
              </w:rPr>
              <w:t>Frecuencia</w:t>
            </w:r>
          </w:p>
        </w:tc>
        <w:tc>
          <w:tcPr>
            <w:tcW w:type="dxa" w:w="1210"/>
            <w:tcBorders>
              <w:top w:color="000000" w:space="0" w:sz="4" w:val="single"/>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b/>
                <w:szCs w:val="20"/>
              </w:rPr>
              <w:t>Valor %</w:t>
            </w:r>
          </w:p>
        </w:tc>
      </w:tr>
      <w:tr>
        <w:trPr>
          <w:trHeight w:hRule="atLeast" w:val="300"/>
          <w:cantSplit w:val="false"/>
        </w:trPr>
        <w:tc>
          <w:tcPr>
            <w:tcW w:type="dxa" w:w="1313"/>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rPr>
              <w:t>A</w:t>
            </w:r>
          </w:p>
        </w:tc>
        <w:tc>
          <w:tcPr>
            <w:tcW w:type="dxa" w:w="208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color w:val="000000"/>
              </w:rPr>
              <w:t>No contestó</w:t>
            </w:r>
          </w:p>
        </w:tc>
        <w:tc>
          <w:tcPr>
            <w:tcW w:type="dxa" w:w="190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rPr>
              <w:t>3</w:t>
            </w:r>
          </w:p>
        </w:tc>
        <w:tc>
          <w:tcPr>
            <w:tcW w:type="dxa" w:w="121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rPr>
              <w:t>16%</w:t>
            </w:r>
          </w:p>
        </w:tc>
      </w:tr>
      <w:tr>
        <w:trPr>
          <w:trHeight w:hRule="atLeast" w:val="300"/>
          <w:cantSplit w:val="false"/>
        </w:trPr>
        <w:tc>
          <w:tcPr>
            <w:tcW w:type="dxa" w:w="1313"/>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rPr>
              <w:t>B</w:t>
            </w:r>
          </w:p>
        </w:tc>
        <w:tc>
          <w:tcPr>
            <w:tcW w:type="dxa" w:w="208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color w:val="000000"/>
              </w:rPr>
              <w:t>Siempre</w:t>
            </w:r>
          </w:p>
        </w:tc>
        <w:tc>
          <w:tcPr>
            <w:tcW w:type="dxa" w:w="190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rPr>
              <w:t>2</w:t>
            </w:r>
          </w:p>
        </w:tc>
        <w:tc>
          <w:tcPr>
            <w:tcW w:type="dxa" w:w="121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rPr>
              <w:t>11%</w:t>
            </w:r>
          </w:p>
        </w:tc>
      </w:tr>
      <w:tr>
        <w:trPr>
          <w:trHeight w:hRule="atLeast" w:val="300"/>
          <w:cantSplit w:val="false"/>
        </w:trPr>
        <w:tc>
          <w:tcPr>
            <w:tcW w:type="dxa" w:w="1313"/>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rPr>
              <w:t>C</w:t>
            </w:r>
          </w:p>
        </w:tc>
        <w:tc>
          <w:tcPr>
            <w:tcW w:type="dxa" w:w="208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color w:val="000000"/>
              </w:rPr>
              <w:t>Casi siempre</w:t>
            </w:r>
          </w:p>
        </w:tc>
        <w:tc>
          <w:tcPr>
            <w:tcW w:type="dxa" w:w="190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rPr>
              <w:t>0</w:t>
            </w:r>
          </w:p>
        </w:tc>
        <w:tc>
          <w:tcPr>
            <w:tcW w:type="dxa" w:w="121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rPr>
              <w:t>0%</w:t>
            </w:r>
          </w:p>
        </w:tc>
      </w:tr>
      <w:tr>
        <w:trPr>
          <w:trHeight w:hRule="atLeast" w:val="300"/>
          <w:cantSplit w:val="false"/>
        </w:trPr>
        <w:tc>
          <w:tcPr>
            <w:tcW w:type="dxa" w:w="1313"/>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rPr>
              <w:t>D</w:t>
            </w:r>
          </w:p>
        </w:tc>
        <w:tc>
          <w:tcPr>
            <w:tcW w:type="dxa" w:w="208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color w:val="000000"/>
              </w:rPr>
              <w:t>A veces</w:t>
            </w:r>
          </w:p>
        </w:tc>
        <w:tc>
          <w:tcPr>
            <w:tcW w:type="dxa" w:w="190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rPr>
              <w:t>0</w:t>
            </w:r>
          </w:p>
        </w:tc>
        <w:tc>
          <w:tcPr>
            <w:tcW w:type="dxa" w:w="121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rPr>
              <w:t>0%</w:t>
            </w:r>
          </w:p>
        </w:tc>
      </w:tr>
      <w:tr>
        <w:trPr>
          <w:trHeight w:hRule="atLeast" w:val="300"/>
          <w:cantSplit w:val="false"/>
        </w:trPr>
        <w:tc>
          <w:tcPr>
            <w:tcW w:type="dxa" w:w="1313"/>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rPr>
              <w:t>E</w:t>
            </w:r>
          </w:p>
        </w:tc>
        <w:tc>
          <w:tcPr>
            <w:tcW w:type="dxa" w:w="208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color w:val="000000"/>
              </w:rPr>
              <w:t>Casi Nunca</w:t>
            </w:r>
          </w:p>
        </w:tc>
        <w:tc>
          <w:tcPr>
            <w:tcW w:type="dxa" w:w="190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rPr>
              <w:t>0</w:t>
            </w:r>
          </w:p>
        </w:tc>
        <w:tc>
          <w:tcPr>
            <w:tcW w:type="dxa" w:w="121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rPr>
              <w:t>0%</w:t>
            </w:r>
          </w:p>
        </w:tc>
      </w:tr>
      <w:tr>
        <w:trPr>
          <w:trHeight w:hRule="atLeast" w:val="300"/>
          <w:cantSplit w:val="false"/>
        </w:trPr>
        <w:tc>
          <w:tcPr>
            <w:tcW w:type="dxa" w:w="1313"/>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rPr>
              <w:t>F</w:t>
            </w:r>
          </w:p>
        </w:tc>
        <w:tc>
          <w:tcPr>
            <w:tcW w:type="dxa" w:w="208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color w:val="000000"/>
              </w:rPr>
              <w:t>Nunca</w:t>
            </w:r>
          </w:p>
        </w:tc>
        <w:tc>
          <w:tcPr>
            <w:tcW w:type="dxa" w:w="190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rPr>
              <w:t>14</w:t>
            </w:r>
          </w:p>
        </w:tc>
        <w:tc>
          <w:tcPr>
            <w:tcW w:type="dxa" w:w="121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rPr>
              <w:t>74%</w:t>
            </w:r>
          </w:p>
        </w:tc>
      </w:tr>
      <w:tr>
        <w:trPr>
          <w:trHeight w:hRule="atLeast" w:val="300"/>
          <w:cantSplit w:val="false"/>
        </w:trPr>
        <w:tc>
          <w:tcPr>
            <w:tcW w:type="dxa" w:w="1313"/>
            <w:tcBorders>
              <w:top w:color="000000" w:space="0" w:sz="4" w:val="single"/>
            </w:tcBorders>
            <w:shd w:fill="auto" w:val="clear"/>
            <w:tcMar>
              <w:top w:type="dxa" w:w="0"/>
              <w:left w:type="dxa" w:w="70"/>
              <w:bottom w:type="dxa" w:w="0"/>
              <w:right w:type="dxa" w:w="70"/>
            </w:tcMar>
            <w:vAlign w:val="bottom"/>
          </w:tcPr>
          <w:p>
            <w:pPr>
              <w:pStyle w:val="style0"/>
              <w:snapToGrid w:val="false"/>
              <w:spacing w:after="200" w:before="0" w:line="240" w:lineRule="auto"/>
            </w:pPr>
            <w:r>
              <w:rPr>
                <w:rFonts w:ascii="Arial" w:cs="Arial" w:hAnsi="Arial"/>
                <w:color w:val="000000"/>
                <w:lang w:eastAsia="es-VE" w:val="es-VE"/>
              </w:rPr>
            </w:r>
          </w:p>
        </w:tc>
        <w:p>
          <w:pPr>
            <w:pStyle w:val="style0"/>
            <w:spacing w:after="200" w:before="0"/>
          </w:pPr>
          <w:r>
            <w:rPr>
              <w:rFonts w:ascii="Arial" w:cs="Arial" w:hAnsi="Arial"/>
            </w:rPr>
            <w:t>Fuente: Mendoza (2015)</w:t>
          </w:r>
        </w:p>
        <w:tc>
          <w:tcPr>
            <w:tcW w:type="dxa" w:w="2080"/>
            <w:tcBorders>
              <w:top w:color="000000" w:space="0" w:sz="4" w:val="single"/>
            </w:tcBorders>
            <w:shd w:fill="auto" w:val="clear"/>
            <w:tcMar>
              <w:top w:type="dxa" w:w="0"/>
              <w:left w:type="dxa" w:w="70"/>
              <w:bottom w:type="dxa" w:w="0"/>
              <w:right w:type="dxa" w:w="70"/>
            </w:tcMar>
            <w:vAlign w:val="bottom"/>
          </w:tcPr>
          <w:p>
            <w:pPr>
              <w:pStyle w:val="style0"/>
              <w:snapToGrid w:val="false"/>
              <w:spacing w:after="200" w:before="0" w:line="240" w:lineRule="auto"/>
            </w:pPr>
            <w:r>
              <w:rPr>
                <w:rFonts w:ascii="Arial" w:cs="Arial" w:hAnsi="Arial"/>
                <w:color w:val="000000"/>
              </w:rPr>
            </w:r>
          </w:p>
        </w:tc>
        <w:tc>
          <w:tcPr>
            <w:tcW w:type="dxa" w:w="1900"/>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rPr>
              <w:t>19</w:t>
            </w:r>
          </w:p>
        </w:tc>
        <w:tc>
          <w:tcPr>
            <w:tcW w:type="dxa" w:w="1210"/>
            <w:tcBorders>
              <w:top w:color="000000" w:space="0" w:sz="4" w:val="single"/>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rPr>
              <w:t>100%</w:t>
            </w:r>
          </w:p>
        </w:tc>
      </w:tr>
    </w:tbl>
    <w:p>
      <w:pPr>
        <w:pStyle w:val="style196"/>
        <w:spacing w:line="360" w:lineRule="auto"/>
        <w:jc w:val="both"/>
      </w:pPr>
      <w:r>
        <w:rPr>
          <w:rFonts w:ascii="Arial" w:cs="Arial" w:hAnsi="Arial"/>
          <w:color w:val="000000"/>
          <w:sz w:val="24"/>
          <w:szCs w:val="24"/>
          <w:shd w:fill="FFFFFF" w:val="clear"/>
        </w:rPr>
      </w:r>
    </w:p>
    <w:p>
      <w:pPr>
        <w:pStyle w:val="style196"/>
        <w:spacing w:line="360" w:lineRule="auto"/>
        <w:jc w:val="both"/>
      </w:pPr>
      <w:r>
        <w:rPr>
          <w:rFonts w:ascii="Arial" w:cs="Arial" w:hAnsi="Arial"/>
          <w:color w:val="000000"/>
          <w:sz w:val="24"/>
          <w:szCs w:val="24"/>
          <w:lang w:eastAsia="es-VE" w:val="es-VE"/>
        </w:rPr>
        <w:drawing>
          <wp:inline distB="0" distL="0" distR="0" distT="0">
            <wp:extent cx="4850130" cy="1483360"/>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50"/>
                    <a:srcRect/>
                    <a:stretch>
                      <a:fillRect/>
                    </a:stretch>
                  </pic:blipFill>
                  <pic:spPr bwMode="auto">
                    <a:xfrm>
                      <a:off x="0" y="0"/>
                      <a:ext cx="4850130" cy="1483360"/>
                    </a:xfrm>
                    <a:prstGeom prst="rect">
                      <a:avLst/>
                    </a:prstGeom>
                    <a:noFill/>
                    <a:ln w="9525">
                      <a:noFill/>
                      <a:miter lim="800000"/>
                      <a:headEnd/>
                      <a:tailEnd/>
                    </a:ln>
                  </pic:spPr>
                </pic:pic>
              </a:graphicData>
            </a:graphic>
          </wp:inline>
        </w:drawing>
      </w:r>
    </w:p>
    <w:p>
      <w:pPr>
        <w:pStyle w:val="style0"/>
        <w:spacing w:after="200" w:before="0"/>
        <w:jc w:val="center"/>
      </w:pPr>
      <w:r>
        <w:rPr>
          <w:rFonts w:ascii="Arial" w:cs="Arial" w:hAnsi="Arial"/>
        </w:rPr>
        <w:t>Fuente: Mendoza (2015)</w:t>
      </w:r>
    </w:p>
    <w:p>
      <w:pPr>
        <w:pStyle w:val="style197"/>
        <w:spacing w:after="0" w:before="0"/>
        <w:jc w:val="both"/>
      </w:pPr>
      <w:r>
        <w:rPr>
          <w:rFonts w:ascii="Arial" w:cs="Arial" w:hAnsi="Arial"/>
          <w:b/>
          <w:bCs/>
          <w:color w:val="000000"/>
        </w:rPr>
        <w:t xml:space="preserve">Gráfico 17 </w:t>
      </w:r>
      <w:r>
        <w:rPr>
          <w:rFonts w:ascii="Arial" w:cs="Arial" w:hAnsi="Arial"/>
          <w:b/>
          <w:color w:val="000000"/>
        </w:rPr>
        <w:t xml:space="preserve">Conocimiento sobre la intención de los Directivos en desincorporar </w:t>
      </w:r>
      <w:r>
        <w:rPr>
          <w:rFonts w:ascii="Arial" w:cs="Arial" w:hAnsi="Arial"/>
          <w:b/>
          <w:color w:val="000000"/>
          <w:shd w:fill="FFFFFF" w:val="clear"/>
        </w:rPr>
        <w:t>de los Bienes Nacionales en estado de Obsolescencia, deterioro y corrosión</w:t>
      </w:r>
      <w:r>
        <w:rPr>
          <w:rFonts w:ascii="Arial" w:cs="Arial" w:hAnsi="Arial"/>
          <w:b/>
          <w:bCs/>
          <w:color w:val="000000"/>
        </w:rPr>
        <w:t xml:space="preserve"> </w:t>
      </w:r>
    </w:p>
    <w:p>
      <w:pPr>
        <w:pStyle w:val="style196"/>
        <w:spacing w:line="360" w:lineRule="auto"/>
        <w:jc w:val="both"/>
      </w:pPr>
      <w:r>
        <w:rPr>
          <w:rFonts w:ascii="Arial" w:cs="Arial" w:hAnsi="Arial"/>
          <w:b/>
          <w:color w:val="000000"/>
          <w:sz w:val="24"/>
          <w:szCs w:val="24"/>
          <w:shd w:fill="FFFFFF" w:val="clear"/>
        </w:rPr>
        <w:t>Análisis:</w:t>
      </w:r>
      <w:r>
        <w:rPr>
          <w:rFonts w:ascii="Arial" w:cs="Arial" w:hAnsi="Arial"/>
          <w:color w:val="000000"/>
          <w:sz w:val="24"/>
          <w:szCs w:val="24"/>
          <w:shd w:fill="FFFFFF" w:val="clear"/>
        </w:rPr>
        <w:t xml:space="preserve"> </w:t>
      </w:r>
      <w:r>
        <w:rPr>
          <w:rFonts w:ascii="Arial" w:cs="Arial" w:hAnsi="Arial"/>
          <w:color w:val="000000"/>
          <w:sz w:val="24"/>
          <w:shd w:fill="FFFFFF" w:val="clear"/>
        </w:rPr>
        <w:t xml:space="preserve">En el cuadro 20  y gráfico 14 correspondiente al ítem 15 se puede observar  que el setenta y cuatro  (74) por ciento (%) de los encuestado expresan que los Directivos no se han establecido como meta la desincorporación de eso Activo que se encuentran en etapa de deterioro mientras dieciséis (16) porciento (%) no respondió y un dos (2) por ciento (%) opinó que los directivos se han planteado como meta la desincorporación  de los mismos. </w:t>
      </w:r>
    </w:p>
    <w:p>
      <w:pPr>
        <w:pStyle w:val="style196"/>
        <w:spacing w:line="360" w:lineRule="auto"/>
        <w:jc w:val="both"/>
      </w:pPr>
      <w:r>
        <w:rPr>
          <w:rFonts w:ascii="Arial" w:cs="Arial" w:hAnsi="Arial"/>
          <w:color w:val="000000"/>
          <w:sz w:val="24"/>
          <w:shd w:fill="FFFFFF" w:val="clear"/>
        </w:rPr>
        <w:tab/>
        <w:t xml:space="preserve"> Es de destacar que tanto los actuales Directivos como los anteriores y  el personal asignado a la Oficina de Bienes publico  han agotado los canales regulares e invertidos gran parte de su tiempo tratando de desincorporar tales bienes realizando estudios económicos – financieros, como también la inversión en horas – hombres en realizar un proceso de tal magnitud y como resultado de los mismos han sido negativos por parte de la Superintendencia de Bienes Público y por parte del Ministerio de Educación Universitaria, Ciencia y Tecnología que conociendo el caso no le han dado la importancia que merece en contribuir al saneamiento ambiental del Instituto Universitario de Tecnología de Yaracuy.</w:t>
      </w:r>
    </w:p>
    <w:p>
      <w:pPr>
        <w:pStyle w:val="style196"/>
        <w:pageBreakBefore/>
        <w:spacing w:line="360" w:lineRule="auto"/>
        <w:jc w:val="both"/>
      </w:pPr>
      <w:r>
        <w:rPr>
          <w:rFonts w:ascii="Arial" w:cs="Arial" w:hAnsi="Arial"/>
          <w:color w:val="000000"/>
          <w:sz w:val="24"/>
          <w:szCs w:val="24"/>
          <w:shd w:fill="FFFFFF" w:val="clear"/>
        </w:rPr>
        <w:t>Ítem 18. ¿Está de acuerdo Usted que la comisión designada realice anualmente un estudio de factibilidad con respecto a si existe bienes Nacionales en estados de de Obsolescencia, deterioro y corrosión y gestiones su respectivo proceso?</w:t>
      </w:r>
    </w:p>
    <w:p>
      <w:pPr>
        <w:pStyle w:val="style197"/>
        <w:spacing w:after="0" w:before="0" w:line="360" w:lineRule="auto"/>
        <w:jc w:val="both"/>
      </w:pPr>
      <w:r>
        <w:rPr>
          <w:rFonts w:ascii="Arial" w:cs="Arial" w:hAnsi="Arial"/>
          <w:b/>
          <w:bCs/>
          <w:color w:val="000000"/>
        </w:rPr>
      </w:r>
    </w:p>
    <w:p>
      <w:pPr>
        <w:pStyle w:val="style197"/>
        <w:spacing w:after="0" w:before="0"/>
        <w:jc w:val="both"/>
      </w:pPr>
      <w:r>
        <w:rPr>
          <w:rFonts w:ascii="Arial" w:cs="Arial" w:hAnsi="Arial"/>
          <w:b/>
          <w:bCs/>
          <w:color w:val="000000"/>
        </w:rPr>
      </w:r>
    </w:p>
    <w:tbl>
      <w:tblPr>
        <w:jc w:val="center"/>
        <w:tblBorders>
          <w:top w:color="000000" w:space="0" w:sz="4" w:val="single"/>
          <w:left w:color="000000" w:space="0" w:sz="4" w:val="single"/>
          <w:bottom w:color="000000" w:space="0" w:sz="4" w:val="single"/>
          <w:right w:color="000000" w:space="0" w:sz="4" w:val="single"/>
        </w:tblBorders>
      </w:tblPr>
      <w:tblGrid>
        <w:gridCol w:w="6530"/>
      </w:tblGrid>
      <w:tr>
        <w:trPr>
          <w:trHeight w:hRule="atLeast" w:val="315"/>
          <w:cantSplit w:val="false"/>
        </w:trPr>
        <w:tc>
          <w:tcPr>
            <w:tcW w:type="dxa" w:w="6530"/>
            <w:gridSpan w:val="4"/>
            <w:tcBorders>
              <w:top w:color="000000" w:space="0" w:sz="4" w:val="single"/>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197"/>
              <w:shd w:fill="FFFFFF" w:val="clear"/>
              <w:spacing w:after="120" w:before="120" w:line="360" w:lineRule="auto"/>
              <w:jc w:val="center"/>
            </w:pPr>
            <w:r>
              <w:rPr>
                <w:rFonts w:ascii="Arial" w:cs="Arial" w:hAnsi="Arial"/>
                <w:b/>
                <w:color w:val="000000"/>
              </w:rPr>
              <w:t>Cuadro  21</w:t>
            </w:r>
          </w:p>
          <w:p>
            <w:pPr>
              <w:pStyle w:val="style197"/>
              <w:shd w:fill="FFFFFF" w:val="clear"/>
              <w:spacing w:after="120" w:before="120" w:line="360" w:lineRule="auto"/>
              <w:jc w:val="both"/>
            </w:pPr>
            <w:r>
              <w:rPr>
                <w:rFonts w:ascii="Arial" w:cs="Arial" w:hAnsi="Arial"/>
                <w:b/>
                <w:color w:val="000000"/>
              </w:rPr>
              <w:t xml:space="preserve">Opinión para delegar a la comisión </w:t>
            </w:r>
            <w:r>
              <w:rPr>
                <w:rFonts w:ascii="Arial" w:cs="Arial" w:hAnsi="Arial"/>
                <w:b/>
                <w:color w:val="000000"/>
                <w:shd w:fill="FFFFFF" w:val="clear"/>
              </w:rPr>
              <w:t>realizar anualmente un estudio de factibilidad con respecto a si existe bienes Nacionales en estados de de Obsolescencia, deterioro y corrosión y gestiones su respectivo proceso</w:t>
            </w:r>
          </w:p>
        </w:tc>
      </w:tr>
      <w:tr>
        <w:trPr>
          <w:trHeight w:hRule="atLeast" w:val="315"/>
          <w:cantSplit w:val="false"/>
        </w:trPr>
        <w:tc>
          <w:tcPr>
            <w:tcW w:type="dxa" w:w="980"/>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b/>
                <w:szCs w:val="20"/>
              </w:rPr>
              <w:t>Ítem</w:t>
            </w:r>
          </w:p>
        </w:tc>
        <w:tc>
          <w:tcPr>
            <w:tcW w:type="dxa" w:w="2300"/>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b/>
                <w:szCs w:val="20"/>
              </w:rPr>
              <w:t>Opciones  de Repuestas</w:t>
            </w:r>
          </w:p>
        </w:tc>
        <w:tc>
          <w:tcPr>
            <w:tcW w:type="dxa" w:w="2040"/>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b/>
                <w:szCs w:val="20"/>
              </w:rPr>
              <w:t>Frecuencia</w:t>
            </w:r>
          </w:p>
        </w:tc>
        <w:tc>
          <w:tcPr>
            <w:tcW w:type="dxa" w:w="1210"/>
            <w:tcBorders>
              <w:top w:color="000000" w:space="0" w:sz="4" w:val="single"/>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b/>
                <w:szCs w:val="20"/>
              </w:rPr>
              <w:t>Valor %</w:t>
            </w:r>
          </w:p>
        </w:tc>
      </w:tr>
      <w:tr>
        <w:trPr>
          <w:trHeight w:hRule="atLeast" w:val="300"/>
          <w:cantSplit w:val="false"/>
        </w:trPr>
        <w:tc>
          <w:tcPr>
            <w:tcW w:type="dxa" w:w="98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rPr>
              <w:t>A</w:t>
            </w:r>
          </w:p>
        </w:tc>
        <w:tc>
          <w:tcPr>
            <w:tcW w:type="dxa" w:w="230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color w:val="000000"/>
              </w:rPr>
              <w:t>No contestó</w:t>
            </w:r>
          </w:p>
        </w:tc>
        <w:tc>
          <w:tcPr>
            <w:tcW w:type="dxa" w:w="204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rPr>
              <w:t>0</w:t>
            </w:r>
          </w:p>
        </w:tc>
        <w:tc>
          <w:tcPr>
            <w:tcW w:type="dxa" w:w="121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rPr>
              <w:t>0%</w:t>
            </w:r>
          </w:p>
        </w:tc>
      </w:tr>
      <w:tr>
        <w:trPr>
          <w:trHeight w:hRule="atLeast" w:val="300"/>
          <w:cantSplit w:val="false"/>
        </w:trPr>
        <w:tc>
          <w:tcPr>
            <w:tcW w:type="dxa" w:w="98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rPr>
              <w:t>B</w:t>
            </w:r>
          </w:p>
        </w:tc>
        <w:tc>
          <w:tcPr>
            <w:tcW w:type="dxa" w:w="230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color w:val="000000"/>
              </w:rPr>
              <w:t>Siempre</w:t>
            </w:r>
          </w:p>
        </w:tc>
        <w:tc>
          <w:tcPr>
            <w:tcW w:type="dxa" w:w="204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rPr>
              <w:t>11</w:t>
            </w:r>
          </w:p>
        </w:tc>
        <w:tc>
          <w:tcPr>
            <w:tcW w:type="dxa" w:w="121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rPr>
              <w:t>58%</w:t>
            </w:r>
          </w:p>
        </w:tc>
      </w:tr>
      <w:tr>
        <w:trPr>
          <w:trHeight w:hRule="atLeast" w:val="300"/>
          <w:cantSplit w:val="false"/>
        </w:trPr>
        <w:tc>
          <w:tcPr>
            <w:tcW w:type="dxa" w:w="98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rPr>
              <w:t>C</w:t>
            </w:r>
          </w:p>
        </w:tc>
        <w:tc>
          <w:tcPr>
            <w:tcW w:type="dxa" w:w="230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color w:val="000000"/>
              </w:rPr>
              <w:t>Casi siempre</w:t>
            </w:r>
          </w:p>
        </w:tc>
        <w:tc>
          <w:tcPr>
            <w:tcW w:type="dxa" w:w="204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rPr>
              <w:t>0</w:t>
            </w:r>
          </w:p>
        </w:tc>
        <w:tc>
          <w:tcPr>
            <w:tcW w:type="dxa" w:w="121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rPr>
              <w:t>0%</w:t>
            </w:r>
          </w:p>
        </w:tc>
      </w:tr>
      <w:tr>
        <w:trPr>
          <w:trHeight w:hRule="atLeast" w:val="300"/>
          <w:cantSplit w:val="false"/>
        </w:trPr>
        <w:tc>
          <w:tcPr>
            <w:tcW w:type="dxa" w:w="98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rPr>
              <w:t>D</w:t>
            </w:r>
          </w:p>
        </w:tc>
        <w:tc>
          <w:tcPr>
            <w:tcW w:type="dxa" w:w="230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color w:val="000000"/>
              </w:rPr>
              <w:t>A veces</w:t>
            </w:r>
          </w:p>
        </w:tc>
        <w:tc>
          <w:tcPr>
            <w:tcW w:type="dxa" w:w="204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rPr>
              <w:t>0</w:t>
            </w:r>
          </w:p>
        </w:tc>
        <w:tc>
          <w:tcPr>
            <w:tcW w:type="dxa" w:w="121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rPr>
              <w:t>0%</w:t>
            </w:r>
          </w:p>
        </w:tc>
      </w:tr>
      <w:tr>
        <w:trPr>
          <w:trHeight w:hRule="atLeast" w:val="300"/>
          <w:cantSplit w:val="false"/>
        </w:trPr>
        <w:tc>
          <w:tcPr>
            <w:tcW w:type="dxa" w:w="98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rPr>
              <w:t>E</w:t>
            </w:r>
          </w:p>
        </w:tc>
        <w:tc>
          <w:tcPr>
            <w:tcW w:type="dxa" w:w="230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color w:val="000000"/>
              </w:rPr>
              <w:t>Casi Nunca</w:t>
            </w:r>
          </w:p>
        </w:tc>
        <w:tc>
          <w:tcPr>
            <w:tcW w:type="dxa" w:w="204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rPr>
              <w:t>0</w:t>
            </w:r>
          </w:p>
        </w:tc>
        <w:tc>
          <w:tcPr>
            <w:tcW w:type="dxa" w:w="121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rPr>
              <w:t>0%</w:t>
            </w:r>
          </w:p>
        </w:tc>
      </w:tr>
      <w:tr>
        <w:trPr>
          <w:trHeight w:hRule="atLeast" w:val="300"/>
          <w:cantSplit w:val="false"/>
        </w:trPr>
        <w:tc>
          <w:tcPr>
            <w:tcW w:type="dxa" w:w="98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color w:val="000000"/>
              </w:rPr>
              <w:t>F</w:t>
            </w:r>
          </w:p>
        </w:tc>
        <w:tc>
          <w:tcPr>
            <w:tcW w:type="dxa" w:w="230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pPr>
            <w:r>
              <w:rPr>
                <w:rFonts w:ascii="Arial" w:cs="Arial" w:hAnsi="Arial"/>
                <w:color w:val="000000"/>
              </w:rPr>
              <w:t>Nunca</w:t>
            </w:r>
          </w:p>
        </w:tc>
        <w:tc>
          <w:tcPr>
            <w:tcW w:type="dxa" w:w="204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rPr>
              <w:t>8</w:t>
            </w:r>
          </w:p>
        </w:tc>
        <w:tc>
          <w:tcPr>
            <w:tcW w:type="dxa" w:w="121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rPr>
              <w:t>42%</w:t>
            </w:r>
          </w:p>
        </w:tc>
      </w:tr>
      <w:tr>
        <w:trPr>
          <w:trHeight w:hRule="atLeast" w:val="300"/>
          <w:cantSplit w:val="false"/>
        </w:trPr>
        <w:tc>
          <w:tcPr>
            <w:tcW w:type="dxa" w:w="980"/>
            <w:tcBorders>
              <w:top w:color="000000" w:space="0" w:sz="4" w:val="single"/>
            </w:tcBorders>
            <w:shd w:fill="auto" w:val="clear"/>
            <w:tcMar>
              <w:top w:type="dxa" w:w="0"/>
              <w:left w:type="dxa" w:w="70"/>
              <w:bottom w:type="dxa" w:w="0"/>
              <w:right w:type="dxa" w:w="70"/>
            </w:tcMar>
            <w:vAlign w:val="bottom"/>
          </w:tcPr>
          <w:p>
            <w:pPr>
              <w:pStyle w:val="style0"/>
              <w:snapToGrid w:val="false"/>
              <w:spacing w:after="200" w:before="0" w:line="240" w:lineRule="auto"/>
            </w:pPr>
            <w:r>
              <w:rPr>
                <w:rFonts w:ascii="Arial" w:cs="Arial" w:hAnsi="Arial"/>
                <w:color w:val="000000"/>
                <w:lang w:eastAsia="es-VE" w:val="es-VE"/>
              </w:rPr>
            </w:r>
          </w:p>
        </w:tc>
        <w:p>
          <w:pPr>
            <w:pStyle w:val="style0"/>
            <w:spacing w:after="200" w:before="0"/>
          </w:pPr>
          <w:r>
            <w:rPr>
              <w:rFonts w:ascii="Arial" w:cs="Arial" w:hAnsi="Arial"/>
            </w:rPr>
            <w:t>Fuente: Mendoza (2015)</w:t>
          </w:r>
        </w:p>
        <w:tc>
          <w:tcPr>
            <w:tcW w:type="dxa" w:w="2300"/>
            <w:tcBorders>
              <w:top w:color="000000" w:space="0" w:sz="4" w:val="single"/>
            </w:tcBorders>
            <w:shd w:fill="auto" w:val="clear"/>
            <w:tcMar>
              <w:top w:type="dxa" w:w="0"/>
              <w:left w:type="dxa" w:w="70"/>
              <w:bottom w:type="dxa" w:w="0"/>
              <w:right w:type="dxa" w:w="70"/>
            </w:tcMar>
            <w:vAlign w:val="bottom"/>
          </w:tcPr>
          <w:p>
            <w:pPr>
              <w:pStyle w:val="style0"/>
              <w:snapToGrid w:val="false"/>
              <w:spacing w:after="200" w:before="0" w:line="240" w:lineRule="auto"/>
            </w:pPr>
            <w:r>
              <w:rPr>
                <w:rFonts w:ascii="Arial" w:cs="Arial" w:hAnsi="Arial"/>
                <w:color w:val="000000"/>
              </w:rPr>
            </w:r>
          </w:p>
        </w:tc>
        <w:tc>
          <w:tcPr>
            <w:tcW w:type="dxa" w:w="2040"/>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rPr>
              <w:t>19</w:t>
            </w:r>
          </w:p>
        </w:tc>
        <w:tc>
          <w:tcPr>
            <w:tcW w:type="dxa" w:w="1210"/>
            <w:tcBorders>
              <w:top w:color="000000" w:space="0" w:sz="4" w:val="single"/>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right"/>
            </w:pPr>
            <w:r>
              <w:rPr>
                <w:rFonts w:ascii="Arial" w:cs="Arial" w:hAnsi="Arial"/>
                <w:color w:val="000000"/>
              </w:rPr>
              <w:t>100%</w:t>
            </w:r>
          </w:p>
        </w:tc>
      </w:tr>
    </w:tbl>
    <w:p>
      <w:pPr>
        <w:pStyle w:val="style196"/>
        <w:spacing w:line="360" w:lineRule="auto"/>
        <w:jc w:val="both"/>
      </w:pPr>
      <w:r>
        <w:rPr>
          <w:rFonts w:ascii="Arial" w:cs="Arial" w:hAnsi="Arial"/>
          <w:color w:val="000000"/>
          <w:sz w:val="24"/>
          <w:szCs w:val="24"/>
          <w:shd w:fill="FFFFFF" w:val="clear"/>
        </w:rPr>
      </w:r>
    </w:p>
    <w:p>
      <w:pPr>
        <w:pStyle w:val="style196"/>
        <w:spacing w:line="360" w:lineRule="auto"/>
        <w:jc w:val="center"/>
      </w:pPr>
      <w:r>
        <w:rPr>
          <w:rFonts w:ascii="Arial" w:cs="Arial" w:hAnsi="Arial"/>
          <w:color w:val="000000"/>
          <w:sz w:val="24"/>
          <w:szCs w:val="24"/>
          <w:shd w:fill="FFFFFF" w:val="clear"/>
          <w:lang w:eastAsia="es-VE" w:val="es-VE"/>
        </w:rPr>
        <w:drawing>
          <wp:inline distB="0" distL="0" distR="0" distT="0">
            <wp:extent cx="5255260" cy="2413635"/>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51"/>
                    <a:srcRect/>
                    <a:stretch>
                      <a:fillRect/>
                    </a:stretch>
                  </pic:blipFill>
                  <pic:spPr bwMode="auto">
                    <a:xfrm>
                      <a:off x="0" y="0"/>
                      <a:ext cx="5255260" cy="2413635"/>
                    </a:xfrm>
                    <a:prstGeom prst="rect">
                      <a:avLst/>
                    </a:prstGeom>
                    <a:noFill/>
                    <a:ln w="9525">
                      <a:noFill/>
                      <a:miter lim="800000"/>
                      <a:headEnd/>
                      <a:tailEnd/>
                    </a:ln>
                  </pic:spPr>
                </pic:pic>
              </a:graphicData>
            </a:graphic>
          </wp:inline>
        </w:drawing>
      </w:r>
    </w:p>
    <w:p>
      <w:pPr>
        <w:pStyle w:val="style197"/>
        <w:spacing w:after="0" w:before="0"/>
      </w:pPr>
      <w:r>
        <w:rPr>
          <w:rFonts w:ascii="Arial" w:cs="Arial" w:hAnsi="Arial"/>
          <w:b/>
          <w:bCs/>
          <w:color w:val="000000"/>
          <w:lang w:eastAsia="es-VE" w:val="es-VE"/>
        </w:rPr>
      </w:r>
    </w:p>
    <w:p>
      <w:pPr>
        <w:pStyle w:val="style0"/>
        <w:spacing w:after="200" w:before="0"/>
      </w:pPr>
      <w:r>
        <w:rPr>
          <w:rFonts w:ascii="Arial" w:cs="Arial" w:hAnsi="Arial"/>
        </w:rPr>
        <w:t>Fuente: Mendoza (2015)</w:t>
      </w:r>
    </w:p>
    <w:p>
      <w:pPr>
        <w:pStyle w:val="style197"/>
        <w:spacing w:after="0" w:before="0"/>
      </w:pPr>
      <w:r>
        <w:rPr>
          <w:rFonts w:ascii="Arial" w:cs="Arial" w:hAnsi="Arial"/>
          <w:b/>
          <w:bCs/>
          <w:color w:val="000000"/>
        </w:rPr>
      </w:r>
    </w:p>
    <w:p>
      <w:pPr>
        <w:pStyle w:val="style197"/>
        <w:shd w:fill="FFFFFF" w:val="clear"/>
        <w:spacing w:after="120" w:before="120"/>
        <w:jc w:val="both"/>
      </w:pPr>
      <w:r>
        <w:rPr>
          <w:rFonts w:ascii="Arial" w:cs="Arial" w:hAnsi="Arial"/>
          <w:b/>
          <w:bCs/>
          <w:color w:val="000000"/>
        </w:rPr>
        <w:t xml:space="preserve">Gráfico 18 </w:t>
      </w:r>
      <w:r>
        <w:rPr>
          <w:rFonts w:ascii="Arial" w:cs="Arial" w:hAnsi="Arial"/>
          <w:color w:val="000000"/>
        </w:rPr>
        <w:t xml:space="preserve">Opinión para delegar a la comisión </w:t>
      </w:r>
      <w:r>
        <w:rPr>
          <w:rFonts w:ascii="Arial" w:cs="Arial" w:hAnsi="Arial"/>
          <w:color w:val="000000"/>
          <w:shd w:fill="FFFFFF" w:val="clear"/>
        </w:rPr>
        <w:t>realizar anualmente un estudio de factibilidad con respecto a si existe bienes Nacionales en estados de de Obsolescencia, deterioro y corrosión y gestiones su respectivo proceso</w:t>
      </w:r>
    </w:p>
    <w:p>
      <w:pPr>
        <w:pStyle w:val="style197"/>
        <w:spacing w:after="0" w:before="0"/>
      </w:pPr>
      <w:r>
        <w:rPr>
          <w:rFonts w:ascii="Arial" w:cs="Arial" w:hAnsi="Arial"/>
          <w:b/>
          <w:bCs/>
          <w:color w:val="000000"/>
        </w:rPr>
      </w:r>
    </w:p>
    <w:p>
      <w:pPr>
        <w:pStyle w:val="style197"/>
        <w:spacing w:after="0" w:before="0" w:line="360" w:lineRule="auto"/>
        <w:jc w:val="both"/>
      </w:pPr>
      <w:r>
        <w:rPr>
          <w:rFonts w:ascii="Arial" w:cs="Arial" w:hAnsi="Arial"/>
          <w:b/>
          <w:bCs/>
          <w:color w:val="000000"/>
        </w:rPr>
        <w:t>Análisis:</w:t>
      </w:r>
      <w:r>
        <w:rPr>
          <w:rFonts w:ascii="Arial" w:cs="Arial" w:hAnsi="Arial"/>
          <w:bCs/>
          <w:color w:val="000000"/>
        </w:rPr>
        <w:t xml:space="preserve"> Según los resultados obtenidos en el cuadro 21 y grafico 13 se muestra que el cincuenta y ocho (58) por ciento (%) de los encuestado  del Instituto Universitario de Tecnología de Yaracuy expresa que se debe designar anualmente una Comisión  para realizar un estudio de factibilidad para la revisión de los Bienes Nacionales que presente etapa de obsolescencia, deterioro o corrosión  mientras un cuarenta y dos (42</w:t>
      </w:r>
      <w:r>
        <w:rPr>
          <w:rFonts w:ascii="Arial" w:cs="Arial" w:hAnsi="Arial"/>
          <w:b/>
          <w:bCs/>
          <w:color w:val="000000"/>
        </w:rPr>
        <w:t xml:space="preserve"> </w:t>
      </w:r>
      <w:r>
        <w:rPr>
          <w:rFonts w:ascii="Arial" w:cs="Arial" w:hAnsi="Arial"/>
          <w:bCs/>
          <w:color w:val="000000"/>
        </w:rPr>
        <w:t>) por ciento (%) opina que no  se debe asignar porque esto conlleva a crear vicio entre los responsable de la comisión.</w:t>
      </w:r>
    </w:p>
    <w:p>
      <w:pPr>
        <w:pStyle w:val="style197"/>
        <w:pageBreakBefore/>
        <w:spacing w:after="0" w:before="0" w:line="360" w:lineRule="auto"/>
        <w:jc w:val="both"/>
      </w:pPr>
      <w:r>
        <w:rPr>
          <w:rStyle w:val="style168"/>
          <w:rFonts w:ascii="Arial" w:cs="Arial" w:hAnsi="Arial"/>
          <w:color w:val="000000"/>
        </w:rPr>
        <w:t xml:space="preserve">Ítem 19. </w:t>
      </w:r>
      <w:r>
        <w:rPr>
          <w:rFonts w:ascii="Arial" w:cs="Arial" w:hAnsi="Arial"/>
          <w:color w:val="000000"/>
          <w:shd w:fill="FFFFFF" w:val="clear"/>
        </w:rPr>
        <w:t>¿Tiene Usted conocimiento si los Directivos de la institución han solicitado información ante la Empresa Siderúrgica de cuáles son los pasos para la Enajenación, permuta o donación  de las chatarras que se encuentra en los espacios de la comunidad universitaria?</w:t>
      </w:r>
    </w:p>
    <w:p>
      <w:pPr>
        <w:pStyle w:val="style197"/>
        <w:spacing w:after="0" w:before="0" w:line="360" w:lineRule="auto"/>
        <w:jc w:val="both"/>
      </w:pPr>
      <w:r>
        <w:rPr>
          <w:rFonts w:ascii="Arial" w:cs="Arial" w:hAnsi="Arial"/>
          <w:b/>
          <w:bCs/>
          <w:color w:val="000000"/>
        </w:rPr>
      </w:r>
    </w:p>
    <w:tbl>
      <w:tblPr>
        <w:jc w:val="center"/>
        <w:tblBorders>
          <w:top w:color="000000" w:space="0" w:sz="4" w:val="single"/>
          <w:left w:color="000000" w:space="0" w:sz="4" w:val="single"/>
          <w:bottom w:color="000000" w:space="0" w:sz="4" w:val="single"/>
          <w:right w:color="000000" w:space="0" w:sz="4" w:val="single"/>
        </w:tblBorders>
      </w:tblPr>
      <w:tblGrid>
        <w:gridCol w:w="6727"/>
      </w:tblGrid>
      <w:tr>
        <w:trPr>
          <w:trHeight w:hRule="atLeast" w:val="315"/>
          <w:cantSplit w:val="false"/>
        </w:trPr>
        <w:tc>
          <w:tcPr>
            <w:tcW w:type="dxa" w:w="6727"/>
            <w:gridSpan w:val="4"/>
            <w:tcBorders>
              <w:top w:color="000000" w:space="0" w:sz="4" w:val="single"/>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197"/>
              <w:shd w:fill="FFFFFF" w:val="clear"/>
              <w:spacing w:after="120" w:before="120" w:line="360" w:lineRule="auto"/>
              <w:jc w:val="center"/>
            </w:pPr>
            <w:r>
              <w:rPr>
                <w:rFonts w:ascii="Arial" w:cs="Arial" w:hAnsi="Arial"/>
                <w:b/>
                <w:color w:val="000000"/>
              </w:rPr>
              <w:t>Cuadro  22</w:t>
            </w:r>
          </w:p>
          <w:p>
            <w:pPr>
              <w:pStyle w:val="style197"/>
              <w:shd w:fill="FFFFFF" w:val="clear"/>
              <w:spacing w:after="120" w:before="120" w:line="360" w:lineRule="auto"/>
              <w:jc w:val="both"/>
            </w:pPr>
            <w:r>
              <w:rPr>
                <w:rFonts w:ascii="Arial" w:cs="Arial" w:hAnsi="Arial"/>
                <w:b/>
                <w:color w:val="000000"/>
              </w:rPr>
              <w:t xml:space="preserve">Conocimiento sobre la gestión de los directivos con respecto a la información </w:t>
            </w:r>
            <w:r>
              <w:rPr>
                <w:rFonts w:ascii="Arial" w:cs="Arial" w:hAnsi="Arial"/>
                <w:b/>
                <w:color w:val="000000"/>
                <w:shd w:fill="FFFFFF" w:val="clear"/>
              </w:rPr>
              <w:t>ante la Empresa Siderúrgica para la enajenación, permuta o donación de las chatarras</w:t>
            </w:r>
          </w:p>
        </w:tc>
      </w:tr>
      <w:tr>
        <w:trPr>
          <w:trHeight w:hRule="atLeast" w:val="315"/>
          <w:cantSplit w:val="false"/>
        </w:trPr>
        <w:tc>
          <w:tcPr>
            <w:tcW w:type="dxa" w:w="1394"/>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b/>
                <w:szCs w:val="20"/>
              </w:rPr>
              <w:t>Ítem</w:t>
            </w:r>
          </w:p>
        </w:tc>
        <w:tc>
          <w:tcPr>
            <w:tcW w:type="dxa" w:w="2203"/>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b/>
                <w:szCs w:val="20"/>
              </w:rPr>
              <w:t>Opciones  de Repuestas</w:t>
            </w:r>
          </w:p>
        </w:tc>
        <w:tc>
          <w:tcPr>
            <w:tcW w:type="dxa" w:w="1920"/>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b/>
                <w:szCs w:val="20"/>
              </w:rPr>
              <w:t>Frecuencia</w:t>
            </w:r>
          </w:p>
        </w:tc>
        <w:tc>
          <w:tcPr>
            <w:tcW w:type="dxa" w:w="1210"/>
            <w:tcBorders>
              <w:top w:color="000000" w:space="0" w:sz="4" w:val="single"/>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b/>
                <w:szCs w:val="20"/>
              </w:rPr>
              <w:t>Valor %</w:t>
            </w:r>
          </w:p>
        </w:tc>
      </w:tr>
      <w:tr>
        <w:trPr>
          <w:trHeight w:hRule="atLeast" w:val="300"/>
          <w:cantSplit w:val="false"/>
        </w:trPr>
        <w:tc>
          <w:tcPr>
            <w:tcW w:type="dxa" w:w="1394"/>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jc w:val="center"/>
            </w:pPr>
            <w:r>
              <w:rPr>
                <w:rFonts w:ascii="Arial" w:cs="Arial" w:hAnsi="Arial"/>
                <w:color w:val="000000"/>
              </w:rPr>
              <w:t>A</w:t>
            </w:r>
          </w:p>
        </w:tc>
        <w:tc>
          <w:tcPr>
            <w:tcW w:type="dxa" w:w="2203"/>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pPr>
            <w:r>
              <w:rPr>
                <w:rFonts w:ascii="Arial" w:cs="Arial" w:hAnsi="Arial"/>
                <w:color w:val="000000"/>
              </w:rPr>
              <w:t>No contestó</w:t>
            </w:r>
          </w:p>
        </w:tc>
        <w:tc>
          <w:tcPr>
            <w:tcW w:type="dxa" w:w="192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jc w:val="right"/>
            </w:pPr>
            <w:r>
              <w:rPr>
                <w:rFonts w:ascii="Arial" w:cs="Arial" w:hAnsi="Arial"/>
                <w:color w:val="000000"/>
              </w:rPr>
              <w:t>0</w:t>
            </w:r>
          </w:p>
        </w:tc>
        <w:tc>
          <w:tcPr>
            <w:tcW w:type="dxa" w:w="121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jc w:val="right"/>
            </w:pPr>
            <w:r>
              <w:rPr>
                <w:rFonts w:ascii="Arial" w:cs="Arial" w:hAnsi="Arial"/>
                <w:color w:val="000000"/>
              </w:rPr>
              <w:t>0%</w:t>
            </w:r>
          </w:p>
        </w:tc>
      </w:tr>
      <w:tr>
        <w:trPr>
          <w:trHeight w:hRule="atLeast" w:val="300"/>
          <w:cantSplit w:val="false"/>
        </w:trPr>
        <w:tc>
          <w:tcPr>
            <w:tcW w:type="dxa" w:w="1394"/>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jc w:val="center"/>
            </w:pPr>
            <w:r>
              <w:rPr>
                <w:rFonts w:ascii="Arial" w:cs="Arial" w:hAnsi="Arial"/>
                <w:color w:val="000000"/>
              </w:rPr>
              <w:t>B</w:t>
            </w:r>
          </w:p>
        </w:tc>
        <w:tc>
          <w:tcPr>
            <w:tcW w:type="dxa" w:w="2203"/>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pPr>
            <w:r>
              <w:rPr>
                <w:rFonts w:ascii="Arial" w:cs="Arial" w:hAnsi="Arial"/>
                <w:color w:val="000000"/>
              </w:rPr>
              <w:t>Siempre</w:t>
            </w:r>
          </w:p>
        </w:tc>
        <w:tc>
          <w:tcPr>
            <w:tcW w:type="dxa" w:w="192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jc w:val="right"/>
            </w:pPr>
            <w:r>
              <w:rPr>
                <w:rFonts w:ascii="Arial" w:cs="Arial" w:hAnsi="Arial"/>
                <w:color w:val="000000"/>
              </w:rPr>
              <w:t>0</w:t>
            </w:r>
          </w:p>
        </w:tc>
        <w:tc>
          <w:tcPr>
            <w:tcW w:type="dxa" w:w="121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jc w:val="right"/>
            </w:pPr>
            <w:r>
              <w:rPr>
                <w:rFonts w:ascii="Arial" w:cs="Arial" w:hAnsi="Arial"/>
                <w:color w:val="000000"/>
              </w:rPr>
              <w:t>0%</w:t>
            </w:r>
          </w:p>
        </w:tc>
      </w:tr>
      <w:tr>
        <w:trPr>
          <w:trHeight w:hRule="atLeast" w:val="300"/>
          <w:cantSplit w:val="false"/>
        </w:trPr>
        <w:tc>
          <w:tcPr>
            <w:tcW w:type="dxa" w:w="1394"/>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jc w:val="center"/>
            </w:pPr>
            <w:r>
              <w:rPr>
                <w:rFonts w:ascii="Arial" w:cs="Arial" w:hAnsi="Arial"/>
                <w:color w:val="000000"/>
              </w:rPr>
              <w:t>C</w:t>
            </w:r>
          </w:p>
        </w:tc>
        <w:tc>
          <w:tcPr>
            <w:tcW w:type="dxa" w:w="2203"/>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pPr>
            <w:r>
              <w:rPr>
                <w:rFonts w:ascii="Arial" w:cs="Arial" w:hAnsi="Arial"/>
                <w:color w:val="000000"/>
              </w:rPr>
              <w:t>Casi siempre</w:t>
            </w:r>
          </w:p>
        </w:tc>
        <w:tc>
          <w:tcPr>
            <w:tcW w:type="dxa" w:w="192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jc w:val="right"/>
            </w:pPr>
            <w:r>
              <w:rPr>
                <w:rFonts w:ascii="Arial" w:cs="Arial" w:hAnsi="Arial"/>
                <w:color w:val="000000"/>
              </w:rPr>
              <w:t>0</w:t>
            </w:r>
          </w:p>
        </w:tc>
        <w:tc>
          <w:tcPr>
            <w:tcW w:type="dxa" w:w="121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jc w:val="right"/>
            </w:pPr>
            <w:r>
              <w:rPr>
                <w:rFonts w:ascii="Arial" w:cs="Arial" w:hAnsi="Arial"/>
                <w:color w:val="000000"/>
              </w:rPr>
              <w:t>0%</w:t>
            </w:r>
          </w:p>
        </w:tc>
      </w:tr>
      <w:tr>
        <w:trPr>
          <w:trHeight w:hRule="atLeast" w:val="300"/>
          <w:cantSplit w:val="false"/>
        </w:trPr>
        <w:tc>
          <w:tcPr>
            <w:tcW w:type="dxa" w:w="1394"/>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jc w:val="center"/>
            </w:pPr>
            <w:r>
              <w:rPr>
                <w:rFonts w:ascii="Arial" w:cs="Arial" w:hAnsi="Arial"/>
                <w:color w:val="000000"/>
              </w:rPr>
              <w:t>D</w:t>
            </w:r>
          </w:p>
        </w:tc>
        <w:tc>
          <w:tcPr>
            <w:tcW w:type="dxa" w:w="2203"/>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pPr>
            <w:r>
              <w:rPr>
                <w:rFonts w:ascii="Arial" w:cs="Arial" w:hAnsi="Arial"/>
                <w:color w:val="000000"/>
              </w:rPr>
              <w:t>A veces</w:t>
            </w:r>
          </w:p>
        </w:tc>
        <w:tc>
          <w:tcPr>
            <w:tcW w:type="dxa" w:w="192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jc w:val="right"/>
            </w:pPr>
            <w:r>
              <w:rPr>
                <w:rFonts w:ascii="Arial" w:cs="Arial" w:hAnsi="Arial"/>
                <w:color w:val="000000"/>
              </w:rPr>
              <w:t>2</w:t>
            </w:r>
          </w:p>
        </w:tc>
        <w:tc>
          <w:tcPr>
            <w:tcW w:type="dxa" w:w="121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jc w:val="right"/>
            </w:pPr>
            <w:r>
              <w:rPr>
                <w:rFonts w:ascii="Arial" w:cs="Arial" w:hAnsi="Arial"/>
                <w:color w:val="000000"/>
              </w:rPr>
              <w:t>11%</w:t>
            </w:r>
          </w:p>
        </w:tc>
      </w:tr>
      <w:tr>
        <w:trPr>
          <w:trHeight w:hRule="atLeast" w:val="300"/>
          <w:cantSplit w:val="false"/>
        </w:trPr>
        <w:tc>
          <w:tcPr>
            <w:tcW w:type="dxa" w:w="1394"/>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jc w:val="center"/>
            </w:pPr>
            <w:r>
              <w:rPr>
                <w:rFonts w:ascii="Arial" w:cs="Arial" w:hAnsi="Arial"/>
                <w:color w:val="000000"/>
              </w:rPr>
              <w:t>E</w:t>
            </w:r>
          </w:p>
        </w:tc>
        <w:tc>
          <w:tcPr>
            <w:tcW w:type="dxa" w:w="2203"/>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pPr>
            <w:r>
              <w:rPr>
                <w:rFonts w:ascii="Arial" w:cs="Arial" w:hAnsi="Arial"/>
                <w:color w:val="000000"/>
              </w:rPr>
              <w:t>Casi Nunca</w:t>
            </w:r>
          </w:p>
        </w:tc>
        <w:tc>
          <w:tcPr>
            <w:tcW w:type="dxa" w:w="192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jc w:val="right"/>
            </w:pPr>
            <w:r>
              <w:rPr>
                <w:rFonts w:ascii="Arial" w:cs="Arial" w:hAnsi="Arial"/>
                <w:color w:val="000000"/>
              </w:rPr>
              <w:t>2</w:t>
            </w:r>
          </w:p>
        </w:tc>
        <w:tc>
          <w:tcPr>
            <w:tcW w:type="dxa" w:w="121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jc w:val="right"/>
            </w:pPr>
            <w:r>
              <w:rPr>
                <w:rFonts w:ascii="Arial" w:cs="Arial" w:hAnsi="Arial"/>
                <w:color w:val="000000"/>
              </w:rPr>
              <w:t>11%</w:t>
            </w:r>
          </w:p>
        </w:tc>
      </w:tr>
      <w:tr>
        <w:trPr>
          <w:trHeight w:hRule="atLeast" w:val="300"/>
          <w:cantSplit w:val="false"/>
        </w:trPr>
        <w:tc>
          <w:tcPr>
            <w:tcW w:type="dxa" w:w="1394"/>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jc w:val="center"/>
            </w:pPr>
            <w:r>
              <w:rPr>
                <w:rFonts w:ascii="Arial" w:cs="Arial" w:hAnsi="Arial"/>
                <w:color w:val="000000"/>
              </w:rPr>
              <w:t>F</w:t>
            </w:r>
          </w:p>
        </w:tc>
        <w:tc>
          <w:tcPr>
            <w:tcW w:type="dxa" w:w="2203"/>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pPr>
            <w:r>
              <w:rPr>
                <w:rFonts w:ascii="Arial" w:cs="Arial" w:hAnsi="Arial"/>
                <w:color w:val="000000"/>
              </w:rPr>
              <w:t>Nunca</w:t>
            </w:r>
          </w:p>
        </w:tc>
        <w:tc>
          <w:tcPr>
            <w:tcW w:type="dxa" w:w="192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jc w:val="right"/>
            </w:pPr>
            <w:r>
              <w:rPr>
                <w:rFonts w:ascii="Arial" w:cs="Arial" w:hAnsi="Arial"/>
                <w:color w:val="000000"/>
              </w:rPr>
              <w:t>15</w:t>
            </w:r>
          </w:p>
        </w:tc>
        <w:tc>
          <w:tcPr>
            <w:tcW w:type="dxa" w:w="121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jc w:val="right"/>
            </w:pPr>
            <w:r>
              <w:rPr>
                <w:rFonts w:ascii="Arial" w:cs="Arial" w:hAnsi="Arial"/>
                <w:color w:val="000000"/>
              </w:rPr>
              <w:t>79%</w:t>
            </w:r>
          </w:p>
        </w:tc>
      </w:tr>
      <w:tr>
        <w:trPr>
          <w:trHeight w:hRule="atLeast" w:val="300"/>
          <w:cantSplit w:val="false"/>
        </w:trPr>
        <w:tc>
          <w:tcPr>
            <w:tcW w:type="dxa" w:w="1394"/>
            <w:tcBorders>
              <w:top w:color="000000" w:space="0" w:sz="4" w:val="single"/>
            </w:tcBorders>
            <w:shd w:fill="auto" w:val="clear"/>
            <w:tcMar>
              <w:top w:type="dxa" w:w="0"/>
              <w:left w:type="dxa" w:w="70"/>
              <w:bottom w:type="dxa" w:w="0"/>
              <w:right w:type="dxa" w:w="70"/>
            </w:tcMar>
            <w:vAlign w:val="bottom"/>
          </w:tcPr>
          <w:p>
            <w:pPr>
              <w:pStyle w:val="style0"/>
              <w:snapToGrid w:val="false"/>
              <w:spacing w:after="200" w:before="0"/>
            </w:pPr>
            <w:r>
              <w:rPr>
                <w:rFonts w:ascii="Arial" w:cs="Arial" w:hAnsi="Arial"/>
                <w:bCs/>
                <w:color w:val="000000"/>
                <w:lang w:eastAsia="es-VE" w:val="es-VE"/>
              </w:rPr>
            </w:r>
          </w:p>
        </w:tc>
        <w:p>
          <w:pPr>
            <w:pStyle w:val="style0"/>
            <w:spacing w:after="200" w:before="0"/>
          </w:pPr>
          <w:r>
            <w:rPr>
              <w:rFonts w:ascii="Arial" w:cs="Arial" w:hAnsi="Arial"/>
            </w:rPr>
            <w:t>Fuente: Mendoza (2015)</w:t>
          </w:r>
        </w:p>
        <w:tc>
          <w:tcPr>
            <w:tcW w:type="dxa" w:w="2203"/>
            <w:tcBorders>
              <w:top w:color="000000" w:space="0" w:sz="4" w:val="single"/>
            </w:tcBorders>
            <w:shd w:fill="auto" w:val="clear"/>
            <w:tcMar>
              <w:top w:type="dxa" w:w="0"/>
              <w:left w:type="dxa" w:w="70"/>
              <w:bottom w:type="dxa" w:w="0"/>
              <w:right w:type="dxa" w:w="70"/>
            </w:tcMar>
            <w:vAlign w:val="bottom"/>
          </w:tcPr>
          <w:p>
            <w:pPr>
              <w:pStyle w:val="style0"/>
              <w:snapToGrid w:val="false"/>
              <w:spacing w:after="200" w:before="0"/>
            </w:pPr>
            <w:r>
              <w:rPr>
                <w:rFonts w:ascii="Arial" w:cs="Arial" w:hAnsi="Arial"/>
                <w:color w:val="000000"/>
              </w:rPr>
            </w:r>
          </w:p>
        </w:tc>
        <w:tc>
          <w:tcPr>
            <w:tcW w:type="dxa" w:w="1920"/>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jc w:val="right"/>
            </w:pPr>
            <w:r>
              <w:rPr>
                <w:rFonts w:ascii="Arial" w:cs="Arial" w:hAnsi="Arial"/>
                <w:color w:val="000000"/>
              </w:rPr>
              <w:t>19</w:t>
            </w:r>
          </w:p>
        </w:tc>
        <w:tc>
          <w:tcPr>
            <w:tcW w:type="dxa" w:w="1210"/>
            <w:tcBorders>
              <w:top w:color="000000" w:space="0" w:sz="4" w:val="single"/>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jc w:val="right"/>
            </w:pPr>
            <w:r>
              <w:rPr>
                <w:rFonts w:ascii="Arial" w:cs="Arial" w:hAnsi="Arial"/>
                <w:color w:val="000000"/>
              </w:rPr>
              <w:t>100%</w:t>
            </w:r>
          </w:p>
        </w:tc>
      </w:tr>
    </w:tbl>
    <w:p>
      <w:pPr>
        <w:pStyle w:val="style197"/>
        <w:spacing w:after="0" w:before="0" w:line="360" w:lineRule="auto"/>
        <w:jc w:val="both"/>
      </w:pPr>
      <w:r>
        <w:rPr>
          <w:rFonts w:ascii="Arial" w:cs="Arial" w:hAnsi="Arial"/>
          <w:b/>
          <w:bCs/>
          <w:color w:val="000000"/>
        </w:rPr>
      </w:r>
    </w:p>
    <w:p>
      <w:pPr>
        <w:pStyle w:val="style197"/>
        <w:spacing w:after="0" w:before="0" w:line="360" w:lineRule="auto"/>
        <w:jc w:val="center"/>
      </w:pPr>
      <w:r>
        <w:rPr>
          <w:rFonts w:ascii="Arial" w:cs="Arial" w:hAnsi="Arial"/>
          <w:color w:val="000000"/>
          <w:lang w:eastAsia="es-VE" w:val="es-ES"/>
        </w:rPr>
        <w:drawing>
          <wp:inline distB="0" distL="0" distR="0" distT="0">
            <wp:extent cx="5255260" cy="2244090"/>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52"/>
                    <a:srcRect/>
                    <a:stretch>
                      <a:fillRect/>
                    </a:stretch>
                  </pic:blipFill>
                  <pic:spPr bwMode="auto">
                    <a:xfrm>
                      <a:off x="0" y="0"/>
                      <a:ext cx="5255260" cy="2244090"/>
                    </a:xfrm>
                    <a:prstGeom prst="rect">
                      <a:avLst/>
                    </a:prstGeom>
                    <a:noFill/>
                    <a:ln w="9525">
                      <a:noFill/>
                      <a:miter lim="800000"/>
                      <a:headEnd/>
                      <a:tailEnd/>
                    </a:ln>
                  </pic:spPr>
                </pic:pic>
              </a:graphicData>
            </a:graphic>
          </wp:inline>
        </w:drawing>
      </w:r>
    </w:p>
    <w:p>
      <w:pPr>
        <w:pStyle w:val="style0"/>
        <w:spacing w:after="200" w:before="0"/>
      </w:pPr>
      <w:r>
        <w:rPr>
          <w:rFonts w:ascii="Arial" w:cs="Arial" w:hAnsi="Arial"/>
        </w:rPr>
        <w:t>Fuente: Mendoza (2015)</w:t>
      </w:r>
    </w:p>
    <w:p>
      <w:pPr>
        <w:pStyle w:val="style196"/>
        <w:jc w:val="both"/>
      </w:pPr>
      <w:r>
        <w:rPr>
          <w:rFonts w:ascii="Arial" w:cs="Arial" w:hAnsi="Arial"/>
          <w:b/>
          <w:bCs/>
          <w:color w:val="000000"/>
          <w:sz w:val="24"/>
        </w:rPr>
        <w:t xml:space="preserve">Gráfico 19 </w:t>
      </w:r>
      <w:r>
        <w:rPr>
          <w:rFonts w:ascii="Arial" w:cs="Arial" w:hAnsi="Arial"/>
          <w:color w:val="000000"/>
          <w:sz w:val="24"/>
        </w:rPr>
        <w:t xml:space="preserve">Conocimiento sobre la gestión de los directivos con respecto a la información </w:t>
      </w:r>
      <w:r>
        <w:rPr>
          <w:rFonts w:ascii="Arial" w:cs="Arial" w:hAnsi="Arial"/>
          <w:color w:val="000000"/>
          <w:sz w:val="28"/>
          <w:szCs w:val="24"/>
          <w:shd w:fill="FFFFFF" w:val="clear"/>
        </w:rPr>
        <w:t xml:space="preserve">ante la Empresa Siderúrgica </w:t>
      </w:r>
      <w:r>
        <w:rPr>
          <w:rFonts w:ascii="Arial" w:cs="Arial" w:hAnsi="Arial"/>
          <w:color w:val="000000"/>
          <w:sz w:val="24"/>
          <w:shd w:fill="FFFFFF" w:val="clear"/>
        </w:rPr>
        <w:t>para la enajenación, permuta o donación de las chatarras</w:t>
      </w:r>
    </w:p>
    <w:p>
      <w:pPr>
        <w:pStyle w:val="style196"/>
        <w:spacing w:line="360" w:lineRule="auto"/>
        <w:jc w:val="both"/>
      </w:pPr>
      <w:r>
        <w:rPr>
          <w:rFonts w:ascii="Arial" w:cs="Arial" w:hAnsi="Arial"/>
          <w:b/>
          <w:bCs/>
          <w:color w:val="000000"/>
          <w:sz w:val="24"/>
        </w:rPr>
      </w:r>
    </w:p>
    <w:p>
      <w:pPr>
        <w:pStyle w:val="style196"/>
        <w:spacing w:line="360" w:lineRule="auto"/>
        <w:jc w:val="both"/>
      </w:pPr>
      <w:r>
        <w:rPr>
          <w:rFonts w:ascii="Arial" w:cs="Arial" w:hAnsi="Arial"/>
          <w:b/>
          <w:color w:val="000000"/>
          <w:sz w:val="24"/>
          <w:szCs w:val="24"/>
          <w:shd w:fill="FFFFFF" w:val="clear"/>
        </w:rPr>
        <w:t>Análisis:</w:t>
      </w:r>
      <w:r>
        <w:rPr>
          <w:rFonts w:ascii="Arial" w:cs="Arial" w:hAnsi="Arial"/>
          <w:color w:val="000000"/>
          <w:sz w:val="24"/>
          <w:szCs w:val="24"/>
          <w:shd w:fill="FFFFFF" w:val="clear"/>
        </w:rPr>
        <w:t xml:space="preserve">  Según los resultados obtenidos  el setenta y nueve (79) por ciento (%)  de los encuestados opinaron que nunca han solicitado información a la empresa Siderúrgica del Estado puesto que  la tramitación o adjudicación con respecto a negociar con la empresa del Estado la emite el Ministerio de Educación Universitario, Ciencia y Tecnología mientras un once (11) por ciento (%) respondieron que a veces han tratado de solicitar información pero he difícil la comunicación y otro once (11) por ciento opina que casi nunca realiza esta solicitud sobre los pasos para enajenar, permutar o donar  las chatarras que se encuentra en los espacios de la comunidad universitaria. </w:t>
      </w:r>
    </w:p>
    <w:p>
      <w:pPr>
        <w:pStyle w:val="style196"/>
        <w:pageBreakBefore/>
        <w:spacing w:line="360" w:lineRule="auto"/>
        <w:jc w:val="both"/>
      </w:pPr>
      <w:r>
        <w:rPr>
          <w:rStyle w:val="style168"/>
          <w:rFonts w:ascii="Arial" w:cs="Arial" w:hAnsi="Arial"/>
          <w:color w:val="000000"/>
          <w:sz w:val="24"/>
          <w:szCs w:val="24"/>
        </w:rPr>
        <w:t>Ítem 20.</w:t>
      </w:r>
      <w:r>
        <w:rPr>
          <w:rFonts w:ascii="Arial" w:cs="Arial" w:hAnsi="Arial"/>
          <w:color w:val="000000"/>
          <w:sz w:val="24"/>
          <w:szCs w:val="24"/>
          <w:shd w:fill="FFFFFF" w:val="clear"/>
        </w:rPr>
        <w:t xml:space="preserve"> ¿La visión de la institución constituye un elemento para mejorar las estrategias en cuanto a desincorporación de los Bienes Nacionales en estado de Obsolescencia, deterioro y corrosión?</w:t>
      </w:r>
    </w:p>
    <w:p>
      <w:pPr>
        <w:pStyle w:val="style197"/>
        <w:spacing w:after="0" w:before="0" w:line="360" w:lineRule="auto"/>
        <w:jc w:val="both"/>
      </w:pPr>
      <w:r>
        <w:rPr>
          <w:rFonts w:ascii="Arial" w:cs="Arial" w:hAnsi="Arial"/>
          <w:b/>
          <w:bCs/>
          <w:color w:val="000000"/>
        </w:rPr>
      </w:r>
    </w:p>
    <w:tbl>
      <w:tblPr>
        <w:jc w:val="center"/>
        <w:tblBorders>
          <w:top w:color="000000" w:space="0" w:sz="4" w:val="single"/>
          <w:left w:color="000000" w:space="0" w:sz="4" w:val="single"/>
          <w:bottom w:color="000000" w:space="0" w:sz="4" w:val="single"/>
          <w:right w:color="000000" w:space="0" w:sz="4" w:val="single"/>
        </w:tblBorders>
      </w:tblPr>
      <w:tblGrid>
        <w:gridCol w:w="6689"/>
      </w:tblGrid>
      <w:tr>
        <w:trPr>
          <w:trHeight w:hRule="atLeast" w:val="315"/>
          <w:cantSplit w:val="false"/>
        </w:trPr>
        <w:tc>
          <w:tcPr>
            <w:tcW w:type="dxa" w:w="6689"/>
            <w:gridSpan w:val="4"/>
            <w:tcBorders>
              <w:top w:color="000000" w:space="0" w:sz="4" w:val="single"/>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197"/>
              <w:shd w:fill="FFFFFF" w:val="clear"/>
              <w:spacing w:after="120" w:before="120" w:line="360" w:lineRule="auto"/>
              <w:jc w:val="center"/>
            </w:pPr>
            <w:r>
              <w:rPr>
                <w:rFonts w:ascii="Arial" w:cs="Arial" w:hAnsi="Arial"/>
                <w:b/>
                <w:color w:val="000000"/>
              </w:rPr>
              <w:t>Cuadro  23</w:t>
            </w:r>
          </w:p>
          <w:p>
            <w:pPr>
              <w:pStyle w:val="style0"/>
              <w:spacing w:after="200" w:before="0" w:line="360" w:lineRule="auto"/>
              <w:jc w:val="both"/>
            </w:pPr>
            <w:r>
              <w:rPr>
                <w:rFonts w:ascii="Arial" w:cs="Arial" w:hAnsi="Arial"/>
                <w:b/>
                <w:sz w:val="24"/>
                <w:szCs w:val="24"/>
                <w:lang w:val="es-VE"/>
              </w:rPr>
              <w:t xml:space="preserve">Conocimiento sobre la visión como elemento para mejorar las estrategias </w:t>
            </w:r>
            <w:r>
              <w:rPr>
                <w:rFonts w:ascii="Arial" w:cs="Arial" w:hAnsi="Arial"/>
                <w:b/>
                <w:color w:val="000000"/>
                <w:sz w:val="24"/>
                <w:szCs w:val="24"/>
                <w:shd w:fill="FFFFFF" w:val="clear"/>
              </w:rPr>
              <w:t>en cuanto a desincorporación de los Bienes Nacionales en estado de Obsolescencia, deterioro y corrosión</w:t>
            </w:r>
          </w:p>
        </w:tc>
      </w:tr>
      <w:tr>
        <w:trPr>
          <w:trHeight w:hRule="atLeast" w:val="315"/>
          <w:cantSplit w:val="false"/>
        </w:trPr>
        <w:tc>
          <w:tcPr>
            <w:tcW w:type="dxa" w:w="1203"/>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b/>
                <w:szCs w:val="20"/>
              </w:rPr>
              <w:t>Ítem</w:t>
            </w:r>
          </w:p>
        </w:tc>
        <w:tc>
          <w:tcPr>
            <w:tcW w:type="dxa" w:w="2136"/>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b/>
                <w:szCs w:val="20"/>
              </w:rPr>
              <w:t>Opciones  de Repuestas</w:t>
            </w:r>
          </w:p>
        </w:tc>
        <w:tc>
          <w:tcPr>
            <w:tcW w:type="dxa" w:w="1960"/>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b/>
                <w:szCs w:val="20"/>
              </w:rPr>
              <w:t>Frecuencia</w:t>
            </w:r>
          </w:p>
        </w:tc>
        <w:tc>
          <w:tcPr>
            <w:tcW w:type="dxa" w:w="1390"/>
            <w:tcBorders>
              <w:top w:color="000000" w:space="0" w:sz="4" w:val="single"/>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line="240" w:lineRule="auto"/>
              <w:jc w:val="center"/>
            </w:pPr>
            <w:r>
              <w:rPr>
                <w:rFonts w:ascii="Arial" w:cs="Arial" w:hAnsi="Arial"/>
                <w:b/>
                <w:szCs w:val="20"/>
              </w:rPr>
              <w:t>Valor %</w:t>
            </w:r>
          </w:p>
        </w:tc>
      </w:tr>
      <w:tr>
        <w:trPr>
          <w:trHeight w:hRule="atLeast" w:val="300"/>
          <w:cantSplit w:val="false"/>
        </w:trPr>
        <w:tc>
          <w:tcPr>
            <w:tcW w:type="dxa" w:w="1203"/>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jc w:val="center"/>
            </w:pPr>
            <w:r>
              <w:rPr>
                <w:rFonts w:ascii="Arial" w:cs="Arial" w:hAnsi="Arial"/>
                <w:color w:val="000000"/>
              </w:rPr>
              <w:t>A</w:t>
            </w:r>
          </w:p>
        </w:tc>
        <w:tc>
          <w:tcPr>
            <w:tcW w:type="dxa" w:w="2136"/>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pPr>
            <w:r>
              <w:rPr>
                <w:rFonts w:ascii="Arial" w:cs="Arial" w:hAnsi="Arial"/>
                <w:color w:val="000000"/>
              </w:rPr>
              <w:t>No contestó</w:t>
            </w:r>
          </w:p>
        </w:tc>
        <w:tc>
          <w:tcPr>
            <w:tcW w:type="dxa" w:w="196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jc w:val="right"/>
            </w:pPr>
            <w:r>
              <w:rPr>
                <w:rFonts w:ascii="Arial" w:cs="Arial" w:hAnsi="Arial"/>
                <w:color w:val="000000"/>
              </w:rPr>
              <w:t>0</w:t>
            </w:r>
          </w:p>
        </w:tc>
        <w:tc>
          <w:tcPr>
            <w:tcW w:type="dxa" w:w="139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jc w:val="right"/>
            </w:pPr>
            <w:r>
              <w:rPr>
                <w:rFonts w:ascii="Arial" w:cs="Arial" w:hAnsi="Arial"/>
                <w:color w:val="000000"/>
              </w:rPr>
              <w:t>0%</w:t>
            </w:r>
          </w:p>
        </w:tc>
      </w:tr>
      <w:tr>
        <w:trPr>
          <w:trHeight w:hRule="atLeast" w:val="300"/>
          <w:cantSplit w:val="false"/>
        </w:trPr>
        <w:tc>
          <w:tcPr>
            <w:tcW w:type="dxa" w:w="1203"/>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jc w:val="center"/>
            </w:pPr>
            <w:r>
              <w:rPr>
                <w:rFonts w:ascii="Arial" w:cs="Arial" w:hAnsi="Arial"/>
                <w:color w:val="000000"/>
              </w:rPr>
              <w:t>B</w:t>
            </w:r>
          </w:p>
        </w:tc>
        <w:tc>
          <w:tcPr>
            <w:tcW w:type="dxa" w:w="2136"/>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pPr>
            <w:r>
              <w:rPr>
                <w:rFonts w:ascii="Arial" w:cs="Arial" w:hAnsi="Arial"/>
                <w:color w:val="000000"/>
              </w:rPr>
              <w:t>Siempre</w:t>
            </w:r>
          </w:p>
        </w:tc>
        <w:tc>
          <w:tcPr>
            <w:tcW w:type="dxa" w:w="196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jc w:val="right"/>
            </w:pPr>
            <w:r>
              <w:rPr>
                <w:rFonts w:ascii="Arial" w:cs="Arial" w:hAnsi="Arial"/>
                <w:color w:val="000000"/>
              </w:rPr>
              <w:t>2</w:t>
            </w:r>
          </w:p>
        </w:tc>
        <w:tc>
          <w:tcPr>
            <w:tcW w:type="dxa" w:w="139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jc w:val="right"/>
            </w:pPr>
            <w:r>
              <w:rPr>
                <w:rFonts w:ascii="Arial" w:cs="Arial" w:hAnsi="Arial"/>
                <w:color w:val="000000"/>
              </w:rPr>
              <w:t>11%</w:t>
            </w:r>
          </w:p>
        </w:tc>
      </w:tr>
      <w:tr>
        <w:trPr>
          <w:trHeight w:hRule="atLeast" w:val="300"/>
          <w:cantSplit w:val="false"/>
        </w:trPr>
        <w:tc>
          <w:tcPr>
            <w:tcW w:type="dxa" w:w="1203"/>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jc w:val="center"/>
            </w:pPr>
            <w:r>
              <w:rPr>
                <w:rFonts w:ascii="Arial" w:cs="Arial" w:hAnsi="Arial"/>
                <w:color w:val="000000"/>
              </w:rPr>
              <w:t>C</w:t>
            </w:r>
          </w:p>
        </w:tc>
        <w:tc>
          <w:tcPr>
            <w:tcW w:type="dxa" w:w="2136"/>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pPr>
            <w:r>
              <w:rPr>
                <w:rFonts w:ascii="Arial" w:cs="Arial" w:hAnsi="Arial"/>
                <w:color w:val="000000"/>
              </w:rPr>
              <w:t>Casi siempre</w:t>
            </w:r>
          </w:p>
        </w:tc>
        <w:tc>
          <w:tcPr>
            <w:tcW w:type="dxa" w:w="196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jc w:val="right"/>
            </w:pPr>
            <w:r>
              <w:rPr>
                <w:rFonts w:ascii="Arial" w:cs="Arial" w:hAnsi="Arial"/>
                <w:color w:val="000000"/>
              </w:rPr>
              <w:t>0</w:t>
            </w:r>
          </w:p>
        </w:tc>
        <w:tc>
          <w:tcPr>
            <w:tcW w:type="dxa" w:w="139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jc w:val="right"/>
            </w:pPr>
            <w:r>
              <w:rPr>
                <w:rFonts w:ascii="Arial" w:cs="Arial" w:hAnsi="Arial"/>
                <w:color w:val="000000"/>
              </w:rPr>
              <w:t>0%</w:t>
            </w:r>
          </w:p>
        </w:tc>
      </w:tr>
      <w:tr>
        <w:trPr>
          <w:trHeight w:hRule="atLeast" w:val="300"/>
          <w:cantSplit w:val="false"/>
        </w:trPr>
        <w:tc>
          <w:tcPr>
            <w:tcW w:type="dxa" w:w="1203"/>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jc w:val="center"/>
            </w:pPr>
            <w:r>
              <w:rPr>
                <w:rFonts w:ascii="Arial" w:cs="Arial" w:hAnsi="Arial"/>
                <w:color w:val="000000"/>
              </w:rPr>
              <w:t>D</w:t>
            </w:r>
          </w:p>
        </w:tc>
        <w:tc>
          <w:tcPr>
            <w:tcW w:type="dxa" w:w="2136"/>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pPr>
            <w:r>
              <w:rPr>
                <w:rFonts w:ascii="Arial" w:cs="Arial" w:hAnsi="Arial"/>
                <w:color w:val="000000"/>
              </w:rPr>
              <w:t>A veces</w:t>
            </w:r>
          </w:p>
        </w:tc>
        <w:tc>
          <w:tcPr>
            <w:tcW w:type="dxa" w:w="196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jc w:val="right"/>
            </w:pPr>
            <w:r>
              <w:rPr>
                <w:rFonts w:ascii="Arial" w:cs="Arial" w:hAnsi="Arial"/>
                <w:color w:val="000000"/>
              </w:rPr>
              <w:t>0</w:t>
            </w:r>
          </w:p>
        </w:tc>
        <w:tc>
          <w:tcPr>
            <w:tcW w:type="dxa" w:w="139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jc w:val="right"/>
            </w:pPr>
            <w:r>
              <w:rPr>
                <w:rFonts w:ascii="Arial" w:cs="Arial" w:hAnsi="Arial"/>
                <w:color w:val="000000"/>
              </w:rPr>
              <w:t>0%</w:t>
            </w:r>
          </w:p>
        </w:tc>
      </w:tr>
      <w:tr>
        <w:trPr>
          <w:trHeight w:hRule="atLeast" w:val="300"/>
          <w:cantSplit w:val="false"/>
        </w:trPr>
        <w:tc>
          <w:tcPr>
            <w:tcW w:type="dxa" w:w="1203"/>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jc w:val="center"/>
            </w:pPr>
            <w:r>
              <w:rPr>
                <w:rFonts w:ascii="Arial" w:cs="Arial" w:hAnsi="Arial"/>
                <w:color w:val="000000"/>
              </w:rPr>
              <w:t>E</w:t>
            </w:r>
          </w:p>
        </w:tc>
        <w:tc>
          <w:tcPr>
            <w:tcW w:type="dxa" w:w="2136"/>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pPr>
            <w:r>
              <w:rPr>
                <w:rFonts w:ascii="Arial" w:cs="Arial" w:hAnsi="Arial"/>
                <w:color w:val="000000"/>
              </w:rPr>
              <w:t>Casi Nunca</w:t>
            </w:r>
          </w:p>
        </w:tc>
        <w:tc>
          <w:tcPr>
            <w:tcW w:type="dxa" w:w="196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jc w:val="right"/>
            </w:pPr>
            <w:r>
              <w:rPr>
                <w:rFonts w:ascii="Arial" w:cs="Arial" w:hAnsi="Arial"/>
                <w:color w:val="000000"/>
              </w:rPr>
              <w:t>0</w:t>
            </w:r>
          </w:p>
        </w:tc>
        <w:tc>
          <w:tcPr>
            <w:tcW w:type="dxa" w:w="139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jc w:val="right"/>
            </w:pPr>
            <w:r>
              <w:rPr>
                <w:rFonts w:ascii="Arial" w:cs="Arial" w:hAnsi="Arial"/>
                <w:color w:val="000000"/>
              </w:rPr>
              <w:t>0%</w:t>
            </w:r>
          </w:p>
        </w:tc>
      </w:tr>
      <w:tr>
        <w:trPr>
          <w:trHeight w:hRule="atLeast" w:val="300"/>
          <w:cantSplit w:val="false"/>
        </w:trPr>
        <w:tc>
          <w:tcPr>
            <w:tcW w:type="dxa" w:w="1203"/>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jc w:val="center"/>
            </w:pPr>
            <w:r>
              <w:rPr>
                <w:rFonts w:ascii="Arial" w:cs="Arial" w:hAnsi="Arial"/>
                <w:color w:val="000000"/>
              </w:rPr>
              <w:t>F</w:t>
            </w:r>
          </w:p>
        </w:tc>
        <w:tc>
          <w:tcPr>
            <w:tcW w:type="dxa" w:w="2136"/>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pPr>
            <w:r>
              <w:rPr>
                <w:rFonts w:ascii="Arial" w:cs="Arial" w:hAnsi="Arial"/>
                <w:color w:val="000000"/>
              </w:rPr>
              <w:t>Nunca</w:t>
            </w:r>
          </w:p>
        </w:tc>
        <w:tc>
          <w:tcPr>
            <w:tcW w:type="dxa" w:w="1960"/>
            <w:tcBorders>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jc w:val="right"/>
            </w:pPr>
            <w:r>
              <w:rPr>
                <w:rFonts w:ascii="Arial" w:cs="Arial" w:hAnsi="Arial"/>
                <w:color w:val="000000"/>
              </w:rPr>
              <w:t>17</w:t>
            </w:r>
          </w:p>
        </w:tc>
        <w:tc>
          <w:tcPr>
            <w:tcW w:type="dxa" w:w="1390"/>
            <w:tcBorders>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jc w:val="right"/>
            </w:pPr>
            <w:r>
              <w:rPr>
                <w:rFonts w:ascii="Arial" w:cs="Arial" w:hAnsi="Arial"/>
                <w:color w:val="000000"/>
              </w:rPr>
              <w:t>89%</w:t>
            </w:r>
          </w:p>
        </w:tc>
      </w:tr>
      <w:tr>
        <w:trPr>
          <w:trHeight w:hRule="atLeast" w:val="300"/>
          <w:cantSplit w:val="false"/>
        </w:trPr>
        <w:tc>
          <w:tcPr>
            <w:tcW w:type="dxa" w:w="1203"/>
            <w:tcBorders>
              <w:top w:color="000000" w:space="0" w:sz="4" w:val="single"/>
            </w:tcBorders>
            <w:shd w:fill="auto" w:val="clear"/>
            <w:tcMar>
              <w:top w:type="dxa" w:w="0"/>
              <w:left w:type="dxa" w:w="70"/>
              <w:bottom w:type="dxa" w:w="0"/>
              <w:right w:type="dxa" w:w="70"/>
            </w:tcMar>
            <w:vAlign w:val="bottom"/>
          </w:tcPr>
          <w:p>
            <w:pPr>
              <w:pStyle w:val="style0"/>
              <w:snapToGrid w:val="false"/>
              <w:spacing w:after="200" w:before="0"/>
            </w:pPr>
            <w:r>
              <w:rPr>
                <w:rFonts w:ascii="Arial" w:cs="Arial" w:hAnsi="Arial"/>
                <w:color w:val="000000"/>
                <w:lang w:eastAsia="es-VE" w:val="es-VE"/>
              </w:rPr>
            </w:r>
          </w:p>
        </w:tc>
        <w:p>
          <w:pPr>
            <w:pStyle w:val="style0"/>
            <w:spacing w:after="200" w:before="0"/>
          </w:pPr>
          <w:r>
            <w:rPr>
              <w:rFonts w:ascii="Arial" w:cs="Arial" w:hAnsi="Arial"/>
            </w:rPr>
            <w:t>Fuente: Mendoza (2015)</w:t>
          </w:r>
        </w:p>
        <w:tc>
          <w:tcPr>
            <w:tcW w:type="dxa" w:w="2136"/>
            <w:tcBorders>
              <w:top w:color="000000" w:space="0" w:sz="4" w:val="single"/>
            </w:tcBorders>
            <w:shd w:fill="auto" w:val="clear"/>
            <w:tcMar>
              <w:top w:type="dxa" w:w="0"/>
              <w:left w:type="dxa" w:w="70"/>
              <w:bottom w:type="dxa" w:w="0"/>
              <w:right w:type="dxa" w:w="70"/>
            </w:tcMar>
            <w:vAlign w:val="bottom"/>
          </w:tcPr>
          <w:p>
            <w:pPr>
              <w:pStyle w:val="style0"/>
              <w:snapToGrid w:val="false"/>
              <w:spacing w:after="200" w:before="0"/>
            </w:pPr>
            <w:r>
              <w:rPr>
                <w:rFonts w:ascii="Arial" w:cs="Arial" w:hAnsi="Arial"/>
                <w:color w:val="000000"/>
              </w:rPr>
            </w:r>
          </w:p>
        </w:tc>
        <w:tc>
          <w:tcPr>
            <w:tcW w:type="dxa" w:w="1960"/>
            <w:tcBorders>
              <w:top w:color="000000" w:space="0" w:sz="4" w:val="single"/>
              <w:left w:color="000000" w:space="0" w:sz="4" w:val="single"/>
              <w:bottom w:color="000000" w:space="0" w:sz="4" w:val="single"/>
            </w:tcBorders>
            <w:shd w:fill="auto" w:val="clear"/>
            <w:tcMar>
              <w:top w:type="dxa" w:w="0"/>
              <w:left w:type="dxa" w:w="70"/>
              <w:bottom w:type="dxa" w:w="0"/>
              <w:right w:type="dxa" w:w="70"/>
            </w:tcMar>
            <w:vAlign w:val="bottom"/>
          </w:tcPr>
          <w:p>
            <w:pPr>
              <w:pStyle w:val="style0"/>
              <w:spacing w:after="200" w:before="0"/>
              <w:jc w:val="right"/>
            </w:pPr>
            <w:r>
              <w:rPr>
                <w:rFonts w:ascii="Arial" w:cs="Arial" w:hAnsi="Arial"/>
                <w:color w:val="000000"/>
              </w:rPr>
              <w:t>19</w:t>
            </w:r>
          </w:p>
        </w:tc>
        <w:tc>
          <w:tcPr>
            <w:tcW w:type="dxa" w:w="1390"/>
            <w:tcBorders>
              <w:top w:color="000000" w:space="0" w:sz="4" w:val="single"/>
              <w:left w:color="000000" w:space="0" w:sz="4" w:val="single"/>
              <w:bottom w:color="000000" w:space="0" w:sz="4" w:val="single"/>
              <w:right w:color="000000" w:space="0" w:sz="4" w:val="single"/>
            </w:tcBorders>
            <w:shd w:fill="auto" w:val="clear"/>
            <w:tcMar>
              <w:top w:type="dxa" w:w="0"/>
              <w:left w:type="dxa" w:w="70"/>
              <w:bottom w:type="dxa" w:w="0"/>
              <w:right w:type="dxa" w:w="70"/>
            </w:tcMar>
            <w:vAlign w:val="bottom"/>
          </w:tcPr>
          <w:p>
            <w:pPr>
              <w:pStyle w:val="style0"/>
              <w:spacing w:after="200" w:before="0"/>
              <w:jc w:val="right"/>
            </w:pPr>
            <w:r>
              <w:rPr>
                <w:rFonts w:ascii="Arial" w:cs="Arial" w:hAnsi="Arial"/>
                <w:color w:val="000000"/>
              </w:rPr>
              <w:t>100%</w:t>
            </w:r>
          </w:p>
        </w:tc>
      </w:tr>
    </w:tbl>
    <w:p>
      <w:pPr>
        <w:pStyle w:val="style197"/>
        <w:spacing w:after="0" w:before="0" w:line="360" w:lineRule="auto"/>
        <w:jc w:val="both"/>
      </w:pPr>
      <w:r>
        <w:rPr>
          <w:rFonts w:ascii="Arial" w:cs="Arial" w:hAnsi="Arial"/>
          <w:b/>
          <w:bCs/>
          <w:color w:val="000000"/>
        </w:rPr>
      </w:r>
    </w:p>
    <w:p>
      <w:pPr>
        <w:pStyle w:val="style196"/>
        <w:spacing w:line="360" w:lineRule="auto"/>
        <w:jc w:val="both"/>
      </w:pPr>
      <w:r>
        <w:rPr>
          <w:rFonts w:ascii="Arial" w:cs="Arial" w:hAnsi="Arial"/>
          <w:color w:val="000000"/>
          <w:sz w:val="24"/>
          <w:szCs w:val="24"/>
          <w:shd w:fill="FFFFFF" w:val="clear"/>
        </w:rPr>
      </w:r>
    </w:p>
    <w:p>
      <w:pPr>
        <w:pStyle w:val="style196"/>
        <w:spacing w:line="360" w:lineRule="auto"/>
        <w:jc w:val="both"/>
      </w:pPr>
      <w:r>
        <w:rPr>
          <w:rFonts w:cs="Calibri"/>
          <w:color w:val="000000"/>
          <w:lang w:eastAsia="es-VE" w:val="es-VE"/>
        </w:rPr>
        <w:t xml:space="preserve"> </w:t>
      </w:r>
      <w:r>
        <w:rPr>
          <w:color w:val="000000"/>
          <w:lang w:eastAsia="es-VE" w:val="es-VE"/>
        </w:rPr>
        <w:drawing>
          <wp:inline distB="0" distL="0" distR="0" distT="0">
            <wp:extent cx="5255260" cy="2163445"/>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53"/>
                    <a:srcRect/>
                    <a:stretch>
                      <a:fillRect/>
                    </a:stretch>
                  </pic:blipFill>
                  <pic:spPr bwMode="auto">
                    <a:xfrm>
                      <a:off x="0" y="0"/>
                      <a:ext cx="5255260" cy="2163445"/>
                    </a:xfrm>
                    <a:prstGeom prst="rect">
                      <a:avLst/>
                    </a:prstGeom>
                    <a:noFill/>
                    <a:ln w="9525">
                      <a:noFill/>
                      <a:miter lim="800000"/>
                      <a:headEnd/>
                      <a:tailEnd/>
                    </a:ln>
                  </pic:spPr>
                </pic:pic>
              </a:graphicData>
            </a:graphic>
          </wp:inline>
        </w:drawing>
      </w:r>
    </w:p>
    <w:p>
      <w:pPr>
        <w:pStyle w:val="style0"/>
        <w:spacing w:after="200" w:before="0"/>
      </w:pPr>
      <w:r>
        <w:rPr>
          <w:rFonts w:ascii="Arial" w:cs="Arial" w:hAnsi="Arial"/>
        </w:rPr>
        <w:t>Fuente: Mendoza (2015)</w:t>
      </w:r>
    </w:p>
    <w:p>
      <w:pPr>
        <w:pStyle w:val="style197"/>
        <w:spacing w:after="0" w:before="0"/>
        <w:jc w:val="both"/>
      </w:pPr>
      <w:r>
        <w:rPr>
          <w:rFonts w:ascii="Arial" w:cs="Arial" w:hAnsi="Arial"/>
          <w:b/>
          <w:bCs/>
          <w:color w:val="000000"/>
        </w:rPr>
        <w:t xml:space="preserve">Gráfico 20 </w:t>
      </w:r>
      <w:r>
        <w:rPr>
          <w:rFonts w:ascii="Arial" w:cs="Arial" w:hAnsi="Arial"/>
          <w:b/>
          <w:szCs w:val="20"/>
        </w:rPr>
        <w:t xml:space="preserve">Conocimiento sobre la visión como elemento para mejorar las estrategias </w:t>
      </w:r>
      <w:r>
        <w:rPr>
          <w:rFonts w:ascii="Arial" w:cs="Arial" w:hAnsi="Arial"/>
          <w:b/>
          <w:color w:val="000000"/>
          <w:shd w:fill="FFFFFF" w:val="clear"/>
        </w:rPr>
        <w:t>en cuanto a desincorporación de los Bienes Nacionales en estado de Obsolescencia, deterioro y corrosión</w:t>
      </w:r>
      <w:r>
        <w:rPr>
          <w:rFonts w:ascii="Arial" w:cs="Arial" w:hAnsi="Arial"/>
          <w:b/>
          <w:bCs/>
          <w:color w:val="000000"/>
        </w:rPr>
        <w:t xml:space="preserve"> </w:t>
      </w:r>
    </w:p>
    <w:p>
      <w:pPr>
        <w:pStyle w:val="style196"/>
        <w:spacing w:line="360" w:lineRule="auto"/>
        <w:jc w:val="both"/>
      </w:pPr>
      <w:r>
        <w:rPr/>
      </w:r>
    </w:p>
    <w:p>
      <w:pPr>
        <w:pStyle w:val="style196"/>
        <w:spacing w:line="360" w:lineRule="auto"/>
        <w:jc w:val="both"/>
      </w:pPr>
      <w:r>
        <w:rPr>
          <w:rStyle w:val="style168"/>
          <w:rFonts w:ascii="Arial" w:cs="Arial" w:hAnsi="Arial"/>
          <w:b/>
          <w:color w:val="000000"/>
          <w:sz w:val="24"/>
          <w:szCs w:val="24"/>
        </w:rPr>
        <w:t xml:space="preserve">Análisis: </w:t>
      </w:r>
      <w:r>
        <w:rPr>
          <w:rStyle w:val="style168"/>
          <w:rFonts w:ascii="Arial" w:cs="Arial" w:hAnsi="Arial"/>
          <w:color w:val="000000"/>
          <w:sz w:val="24"/>
          <w:szCs w:val="24"/>
        </w:rPr>
        <w:t xml:space="preserve">El cuadro 23 y el gráfico 15 se demuestra que el ochenta y nueve (89) por ciento (%) de los encuestados afirman que la visión del Instituto Universitario de Tecnología de Yaracuy no constituye absolutamente en   nada para mejorar la estrategia de desincorporación </w:t>
      </w:r>
      <w:r>
        <w:rPr>
          <w:rFonts w:ascii="Arial" w:cs="Arial" w:hAnsi="Arial"/>
          <w:color w:val="000000"/>
          <w:sz w:val="24"/>
          <w:szCs w:val="24"/>
          <w:shd w:fill="FFFFFF" w:val="clear"/>
        </w:rPr>
        <w:t xml:space="preserve">de los Bienes Nacionales en estado de Obsolescencia, deterioro y corrosión mientras, que  un once (11) por ciento (%) opina que si forma </w:t>
      </w:r>
      <w:r>
        <w:rPr>
          <w:rStyle w:val="style168"/>
          <w:rFonts w:ascii="Arial" w:cs="Arial" w:hAnsi="Arial"/>
          <w:color w:val="000000"/>
          <w:sz w:val="24"/>
          <w:szCs w:val="24"/>
        </w:rPr>
        <w:t xml:space="preserve"> parte para mejorar la táctica de desincorporación de eso bienes.</w:t>
      </w:r>
    </w:p>
    <w:p>
      <w:pPr>
        <w:pStyle w:val="style196"/>
        <w:spacing w:line="360" w:lineRule="auto"/>
        <w:jc w:val="both"/>
      </w:pPr>
      <w:r>
        <w:rPr>
          <w:rStyle w:val="style168"/>
          <w:rFonts w:ascii="Arial" w:cs="Arial" w:hAnsi="Arial"/>
          <w:color w:val="000000"/>
          <w:sz w:val="24"/>
          <w:szCs w:val="24"/>
        </w:rPr>
        <w:tab/>
        <w:t>En realidad si constituye un componente para optimizar las estrategias para retirar los materiales en estado de descomposición,</w:t>
      </w:r>
      <w:r>
        <w:rPr>
          <w:rFonts w:ascii="Arial" w:cs="Arial" w:hAnsi="Arial"/>
          <w:color w:val="000000"/>
          <w:sz w:val="24"/>
          <w:szCs w:val="24"/>
          <w:shd w:fill="FFFFFF" w:val="clear"/>
        </w:rPr>
        <w:t xml:space="preserve"> Obsolescencia</w:t>
      </w:r>
      <w:r>
        <w:rPr>
          <w:rStyle w:val="style168"/>
          <w:rFonts w:ascii="Arial" w:cs="Arial" w:hAnsi="Arial"/>
          <w:color w:val="000000"/>
          <w:sz w:val="24"/>
          <w:szCs w:val="24"/>
        </w:rPr>
        <w:t xml:space="preserve">  Deterioro, y Corrosión debido a que la visión del IUTY es ser  una institución constituida por el personal altamente calificado, líder en las áreas de su  competencia, en los que su producto será logrado a través de diseños tecno – curricular, cuya formación integral lo convertirá en ciudadanos que promuevan su contexto social en interacción permanente con el desarrollo social.</w:t>
      </w:r>
    </w:p>
    <w:p>
      <w:pPr>
        <w:pStyle w:val="style196"/>
        <w:spacing w:line="360" w:lineRule="auto"/>
        <w:jc w:val="both"/>
      </w:pPr>
      <w:r>
        <w:rPr>
          <w:szCs w:val="24"/>
        </w:rPr>
      </w:r>
    </w:p>
    <w:p>
      <w:pPr>
        <w:pStyle w:val="style196"/>
        <w:spacing w:line="360" w:lineRule="auto"/>
        <w:jc w:val="both"/>
      </w:pPr>
      <w:r>
        <w:rPr>
          <w:rStyle w:val="style168"/>
          <w:rFonts w:ascii="Arial" w:cs="Arial" w:hAnsi="Arial"/>
          <w:color w:val="000000"/>
          <w:sz w:val="24"/>
          <w:szCs w:val="24"/>
        </w:rPr>
        <w:tab/>
        <w:t xml:space="preserve">Como está relacionado con promover el contexto social y en constante interacción  con el desarrollo social se deduce que también esta enlazado  con la política del Estado o Gobierno Nacional </w:t>
      </w:r>
      <w:r>
        <w:rPr>
          <w:rFonts w:ascii="Arial" w:cs="Arial" w:hAnsi="Arial"/>
          <w:color w:val="000000"/>
          <w:sz w:val="24"/>
        </w:rPr>
        <w:t>para alcanzar la suprema felicidad social del pueblo</w:t>
      </w:r>
      <w:r>
        <w:rPr>
          <w:rStyle w:val="style168"/>
          <w:rFonts w:ascii="Arial" w:cs="Arial" w:hAnsi="Arial"/>
          <w:color w:val="000000"/>
          <w:sz w:val="24"/>
          <w:szCs w:val="24"/>
        </w:rPr>
        <w:tab/>
        <w:t xml:space="preserve"> </w:t>
      </w:r>
      <w:r>
        <w:rPr>
          <w:rFonts w:ascii="Arial" w:cs="Arial" w:hAnsi="Arial"/>
          <w:color w:val="000000"/>
          <w:sz w:val="24"/>
        </w:rPr>
        <w:t xml:space="preserve">con el fin de seguir avanzando en la plena satisfacción de las necesidades básicas como lo es: la vivienda y el hábitat   también fortalecer   la ciencia y tecnología y por ultimo  preservar la vida en el planeta y salvar a la especie humana. </w:t>
      </w:r>
    </w:p>
    <w:p>
      <w:pPr>
        <w:pStyle w:val="style196"/>
        <w:spacing w:line="360" w:lineRule="auto"/>
        <w:jc w:val="both"/>
      </w:pPr>
      <w:r>
        <w:rPr>
          <w:rFonts w:ascii="Arial" w:cs="Arial" w:hAnsi="Arial"/>
          <w:color w:val="000000"/>
          <w:sz w:val="24"/>
        </w:rPr>
        <w:tab/>
        <w:t>El quinto de los grandes objetivos históricos se traduce en la necesidad de construir un modelo económico productivo eco socialista, basado en una relación armónica entre el hombre y la naturaleza, que garantice el uso y aprovechamiento racional y óptimo de los recursos naturales, respetando los procesos y ciclos de la naturaleza.</w:t>
      </w:r>
    </w:p>
    <w:p>
      <w:pPr>
        <w:pStyle w:val="style196"/>
        <w:spacing w:line="360" w:lineRule="auto"/>
        <w:jc w:val="both"/>
      </w:pPr>
      <w:r>
        <w:rPr>
          <w:rFonts w:ascii="Arial" w:cs="Arial" w:hAnsi="Arial"/>
          <w:color w:val="000000"/>
          <w:sz w:val="24"/>
        </w:rPr>
        <w:tab/>
        <w:t>Finalizado el análisis e interpretación de los datos recopilados a través del instrumento, se puede establecer una relación con los objetivos específicos de la investigación, los cuales fueron definidos en el capítulo I, por lo tanto</w:t>
      </w:r>
    </w:p>
    <w:p>
      <w:pPr>
        <w:pStyle w:val="style196"/>
        <w:pageBreakBefore/>
        <w:spacing w:line="360" w:lineRule="auto"/>
        <w:jc w:val="both"/>
      </w:pPr>
      <w:r>
        <w:rPr>
          <w:rStyle w:val="style168"/>
          <w:rFonts w:ascii="Arial" w:cs="Arial" w:hAnsi="Arial"/>
          <w:color w:val="000000"/>
          <w:sz w:val="24"/>
          <w:szCs w:val="24"/>
        </w:rPr>
        <w:t xml:space="preserve">En relación al </w:t>
      </w:r>
      <w:r>
        <w:rPr>
          <w:rFonts w:ascii="Arial" w:cs="Arial" w:hAnsi="Arial"/>
          <w:b/>
          <w:i/>
          <w:color w:val="000000"/>
          <w:sz w:val="24"/>
          <w:szCs w:val="24"/>
          <w:lang w:val="es-VE"/>
        </w:rPr>
        <w:t xml:space="preserve">Diagnostico sobre estado actual de los bienes de dominio público </w:t>
      </w:r>
      <w:r>
        <w:rPr>
          <w:rFonts w:ascii="Arial" w:cs="Arial" w:hAnsi="Arial"/>
          <w:b/>
          <w:bCs/>
          <w:i/>
          <w:color w:val="000000"/>
          <w:sz w:val="24"/>
          <w:szCs w:val="24"/>
        </w:rPr>
        <w:t xml:space="preserve">en Etapa de Deterioro, </w:t>
      </w:r>
      <w:r>
        <w:rPr>
          <w:rFonts w:ascii="Arial" w:cs="Arial" w:hAnsi="Arial"/>
          <w:b/>
          <w:i/>
          <w:color w:val="000000"/>
          <w:sz w:val="24"/>
          <w:szCs w:val="24"/>
        </w:rPr>
        <w:t xml:space="preserve">Obsolescencia y  Corrosión </w:t>
      </w:r>
      <w:r>
        <w:rPr>
          <w:rFonts w:ascii="Arial" w:cs="Arial" w:hAnsi="Arial"/>
          <w:b/>
          <w:bCs/>
          <w:i/>
          <w:color w:val="000000"/>
          <w:sz w:val="24"/>
          <w:szCs w:val="24"/>
        </w:rPr>
        <w:t>del Instituto Universitario de Tecnología del Estado  Yaracuy, se puede señalar</w:t>
      </w:r>
      <w:r>
        <w:rPr>
          <w:rFonts w:ascii="Arial" w:cs="Arial" w:hAnsi="Arial"/>
          <w:bCs/>
          <w:color w:val="000000"/>
          <w:sz w:val="24"/>
          <w:szCs w:val="24"/>
        </w:rPr>
        <w:t>:</w:t>
      </w:r>
    </w:p>
    <w:p>
      <w:pPr>
        <w:pStyle w:val="style196"/>
        <w:spacing w:line="360" w:lineRule="auto"/>
        <w:jc w:val="both"/>
      </w:pPr>
      <w:r>
        <w:rPr>
          <w:rFonts w:ascii="Arial" w:cs="Arial" w:hAnsi="Arial"/>
          <w:bCs/>
          <w:color w:val="000000"/>
          <w:sz w:val="24"/>
          <w:szCs w:val="24"/>
        </w:rPr>
      </w:r>
    </w:p>
    <w:p>
      <w:pPr>
        <w:pStyle w:val="style196"/>
        <w:numPr>
          <w:ilvl w:val="0"/>
          <w:numId w:val="35"/>
        </w:numPr>
        <w:spacing w:line="360" w:lineRule="auto"/>
        <w:jc w:val="both"/>
      </w:pPr>
      <w:r>
        <w:rPr>
          <w:rFonts w:ascii="Arial" w:cs="Arial" w:hAnsi="Arial"/>
          <w:bCs/>
          <w:color w:val="000000"/>
          <w:sz w:val="24"/>
          <w:szCs w:val="24"/>
        </w:rPr>
        <w:t>La Oficina de Bienes Público aportó la información necesaria acerca de la mayoría de los restos de material ferroso proveniente de vehículos en mal estado.</w:t>
      </w:r>
    </w:p>
    <w:p>
      <w:pPr>
        <w:pStyle w:val="style196"/>
        <w:numPr>
          <w:ilvl w:val="0"/>
          <w:numId w:val="35"/>
        </w:numPr>
        <w:spacing w:line="360" w:lineRule="auto"/>
        <w:jc w:val="both"/>
      </w:pPr>
      <w:r>
        <w:rPr>
          <w:rFonts w:ascii="Arial" w:cs="Arial" w:hAnsi="Arial"/>
          <w:bCs/>
          <w:color w:val="000000"/>
          <w:sz w:val="24"/>
          <w:szCs w:val="24"/>
        </w:rPr>
        <w:t>Existe una inspección de los bienes, contactando su ubicación, características, estado de conservación, su obsolescencia funcional, grado de oxidación, posibilidad o no de recuperación.</w:t>
      </w:r>
    </w:p>
    <w:p>
      <w:pPr>
        <w:pStyle w:val="style196"/>
        <w:numPr>
          <w:ilvl w:val="0"/>
          <w:numId w:val="35"/>
        </w:numPr>
        <w:spacing w:line="360" w:lineRule="auto"/>
        <w:jc w:val="both"/>
      </w:pPr>
      <w:r>
        <w:rPr>
          <w:rFonts w:ascii="Arial" w:cs="Arial" w:hAnsi="Arial"/>
          <w:bCs/>
          <w:color w:val="000000"/>
          <w:sz w:val="24"/>
          <w:szCs w:val="24"/>
        </w:rPr>
        <w:t>Estos bienes están completamente deteriorados, con un alto grado de oxidación, que solo pueden ser utilizados para el reciclaje, es decir, que el material ferroso  que solo pueden ser utilizado como materia prima para ser fundido para fabricar otros productos.</w:t>
      </w:r>
    </w:p>
    <w:p>
      <w:pPr>
        <w:pStyle w:val="style196"/>
        <w:numPr>
          <w:ilvl w:val="0"/>
          <w:numId w:val="35"/>
        </w:numPr>
        <w:spacing w:line="360" w:lineRule="auto"/>
        <w:jc w:val="both"/>
      </w:pPr>
      <w:r>
        <w:rPr>
          <w:rFonts w:ascii="Arial" w:cs="Arial" w:eastAsia="Arial" w:hAnsi="Arial"/>
          <w:bCs/>
          <w:color w:val="000000"/>
          <w:sz w:val="24"/>
          <w:szCs w:val="24"/>
        </w:rPr>
        <w:t xml:space="preserve"> </w:t>
      </w:r>
      <w:r>
        <w:rPr>
          <w:rFonts w:ascii="Arial" w:cs="Arial" w:hAnsi="Arial"/>
          <w:bCs/>
          <w:color w:val="000000"/>
          <w:sz w:val="24"/>
          <w:szCs w:val="24"/>
        </w:rPr>
        <w:t xml:space="preserve">Se observó unos bienes que mantiene su estructura en regular condiciones, que conserva la mayoría de sus piezas, aunque el motor, caja y transmisión en mal estado, son irrecuperables como son  </w:t>
      </w:r>
      <w:r>
        <w:rPr>
          <w:rFonts w:ascii="Arial" w:cs="Arial" w:hAnsi="Arial"/>
          <w:color w:val="000000"/>
          <w:sz w:val="24"/>
          <w:szCs w:val="24"/>
        </w:rPr>
        <w:t>bienes que no son susceptibles de reparación, se les dará la condición de obsolescencia</w:t>
      </w:r>
      <w:r>
        <w:rPr>
          <w:rFonts w:ascii="Arial" w:cs="Arial" w:hAnsi="Arial"/>
          <w:bCs/>
          <w:color w:val="000000"/>
          <w:sz w:val="24"/>
          <w:szCs w:val="24"/>
        </w:rPr>
        <w:t>.</w:t>
      </w:r>
    </w:p>
    <w:p>
      <w:pPr>
        <w:pStyle w:val="style196"/>
        <w:numPr>
          <w:ilvl w:val="0"/>
          <w:numId w:val="35"/>
        </w:numPr>
        <w:spacing w:line="360" w:lineRule="auto"/>
        <w:jc w:val="both"/>
      </w:pPr>
      <w:r>
        <w:rPr>
          <w:rFonts w:ascii="Arial" w:cs="Arial" w:hAnsi="Arial"/>
          <w:bCs/>
          <w:color w:val="000000"/>
          <w:sz w:val="24"/>
          <w:szCs w:val="24"/>
        </w:rPr>
        <w:t>Estos bienes tiene su vida útil consumida.</w:t>
      </w:r>
    </w:p>
    <w:p>
      <w:pPr>
        <w:pStyle w:val="style196"/>
        <w:numPr>
          <w:ilvl w:val="0"/>
          <w:numId w:val="35"/>
        </w:numPr>
        <w:spacing w:line="360" w:lineRule="auto"/>
        <w:jc w:val="both"/>
      </w:pPr>
      <w:r>
        <w:rPr>
          <w:rFonts w:ascii="Arial" w:cs="Arial" w:hAnsi="Arial"/>
          <w:bCs/>
          <w:color w:val="000000"/>
          <w:sz w:val="24"/>
          <w:szCs w:val="24"/>
        </w:rPr>
        <w:t>Sin embargo algunas de la piezas pueden ser recuperadas como repuestos (chasis, puertas, ventanas, asientos, entre otros)</w:t>
      </w:r>
    </w:p>
    <w:p>
      <w:pPr>
        <w:pStyle w:val="style0"/>
        <w:spacing w:after="0" w:before="0" w:line="360" w:lineRule="auto"/>
        <w:jc w:val="both"/>
      </w:pPr>
      <w:r>
        <w:rPr>
          <w:rFonts w:ascii="Arial" w:cs="Arial" w:hAnsi="Arial"/>
          <w:bCs/>
          <w:color w:val="000000"/>
          <w:sz w:val="24"/>
          <w:szCs w:val="24"/>
        </w:rPr>
      </w:r>
    </w:p>
    <w:p>
      <w:pPr>
        <w:pStyle w:val="style0"/>
        <w:spacing w:after="0" w:before="0" w:line="360" w:lineRule="auto"/>
        <w:jc w:val="both"/>
      </w:pPr>
      <w:r>
        <w:rPr>
          <w:rFonts w:ascii="Arial" w:cs="Arial" w:hAnsi="Arial"/>
          <w:bCs/>
          <w:color w:val="000000"/>
          <w:sz w:val="24"/>
          <w:szCs w:val="24"/>
        </w:rPr>
      </w:r>
    </w:p>
    <w:p>
      <w:pPr>
        <w:pStyle w:val="style0"/>
        <w:spacing w:after="0" w:before="0" w:line="360" w:lineRule="auto"/>
        <w:jc w:val="both"/>
      </w:pPr>
      <w:r>
        <w:rPr>
          <w:rFonts w:ascii="Arial" w:cs="Arial" w:hAnsi="Arial"/>
          <w:bCs/>
          <w:color w:val="000000"/>
          <w:sz w:val="24"/>
          <w:szCs w:val="24"/>
        </w:rPr>
      </w:r>
    </w:p>
    <w:p>
      <w:pPr>
        <w:pStyle w:val="style0"/>
        <w:spacing w:after="0" w:before="0" w:line="360" w:lineRule="auto"/>
        <w:jc w:val="both"/>
      </w:pPr>
      <w:r>
        <w:rPr>
          <w:rFonts w:ascii="Arial" w:cs="Arial" w:hAnsi="Arial"/>
          <w:bCs/>
          <w:color w:val="000000"/>
          <w:sz w:val="24"/>
          <w:szCs w:val="24"/>
        </w:rPr>
      </w:r>
    </w:p>
    <w:p>
      <w:pPr>
        <w:pStyle w:val="style0"/>
        <w:spacing w:after="0" w:before="0" w:line="360" w:lineRule="auto"/>
        <w:jc w:val="both"/>
      </w:pPr>
      <w:r>
        <w:rPr>
          <w:rFonts w:ascii="Arial" w:cs="Arial" w:hAnsi="Arial"/>
          <w:b/>
          <w:i/>
          <w:color w:val="000000"/>
          <w:sz w:val="24"/>
        </w:rPr>
        <w:t xml:space="preserve">Identificación  los Bienes Nacionales </w:t>
      </w:r>
      <w:r>
        <w:rPr>
          <w:rFonts w:ascii="Arial" w:cs="Arial" w:hAnsi="Arial"/>
          <w:b/>
          <w:bCs/>
          <w:i/>
          <w:color w:val="000000"/>
          <w:sz w:val="24"/>
        </w:rPr>
        <w:t xml:space="preserve">en Etapa de Deterioro, </w:t>
      </w:r>
      <w:r>
        <w:rPr>
          <w:rFonts w:ascii="Arial" w:cs="Arial" w:hAnsi="Arial"/>
          <w:b/>
          <w:i/>
          <w:color w:val="000000"/>
          <w:sz w:val="24"/>
        </w:rPr>
        <w:t xml:space="preserve">Obsolescencia y  Corrosión </w:t>
      </w:r>
      <w:r>
        <w:rPr>
          <w:rFonts w:ascii="Arial" w:cs="Arial" w:hAnsi="Arial"/>
          <w:b/>
          <w:bCs/>
          <w:i/>
          <w:color w:val="000000"/>
          <w:sz w:val="24"/>
        </w:rPr>
        <w:t>del Instituto Universitario de Tecnología del Estado  Yaracuy.</w:t>
      </w:r>
    </w:p>
    <w:p>
      <w:pPr>
        <w:pStyle w:val="style197"/>
        <w:spacing w:after="0" w:before="0" w:line="360" w:lineRule="auto"/>
        <w:jc w:val="both"/>
      </w:pPr>
      <w:r>
        <w:rPr/>
      </w:r>
    </w:p>
    <w:p>
      <w:pPr>
        <w:pStyle w:val="style197"/>
        <w:spacing w:after="0" w:before="0" w:line="360" w:lineRule="auto"/>
        <w:jc w:val="both"/>
      </w:pPr>
      <w:r>
        <w:rPr>
          <w:rStyle w:val="style168"/>
          <w:rFonts w:ascii="Arial" w:cs="Arial" w:hAnsi="Arial"/>
          <w:b/>
          <w:i/>
          <w:color w:val="000000"/>
        </w:rPr>
        <w:tab/>
      </w:r>
      <w:r>
        <w:rPr>
          <w:rStyle w:val="style168"/>
          <w:rFonts w:ascii="Arial" w:cs="Arial" w:hAnsi="Arial"/>
          <w:color w:val="000000"/>
        </w:rPr>
        <w:t>A continuación se detallaran los bienes nacionales representados por parque automotor que se encuentra en los espacios del Instituto Universitario en Etapa de Deterioro, Obsolescencia y Corrosión.</w:t>
      </w:r>
    </w:p>
    <w:p>
      <w:pPr>
        <w:pStyle w:val="style197"/>
        <w:spacing w:after="0" w:before="0"/>
        <w:jc w:val="both"/>
      </w:pPr>
      <w:r>
        <w:rPr/>
      </w:r>
    </w:p>
    <w:p>
      <w:pPr>
        <w:pStyle w:val="style197"/>
        <w:spacing w:after="0" w:before="0" w:line="360" w:lineRule="auto"/>
        <w:jc w:val="center"/>
      </w:pPr>
      <w:r>
        <w:rPr>
          <w:rStyle w:val="style168"/>
          <w:rFonts w:ascii="Arial" w:cs="Arial" w:hAnsi="Arial"/>
          <w:color w:val="000000"/>
        </w:rPr>
        <w:t>CUADRO 24</w:t>
      </w:r>
    </w:p>
    <w:p>
      <w:pPr>
        <w:pStyle w:val="style197"/>
        <w:spacing w:after="0" w:before="0" w:line="360" w:lineRule="auto"/>
        <w:jc w:val="center"/>
      </w:pPr>
      <w:r>
        <w:rPr>
          <w:rStyle w:val="style168"/>
          <w:rFonts w:ascii="Arial" w:cs="Arial" w:hAnsi="Arial"/>
          <w:b/>
          <w:color w:val="000000"/>
        </w:rPr>
        <w:t>PARQUE AUTOMOTORQUE EN ETAPA DE DETERIORO, OBSOLESCENCIA Y CORROSIÓN</w:t>
      </w:r>
    </w:p>
    <w:tbl>
      <w:tblPr>
        <w:jc w:val="left"/>
        <w:tblInd w:type="dxa" w:w="-113"/>
        <w:tblBorders>
          <w:top w:color="000000" w:space="0" w:sz="4" w:val="single"/>
          <w:left w:color="000000" w:space="0" w:sz="4" w:val="single"/>
          <w:bottom w:color="000000" w:space="0" w:sz="4" w:val="single"/>
        </w:tblBorders>
      </w:tblPr>
      <w:tblGrid>
        <w:gridCol w:w="502"/>
        <w:gridCol w:w="1956"/>
        <w:gridCol w:w="1802"/>
        <w:gridCol w:w="2274"/>
        <w:gridCol w:w="1424"/>
        <w:gridCol w:w="726"/>
      </w:tblGrid>
      <w:tr>
        <w:trPr>
          <w:cantSplit w:val="false"/>
        </w:trPr>
        <w:tc>
          <w:tcPr>
            <w:tcW w:type="dxa" w:w="502"/>
            <w:tcBorders>
              <w:top w:color="000000" w:space="0" w:sz="4" w:val="single"/>
              <w:left w:color="000000" w:space="0" w:sz="4" w:val="single"/>
              <w:bottom w:color="000000" w:space="0" w:sz="4" w:val="single"/>
            </w:tcBorders>
            <w:shd w:fill="BFBFBF"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b/>
                <w:color w:val="000000"/>
                <w:sz w:val="20"/>
              </w:rPr>
              <w:t>Nº</w:t>
            </w:r>
          </w:p>
        </w:tc>
        <w:tc>
          <w:tcPr>
            <w:tcW w:type="dxa" w:w="1956"/>
            <w:tcBorders>
              <w:top w:color="000000" w:space="0" w:sz="4" w:val="single"/>
              <w:left w:color="000000" w:space="0" w:sz="4" w:val="single"/>
              <w:bottom w:color="000000" w:space="0" w:sz="4" w:val="single"/>
            </w:tcBorders>
            <w:shd w:fill="BFBFBF"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b/>
                <w:color w:val="000000"/>
                <w:sz w:val="20"/>
              </w:rPr>
              <w:t>Clase</w:t>
            </w:r>
          </w:p>
        </w:tc>
        <w:tc>
          <w:tcPr>
            <w:tcW w:type="dxa" w:w="1802"/>
            <w:tcBorders>
              <w:top w:color="000000" w:space="0" w:sz="4" w:val="single"/>
              <w:left w:color="000000" w:space="0" w:sz="4" w:val="single"/>
              <w:bottom w:color="000000" w:space="0" w:sz="4" w:val="single"/>
            </w:tcBorders>
            <w:shd w:fill="BFBFBF"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b/>
                <w:color w:val="000000"/>
                <w:sz w:val="20"/>
              </w:rPr>
              <w:t>Marca</w:t>
            </w:r>
          </w:p>
        </w:tc>
        <w:tc>
          <w:tcPr>
            <w:tcW w:type="dxa" w:w="2274"/>
            <w:tcBorders>
              <w:top w:color="000000" w:space="0" w:sz="4" w:val="single"/>
              <w:left w:color="000000" w:space="0" w:sz="4" w:val="single"/>
              <w:bottom w:color="000000" w:space="0" w:sz="4" w:val="single"/>
            </w:tcBorders>
            <w:shd w:fill="BFBFBF"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b/>
                <w:color w:val="000000"/>
                <w:sz w:val="20"/>
              </w:rPr>
              <w:t>Serial</w:t>
            </w:r>
          </w:p>
        </w:tc>
        <w:tc>
          <w:tcPr>
            <w:tcW w:type="dxa" w:w="1424"/>
            <w:tcBorders>
              <w:top w:color="000000" w:space="0" w:sz="4" w:val="single"/>
              <w:left w:color="000000" w:space="0" w:sz="4" w:val="single"/>
              <w:bottom w:color="000000" w:space="0" w:sz="4" w:val="single"/>
            </w:tcBorders>
            <w:shd w:fill="BFBFBF"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b/>
                <w:color w:val="000000"/>
                <w:sz w:val="20"/>
              </w:rPr>
              <w:t>Placas</w:t>
            </w:r>
          </w:p>
        </w:tc>
        <w:tc>
          <w:tcPr>
            <w:tcW w:type="dxa" w:w="726"/>
            <w:tcBorders>
              <w:top w:color="000000" w:space="0" w:sz="4" w:val="single"/>
              <w:left w:color="000000" w:space="0" w:sz="4" w:val="single"/>
              <w:bottom w:color="000000" w:space="0" w:sz="4" w:val="single"/>
              <w:right w:color="000000" w:space="0" w:sz="4" w:val="single"/>
            </w:tcBorders>
            <w:shd w:fill="BFBFBF"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b/>
                <w:color w:val="000000"/>
                <w:sz w:val="20"/>
              </w:rPr>
              <w:t>COD/</w:t>
            </w:r>
          </w:p>
          <w:p>
            <w:pPr>
              <w:pStyle w:val="style197"/>
              <w:spacing w:after="0" w:before="0" w:line="360" w:lineRule="auto"/>
              <w:jc w:val="center"/>
            </w:pPr>
            <w:r>
              <w:rPr>
                <w:rStyle w:val="style168"/>
                <w:rFonts w:ascii="Arial" w:cs="Arial" w:hAnsi="Arial"/>
                <w:b/>
                <w:color w:val="000000"/>
                <w:sz w:val="20"/>
              </w:rPr>
              <w:t>B/N</w:t>
            </w:r>
          </w:p>
        </w:tc>
      </w:tr>
      <w:tr>
        <w:trPr>
          <w:cantSplit w:val="false"/>
        </w:trPr>
        <w:tc>
          <w:tcPr>
            <w:tcW w:type="dxa" w:w="502"/>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color w:val="000000"/>
                <w:sz w:val="20"/>
              </w:rPr>
              <w:t>01</w:t>
            </w:r>
          </w:p>
        </w:tc>
        <w:tc>
          <w:tcPr>
            <w:tcW w:type="dxa" w:w="1956"/>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197"/>
              <w:spacing w:after="0" w:before="0" w:line="360" w:lineRule="auto"/>
              <w:jc w:val="both"/>
            </w:pPr>
            <w:r>
              <w:rPr>
                <w:rStyle w:val="style168"/>
                <w:rFonts w:ascii="Arial" w:cs="Arial" w:hAnsi="Arial"/>
                <w:color w:val="000000"/>
                <w:sz w:val="20"/>
              </w:rPr>
              <w:t>Autobús</w:t>
            </w:r>
          </w:p>
        </w:tc>
        <w:tc>
          <w:tcPr>
            <w:tcW w:type="dxa" w:w="1802"/>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197"/>
              <w:spacing w:after="0" w:before="0" w:line="360" w:lineRule="auto"/>
              <w:jc w:val="both"/>
            </w:pPr>
            <w:r>
              <w:rPr>
                <w:rStyle w:val="style168"/>
                <w:rFonts w:ascii="Arial" w:cs="Arial" w:hAnsi="Arial"/>
                <w:color w:val="000000"/>
                <w:sz w:val="20"/>
              </w:rPr>
              <w:t>FORD</w:t>
            </w:r>
          </w:p>
        </w:tc>
        <w:tc>
          <w:tcPr>
            <w:tcW w:type="dxa" w:w="2274"/>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color w:val="000000"/>
                <w:sz w:val="20"/>
              </w:rPr>
              <w:t>AJB75V-32682</w:t>
            </w:r>
          </w:p>
        </w:tc>
        <w:tc>
          <w:tcPr>
            <w:tcW w:type="dxa" w:w="1424"/>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197"/>
              <w:spacing w:after="0" w:before="0" w:line="360" w:lineRule="auto"/>
              <w:jc w:val="both"/>
            </w:pPr>
            <w:r>
              <w:rPr>
                <w:rStyle w:val="style168"/>
                <w:rFonts w:ascii="Arial" w:cs="Arial" w:hAnsi="Arial"/>
                <w:color w:val="000000"/>
                <w:sz w:val="20"/>
              </w:rPr>
              <w:t>PO-2892</w:t>
            </w:r>
          </w:p>
        </w:tc>
        <w:tc>
          <w:tcPr>
            <w:tcW w:type="dxa" w:w="726"/>
            <w:tcBorders>
              <w:top w:color="000000" w:space="0" w:sz="4" w:val="single"/>
              <w:left w:color="000000" w:space="0" w:sz="4" w:val="single"/>
              <w:bottom w:color="000000" w:space="0" w:sz="4" w:val="single"/>
              <w:right w:color="000000" w:space="0" w:sz="4" w:val="single"/>
            </w:tcBorders>
            <w:shd w:fill="auto"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color w:val="000000"/>
                <w:sz w:val="20"/>
              </w:rPr>
              <w:t>1211</w:t>
            </w:r>
          </w:p>
        </w:tc>
      </w:tr>
      <w:tr>
        <w:trPr>
          <w:cantSplit w:val="false"/>
        </w:trPr>
        <w:tc>
          <w:tcPr>
            <w:tcW w:type="dxa" w:w="502"/>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color w:val="000000"/>
                <w:sz w:val="20"/>
              </w:rPr>
              <w:t>02</w:t>
            </w:r>
          </w:p>
        </w:tc>
        <w:tc>
          <w:tcPr>
            <w:tcW w:type="dxa" w:w="1956"/>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spacing w:after="200" w:before="0" w:line="360" w:lineRule="auto"/>
            </w:pPr>
            <w:r>
              <w:rPr>
                <w:rStyle w:val="style168"/>
                <w:rFonts w:ascii="Arial" w:cs="Arial" w:hAnsi="Arial"/>
                <w:color w:val="000000"/>
                <w:sz w:val="20"/>
              </w:rPr>
              <w:t>Autobús</w:t>
            </w:r>
          </w:p>
        </w:tc>
        <w:tc>
          <w:tcPr>
            <w:tcW w:type="dxa" w:w="1802"/>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spacing w:after="200" w:before="0" w:line="360" w:lineRule="auto"/>
            </w:pPr>
            <w:r>
              <w:rPr>
                <w:rStyle w:val="style168"/>
                <w:rFonts w:ascii="Arial" w:cs="Arial" w:hAnsi="Arial"/>
                <w:color w:val="000000"/>
                <w:sz w:val="20"/>
              </w:rPr>
              <w:t>FORD</w:t>
            </w:r>
          </w:p>
        </w:tc>
        <w:tc>
          <w:tcPr>
            <w:tcW w:type="dxa" w:w="2274"/>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color w:val="000000"/>
                <w:sz w:val="20"/>
              </w:rPr>
              <w:t>31208</w:t>
            </w:r>
          </w:p>
        </w:tc>
        <w:tc>
          <w:tcPr>
            <w:tcW w:type="dxa" w:w="1424"/>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197"/>
              <w:spacing w:after="0" w:before="0" w:line="360" w:lineRule="auto"/>
              <w:jc w:val="both"/>
            </w:pPr>
            <w:r>
              <w:rPr>
                <w:rStyle w:val="style168"/>
                <w:rFonts w:ascii="Arial" w:cs="Arial" w:hAnsi="Arial"/>
                <w:color w:val="000000"/>
                <w:sz w:val="20"/>
              </w:rPr>
              <w:t>UP-01641</w:t>
            </w:r>
          </w:p>
        </w:tc>
        <w:tc>
          <w:tcPr>
            <w:tcW w:type="dxa" w:w="726"/>
            <w:tcBorders>
              <w:top w:color="000000" w:space="0" w:sz="4" w:val="single"/>
              <w:left w:color="000000" w:space="0" w:sz="4" w:val="single"/>
              <w:bottom w:color="000000" w:space="0" w:sz="4" w:val="single"/>
              <w:right w:color="000000" w:space="0" w:sz="4" w:val="single"/>
            </w:tcBorders>
            <w:shd w:fill="auto"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color w:val="000000"/>
                <w:sz w:val="20"/>
              </w:rPr>
              <w:t>5395</w:t>
            </w:r>
          </w:p>
        </w:tc>
      </w:tr>
      <w:tr>
        <w:trPr>
          <w:cantSplit w:val="false"/>
        </w:trPr>
        <w:tc>
          <w:tcPr>
            <w:tcW w:type="dxa" w:w="502"/>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color w:val="000000"/>
                <w:sz w:val="20"/>
              </w:rPr>
              <w:t>03</w:t>
            </w:r>
          </w:p>
        </w:tc>
        <w:tc>
          <w:tcPr>
            <w:tcW w:type="dxa" w:w="1956"/>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spacing w:after="200" w:before="0" w:line="360" w:lineRule="auto"/>
            </w:pPr>
            <w:r>
              <w:rPr>
                <w:rStyle w:val="style168"/>
                <w:rFonts w:ascii="Arial" w:cs="Arial" w:hAnsi="Arial"/>
                <w:color w:val="000000"/>
                <w:sz w:val="20"/>
              </w:rPr>
              <w:t>Vehículo CJ5</w:t>
            </w:r>
          </w:p>
        </w:tc>
        <w:tc>
          <w:tcPr>
            <w:tcW w:type="dxa" w:w="1802"/>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spacing w:after="200" w:before="0" w:line="360" w:lineRule="auto"/>
            </w:pPr>
            <w:r>
              <w:rPr>
                <w:rStyle w:val="style168"/>
                <w:rFonts w:ascii="Arial" w:cs="Arial" w:hAnsi="Arial"/>
                <w:color w:val="000000"/>
                <w:sz w:val="20"/>
              </w:rPr>
              <w:t>JEEP</w:t>
            </w:r>
          </w:p>
        </w:tc>
        <w:tc>
          <w:tcPr>
            <w:tcW w:type="dxa" w:w="2274"/>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color w:val="000000"/>
                <w:sz w:val="20"/>
              </w:rPr>
              <w:t>J6J83AE</w:t>
            </w:r>
          </w:p>
        </w:tc>
        <w:tc>
          <w:tcPr>
            <w:tcW w:type="dxa" w:w="1424"/>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197"/>
              <w:spacing w:after="0" w:before="0" w:line="360" w:lineRule="auto"/>
              <w:jc w:val="both"/>
            </w:pPr>
            <w:r>
              <w:rPr>
                <w:rStyle w:val="style168"/>
                <w:rFonts w:ascii="Arial" w:cs="Arial" w:hAnsi="Arial"/>
                <w:color w:val="000000"/>
                <w:sz w:val="20"/>
              </w:rPr>
              <w:t>UA0-525</w:t>
            </w:r>
          </w:p>
        </w:tc>
        <w:tc>
          <w:tcPr>
            <w:tcW w:type="dxa" w:w="726"/>
            <w:tcBorders>
              <w:top w:color="000000" w:space="0" w:sz="4" w:val="single"/>
              <w:left w:color="000000" w:space="0" w:sz="4" w:val="single"/>
              <w:bottom w:color="000000" w:space="0" w:sz="4" w:val="single"/>
              <w:right w:color="000000" w:space="0" w:sz="4" w:val="single"/>
            </w:tcBorders>
            <w:shd w:fill="auto"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color w:val="000000"/>
                <w:sz w:val="20"/>
              </w:rPr>
              <w:t>5390</w:t>
            </w:r>
          </w:p>
        </w:tc>
      </w:tr>
      <w:tr>
        <w:trPr>
          <w:cantSplit w:val="false"/>
        </w:trPr>
        <w:tc>
          <w:tcPr>
            <w:tcW w:type="dxa" w:w="502"/>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color w:val="000000"/>
                <w:sz w:val="20"/>
              </w:rPr>
              <w:t>04</w:t>
            </w:r>
          </w:p>
        </w:tc>
        <w:tc>
          <w:tcPr>
            <w:tcW w:type="dxa" w:w="1956"/>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spacing w:after="200" w:before="0" w:line="360" w:lineRule="auto"/>
            </w:pPr>
            <w:r>
              <w:rPr>
                <w:rStyle w:val="style168"/>
                <w:rFonts w:ascii="Arial" w:cs="Arial" w:hAnsi="Arial"/>
                <w:color w:val="000000"/>
                <w:sz w:val="20"/>
              </w:rPr>
              <w:t>Autobús</w:t>
            </w:r>
          </w:p>
        </w:tc>
        <w:tc>
          <w:tcPr>
            <w:tcW w:type="dxa" w:w="1802"/>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spacing w:after="200" w:before="0" w:line="360" w:lineRule="auto"/>
            </w:pPr>
            <w:r>
              <w:rPr>
                <w:rStyle w:val="style168"/>
                <w:rFonts w:ascii="Arial" w:cs="Arial" w:hAnsi="Arial"/>
                <w:color w:val="000000"/>
                <w:sz w:val="20"/>
              </w:rPr>
              <w:t>FORD</w:t>
            </w:r>
          </w:p>
        </w:tc>
        <w:tc>
          <w:tcPr>
            <w:tcW w:type="dxa" w:w="2274"/>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color w:val="000000"/>
                <w:sz w:val="20"/>
              </w:rPr>
              <w:t>AJB75P17106</w:t>
            </w:r>
          </w:p>
        </w:tc>
        <w:tc>
          <w:tcPr>
            <w:tcW w:type="dxa" w:w="1424"/>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197"/>
              <w:spacing w:after="0" w:before="0" w:line="360" w:lineRule="auto"/>
              <w:jc w:val="both"/>
            </w:pPr>
            <w:r>
              <w:rPr>
                <w:rStyle w:val="style168"/>
                <w:rFonts w:ascii="Arial" w:cs="Arial" w:hAnsi="Arial"/>
                <w:color w:val="000000"/>
                <w:sz w:val="20"/>
              </w:rPr>
              <w:t>P-01643</w:t>
            </w:r>
          </w:p>
        </w:tc>
        <w:tc>
          <w:tcPr>
            <w:tcW w:type="dxa" w:w="726"/>
            <w:tcBorders>
              <w:top w:color="000000" w:space="0" w:sz="4" w:val="single"/>
              <w:left w:color="000000" w:space="0" w:sz="4" w:val="single"/>
              <w:bottom w:color="000000" w:space="0" w:sz="4" w:val="single"/>
              <w:right w:color="000000" w:space="0" w:sz="4" w:val="single"/>
            </w:tcBorders>
            <w:shd w:fill="auto"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color w:val="000000"/>
                <w:sz w:val="20"/>
              </w:rPr>
              <w:t>8929</w:t>
            </w:r>
          </w:p>
        </w:tc>
      </w:tr>
      <w:tr>
        <w:trPr>
          <w:cantSplit w:val="false"/>
        </w:trPr>
        <w:tc>
          <w:tcPr>
            <w:tcW w:type="dxa" w:w="502"/>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color w:val="000000"/>
                <w:sz w:val="20"/>
              </w:rPr>
              <w:t>05</w:t>
            </w:r>
          </w:p>
        </w:tc>
        <w:tc>
          <w:tcPr>
            <w:tcW w:type="dxa" w:w="1956"/>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spacing w:after="200" w:before="0" w:line="360" w:lineRule="auto"/>
            </w:pPr>
            <w:r>
              <w:rPr>
                <w:rStyle w:val="style168"/>
                <w:rFonts w:ascii="Arial" w:cs="Arial" w:hAnsi="Arial"/>
                <w:color w:val="000000"/>
                <w:sz w:val="20"/>
              </w:rPr>
              <w:t>Camioneta Pick UP</w:t>
            </w:r>
          </w:p>
        </w:tc>
        <w:tc>
          <w:tcPr>
            <w:tcW w:type="dxa" w:w="1802"/>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spacing w:after="200" w:before="0" w:line="360" w:lineRule="auto"/>
            </w:pPr>
            <w:r>
              <w:rPr>
                <w:rStyle w:val="style168"/>
                <w:rFonts w:ascii="Arial" w:cs="Arial" w:hAnsi="Arial"/>
                <w:color w:val="000000"/>
                <w:sz w:val="20"/>
              </w:rPr>
              <w:t>DODGE 100</w:t>
            </w:r>
          </w:p>
        </w:tc>
        <w:tc>
          <w:tcPr>
            <w:tcW w:type="dxa" w:w="2274"/>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color w:val="000000"/>
                <w:sz w:val="20"/>
              </w:rPr>
              <w:t>T-672935-</w:t>
            </w:r>
          </w:p>
        </w:tc>
        <w:tc>
          <w:tcPr>
            <w:tcW w:type="dxa" w:w="1424"/>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197"/>
              <w:spacing w:after="0" w:before="0" w:line="360" w:lineRule="auto"/>
              <w:jc w:val="both"/>
            </w:pPr>
            <w:r>
              <w:rPr>
                <w:rStyle w:val="style168"/>
                <w:rFonts w:ascii="Arial" w:cs="Arial" w:hAnsi="Arial"/>
                <w:color w:val="000000"/>
                <w:sz w:val="20"/>
              </w:rPr>
              <w:t>UAP-457</w:t>
            </w:r>
          </w:p>
        </w:tc>
        <w:tc>
          <w:tcPr>
            <w:tcW w:type="dxa" w:w="726"/>
            <w:tcBorders>
              <w:top w:color="000000" w:space="0" w:sz="4" w:val="single"/>
              <w:left w:color="000000" w:space="0" w:sz="4" w:val="single"/>
              <w:bottom w:color="000000" w:space="0" w:sz="4" w:val="single"/>
              <w:right w:color="000000" w:space="0" w:sz="4" w:val="single"/>
            </w:tcBorders>
            <w:shd w:fill="auto"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color w:val="000000"/>
                <w:sz w:val="20"/>
              </w:rPr>
              <w:t>5791</w:t>
            </w:r>
          </w:p>
        </w:tc>
      </w:tr>
      <w:tr>
        <w:trPr>
          <w:cantSplit w:val="false"/>
        </w:trPr>
        <w:tc>
          <w:tcPr>
            <w:tcW w:type="dxa" w:w="502"/>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color w:val="000000"/>
                <w:sz w:val="20"/>
              </w:rPr>
              <w:t>06</w:t>
            </w:r>
          </w:p>
        </w:tc>
        <w:tc>
          <w:tcPr>
            <w:tcW w:type="dxa" w:w="1956"/>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spacing w:after="200" w:before="0" w:line="360" w:lineRule="auto"/>
            </w:pPr>
            <w:r>
              <w:rPr>
                <w:rStyle w:val="style168"/>
                <w:rFonts w:ascii="Arial" w:cs="Arial" w:hAnsi="Arial"/>
                <w:color w:val="000000"/>
                <w:sz w:val="20"/>
              </w:rPr>
              <w:t>Autobús</w:t>
            </w:r>
          </w:p>
        </w:tc>
        <w:tc>
          <w:tcPr>
            <w:tcW w:type="dxa" w:w="1802"/>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spacing w:after="200" w:before="0" w:line="360" w:lineRule="auto"/>
            </w:pPr>
            <w:r>
              <w:rPr>
                <w:rStyle w:val="style168"/>
                <w:rFonts w:ascii="Arial" w:cs="Arial" w:hAnsi="Arial"/>
                <w:color w:val="000000"/>
                <w:sz w:val="20"/>
              </w:rPr>
              <w:t>BLUE BIRD</w:t>
            </w:r>
          </w:p>
        </w:tc>
        <w:tc>
          <w:tcPr>
            <w:tcW w:type="dxa" w:w="2274"/>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color w:val="000000"/>
                <w:sz w:val="20"/>
              </w:rPr>
              <w:t>100056-f-31764</w:t>
            </w:r>
          </w:p>
        </w:tc>
        <w:tc>
          <w:tcPr>
            <w:tcW w:type="dxa" w:w="1424"/>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197"/>
              <w:spacing w:after="0" w:before="0" w:line="360" w:lineRule="auto"/>
              <w:jc w:val="both"/>
            </w:pPr>
            <w:r>
              <w:rPr>
                <w:rStyle w:val="style168"/>
                <w:rFonts w:ascii="Arial" w:cs="Arial" w:hAnsi="Arial"/>
                <w:color w:val="000000"/>
                <w:sz w:val="20"/>
              </w:rPr>
              <w:t>F-08690</w:t>
            </w:r>
          </w:p>
        </w:tc>
        <w:tc>
          <w:tcPr>
            <w:tcW w:type="dxa" w:w="726"/>
            <w:tcBorders>
              <w:top w:color="000000" w:space="0" w:sz="4" w:val="single"/>
              <w:left w:color="000000" w:space="0" w:sz="4" w:val="single"/>
              <w:bottom w:color="000000" w:space="0" w:sz="4" w:val="single"/>
              <w:right w:color="000000" w:space="0" w:sz="4" w:val="single"/>
            </w:tcBorders>
            <w:shd w:fill="auto"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color w:val="000000"/>
                <w:sz w:val="20"/>
              </w:rPr>
              <w:t>958</w:t>
            </w:r>
          </w:p>
        </w:tc>
      </w:tr>
      <w:tr>
        <w:trPr>
          <w:cantSplit w:val="false"/>
        </w:trPr>
        <w:tc>
          <w:tcPr>
            <w:tcW w:type="dxa" w:w="502"/>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color w:val="000000"/>
                <w:sz w:val="20"/>
              </w:rPr>
              <w:t>07</w:t>
            </w:r>
          </w:p>
        </w:tc>
        <w:tc>
          <w:tcPr>
            <w:tcW w:type="dxa" w:w="1956"/>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spacing w:after="200" w:before="0" w:line="360" w:lineRule="auto"/>
            </w:pPr>
            <w:r>
              <w:rPr>
                <w:rStyle w:val="style168"/>
                <w:rFonts w:ascii="Arial" w:cs="Arial" w:hAnsi="Arial"/>
                <w:color w:val="000000"/>
                <w:sz w:val="20"/>
              </w:rPr>
              <w:t>Autobús</w:t>
            </w:r>
          </w:p>
        </w:tc>
        <w:tc>
          <w:tcPr>
            <w:tcW w:type="dxa" w:w="1802"/>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spacing w:after="200" w:before="0" w:line="360" w:lineRule="auto"/>
            </w:pPr>
            <w:r>
              <w:rPr>
                <w:rStyle w:val="style168"/>
                <w:rFonts w:ascii="Arial" w:cs="Arial" w:hAnsi="Arial"/>
                <w:color w:val="000000"/>
                <w:sz w:val="20"/>
              </w:rPr>
              <w:t>FORD</w:t>
            </w:r>
          </w:p>
        </w:tc>
        <w:tc>
          <w:tcPr>
            <w:tcW w:type="dxa" w:w="2274"/>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color w:val="000000"/>
                <w:sz w:val="20"/>
              </w:rPr>
              <w:t>31210</w:t>
            </w:r>
          </w:p>
        </w:tc>
        <w:tc>
          <w:tcPr>
            <w:tcW w:type="dxa" w:w="1424"/>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197"/>
              <w:spacing w:after="0" w:before="0" w:line="360" w:lineRule="auto"/>
              <w:jc w:val="both"/>
            </w:pPr>
            <w:r>
              <w:rPr>
                <w:rStyle w:val="style168"/>
                <w:rFonts w:ascii="Arial" w:cs="Arial" w:hAnsi="Arial"/>
                <w:color w:val="000000"/>
                <w:sz w:val="20"/>
              </w:rPr>
              <w:t>P-01643</w:t>
            </w:r>
          </w:p>
        </w:tc>
        <w:tc>
          <w:tcPr>
            <w:tcW w:type="dxa" w:w="726"/>
            <w:tcBorders>
              <w:top w:color="000000" w:space="0" w:sz="4" w:val="single"/>
              <w:left w:color="000000" w:space="0" w:sz="4" w:val="single"/>
              <w:bottom w:color="000000" w:space="0" w:sz="4" w:val="single"/>
              <w:right w:color="000000" w:space="0" w:sz="4" w:val="single"/>
            </w:tcBorders>
            <w:shd w:fill="auto"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color w:val="000000"/>
                <w:sz w:val="20"/>
              </w:rPr>
              <w:t>967</w:t>
            </w:r>
          </w:p>
        </w:tc>
      </w:tr>
      <w:tr>
        <w:trPr>
          <w:cantSplit w:val="false"/>
        </w:trPr>
        <w:tc>
          <w:tcPr>
            <w:tcW w:type="dxa" w:w="502"/>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color w:val="000000"/>
                <w:sz w:val="20"/>
              </w:rPr>
              <w:t>08</w:t>
            </w:r>
          </w:p>
        </w:tc>
        <w:tc>
          <w:tcPr>
            <w:tcW w:type="dxa" w:w="1956"/>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spacing w:after="200" w:before="0" w:line="360" w:lineRule="auto"/>
            </w:pPr>
            <w:r>
              <w:rPr>
                <w:rStyle w:val="style168"/>
                <w:rFonts w:ascii="Arial" w:cs="Arial" w:hAnsi="Arial"/>
                <w:color w:val="000000"/>
                <w:sz w:val="20"/>
              </w:rPr>
              <w:t>Autobús</w:t>
            </w:r>
          </w:p>
        </w:tc>
        <w:tc>
          <w:tcPr>
            <w:tcW w:type="dxa" w:w="1802"/>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spacing w:after="200" w:before="0" w:line="360" w:lineRule="auto"/>
            </w:pPr>
            <w:r>
              <w:rPr>
                <w:rStyle w:val="style168"/>
                <w:rFonts w:ascii="Arial" w:cs="Arial" w:hAnsi="Arial"/>
                <w:color w:val="000000"/>
                <w:sz w:val="20"/>
              </w:rPr>
              <w:t>CHEVROLET</w:t>
            </w:r>
          </w:p>
        </w:tc>
        <w:tc>
          <w:tcPr>
            <w:tcW w:type="dxa" w:w="2274"/>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color w:val="000000"/>
                <w:sz w:val="20"/>
              </w:rPr>
              <w:t>1GBJ6P1BBBV130856</w:t>
            </w:r>
          </w:p>
        </w:tc>
        <w:tc>
          <w:tcPr>
            <w:tcW w:type="dxa" w:w="1424"/>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197"/>
              <w:spacing w:after="0" w:before="0" w:line="360" w:lineRule="auto"/>
              <w:jc w:val="both"/>
            </w:pPr>
            <w:r>
              <w:rPr>
                <w:rStyle w:val="style168"/>
                <w:rFonts w:ascii="Arial" w:cs="Arial" w:hAnsi="Arial"/>
                <w:color w:val="000000"/>
                <w:sz w:val="20"/>
              </w:rPr>
              <w:t>E-04521</w:t>
            </w:r>
          </w:p>
        </w:tc>
        <w:tc>
          <w:tcPr>
            <w:tcW w:type="dxa" w:w="726"/>
            <w:tcBorders>
              <w:top w:color="000000" w:space="0" w:sz="4" w:val="single"/>
              <w:left w:color="000000" w:space="0" w:sz="4" w:val="single"/>
              <w:bottom w:color="000000" w:space="0" w:sz="4" w:val="single"/>
              <w:right w:color="000000" w:space="0" w:sz="4" w:val="single"/>
            </w:tcBorders>
            <w:shd w:fill="auto"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color w:val="000000"/>
                <w:sz w:val="20"/>
              </w:rPr>
              <w:t>5392</w:t>
            </w:r>
          </w:p>
        </w:tc>
      </w:tr>
      <w:tr>
        <w:trPr>
          <w:cantSplit w:val="false"/>
        </w:trPr>
        <w:tc>
          <w:tcPr>
            <w:tcW w:type="dxa" w:w="502"/>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color w:val="000000"/>
                <w:sz w:val="20"/>
              </w:rPr>
              <w:t>09</w:t>
            </w:r>
          </w:p>
        </w:tc>
        <w:tc>
          <w:tcPr>
            <w:tcW w:type="dxa" w:w="1956"/>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spacing w:after="200" w:before="0" w:line="360" w:lineRule="auto"/>
            </w:pPr>
            <w:r>
              <w:rPr>
                <w:rStyle w:val="style168"/>
                <w:rFonts w:ascii="Arial" w:cs="Arial" w:hAnsi="Arial"/>
                <w:color w:val="000000"/>
                <w:sz w:val="20"/>
              </w:rPr>
              <w:t>Autobús</w:t>
            </w:r>
          </w:p>
        </w:tc>
        <w:tc>
          <w:tcPr>
            <w:tcW w:type="dxa" w:w="1802"/>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spacing w:after="200" w:before="0" w:line="360" w:lineRule="auto"/>
            </w:pPr>
            <w:r>
              <w:rPr>
                <w:rStyle w:val="style168"/>
                <w:rFonts w:ascii="Arial" w:cs="Arial" w:hAnsi="Arial"/>
                <w:color w:val="000000"/>
                <w:sz w:val="20"/>
              </w:rPr>
              <w:t>FORD</w:t>
            </w:r>
          </w:p>
        </w:tc>
        <w:tc>
          <w:tcPr>
            <w:tcW w:type="dxa" w:w="2274"/>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color w:val="000000"/>
                <w:sz w:val="20"/>
              </w:rPr>
              <w:t>17015</w:t>
            </w:r>
          </w:p>
        </w:tc>
        <w:tc>
          <w:tcPr>
            <w:tcW w:type="dxa" w:w="1424"/>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197"/>
              <w:spacing w:after="0" w:before="0" w:line="360" w:lineRule="auto"/>
              <w:jc w:val="both"/>
            </w:pPr>
            <w:r>
              <w:rPr>
                <w:rStyle w:val="style168"/>
                <w:rFonts w:ascii="Arial" w:cs="Arial" w:hAnsi="Arial"/>
                <w:color w:val="000000"/>
                <w:sz w:val="20"/>
              </w:rPr>
              <w:t>P-01640</w:t>
            </w:r>
          </w:p>
        </w:tc>
        <w:tc>
          <w:tcPr>
            <w:tcW w:type="dxa" w:w="726"/>
            <w:tcBorders>
              <w:top w:color="000000" w:space="0" w:sz="4" w:val="single"/>
              <w:left w:color="000000" w:space="0" w:sz="4" w:val="single"/>
              <w:bottom w:color="000000" w:space="0" w:sz="4" w:val="single"/>
              <w:right w:color="000000" w:space="0" w:sz="4" w:val="single"/>
            </w:tcBorders>
            <w:shd w:fill="auto"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color w:val="000000"/>
                <w:sz w:val="20"/>
              </w:rPr>
              <w:t>8928</w:t>
            </w:r>
          </w:p>
        </w:tc>
      </w:tr>
      <w:tr>
        <w:trPr>
          <w:cantSplit w:val="false"/>
        </w:trPr>
        <w:tc>
          <w:tcPr>
            <w:tcW w:type="dxa" w:w="502"/>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color w:val="000000"/>
                <w:sz w:val="20"/>
              </w:rPr>
              <w:t>10</w:t>
            </w:r>
          </w:p>
        </w:tc>
        <w:tc>
          <w:tcPr>
            <w:tcW w:type="dxa" w:w="1956"/>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spacing w:after="200" w:before="0" w:line="360" w:lineRule="auto"/>
            </w:pPr>
            <w:r>
              <w:rPr>
                <w:rStyle w:val="style168"/>
                <w:rFonts w:ascii="Arial" w:cs="Arial" w:hAnsi="Arial"/>
                <w:color w:val="000000"/>
                <w:sz w:val="20"/>
              </w:rPr>
              <w:t>Autobús</w:t>
            </w:r>
          </w:p>
        </w:tc>
        <w:tc>
          <w:tcPr>
            <w:tcW w:type="dxa" w:w="1802"/>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spacing w:after="200" w:before="0" w:line="360" w:lineRule="auto"/>
            </w:pPr>
            <w:r>
              <w:rPr>
                <w:rStyle w:val="style168"/>
                <w:rFonts w:ascii="Arial" w:cs="Arial" w:hAnsi="Arial"/>
                <w:color w:val="000000"/>
                <w:sz w:val="16"/>
              </w:rPr>
              <w:t>DODGE CORONET</w:t>
            </w:r>
          </w:p>
        </w:tc>
        <w:tc>
          <w:tcPr>
            <w:tcW w:type="dxa" w:w="2274"/>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color w:val="000000"/>
                <w:sz w:val="20"/>
              </w:rPr>
              <w:t>B-5-47043</w:t>
            </w:r>
          </w:p>
        </w:tc>
        <w:tc>
          <w:tcPr>
            <w:tcW w:type="dxa" w:w="1424"/>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197"/>
              <w:spacing w:after="0" w:before="0" w:line="360" w:lineRule="auto"/>
              <w:jc w:val="both"/>
            </w:pPr>
            <w:r>
              <w:rPr>
                <w:rStyle w:val="style168"/>
                <w:rFonts w:ascii="Arial" w:cs="Arial" w:hAnsi="Arial"/>
                <w:color w:val="000000"/>
                <w:sz w:val="20"/>
              </w:rPr>
              <w:t>UAA-298</w:t>
            </w:r>
          </w:p>
        </w:tc>
        <w:tc>
          <w:tcPr>
            <w:tcW w:type="dxa" w:w="726"/>
            <w:tcBorders>
              <w:top w:color="000000" w:space="0" w:sz="4" w:val="single"/>
              <w:left w:color="000000" w:space="0" w:sz="4" w:val="single"/>
              <w:bottom w:color="000000" w:space="0" w:sz="4" w:val="single"/>
              <w:right w:color="000000" w:space="0" w:sz="4" w:val="single"/>
            </w:tcBorders>
            <w:shd w:fill="auto"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color w:val="000000"/>
                <w:sz w:val="20"/>
              </w:rPr>
              <w:t>8931</w:t>
            </w:r>
          </w:p>
        </w:tc>
      </w:tr>
      <w:tr>
        <w:trPr>
          <w:cantSplit w:val="false"/>
        </w:trPr>
        <w:tc>
          <w:tcPr>
            <w:tcW w:type="dxa" w:w="502"/>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color w:val="000000"/>
                <w:sz w:val="20"/>
              </w:rPr>
              <w:t>11</w:t>
            </w:r>
          </w:p>
        </w:tc>
        <w:tc>
          <w:tcPr>
            <w:tcW w:type="dxa" w:w="1956"/>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spacing w:after="200" w:before="0" w:line="360" w:lineRule="auto"/>
            </w:pPr>
            <w:r>
              <w:rPr>
                <w:rStyle w:val="style168"/>
                <w:rFonts w:ascii="Arial" w:cs="Arial" w:hAnsi="Arial"/>
                <w:color w:val="000000"/>
                <w:sz w:val="20"/>
              </w:rPr>
              <w:t>Tractor</w:t>
            </w:r>
          </w:p>
        </w:tc>
        <w:tc>
          <w:tcPr>
            <w:tcW w:type="dxa" w:w="1802"/>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spacing w:after="200" w:before="0" w:line="360" w:lineRule="auto"/>
            </w:pPr>
            <w:r>
              <w:rPr>
                <w:rStyle w:val="style168"/>
                <w:rFonts w:ascii="Arial" w:cs="Arial" w:hAnsi="Arial"/>
                <w:color w:val="000000"/>
                <w:sz w:val="20"/>
              </w:rPr>
              <w:t>FORTSCHIRITT</w:t>
            </w:r>
          </w:p>
        </w:tc>
        <w:tc>
          <w:tcPr>
            <w:tcW w:type="dxa" w:w="2274"/>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color w:val="000000"/>
                <w:sz w:val="20"/>
              </w:rPr>
              <w:t>67820</w:t>
            </w:r>
          </w:p>
        </w:tc>
        <w:tc>
          <w:tcPr>
            <w:tcW w:type="dxa" w:w="1424"/>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197"/>
              <w:spacing w:after="0" w:before="0" w:line="360" w:lineRule="auto"/>
              <w:jc w:val="both"/>
            </w:pPr>
            <w:r>
              <w:rPr>
                <w:rStyle w:val="style168"/>
                <w:rFonts w:ascii="Arial" w:cs="Arial" w:hAnsi="Arial"/>
                <w:color w:val="000000"/>
                <w:sz w:val="20"/>
              </w:rPr>
              <w:t>GAH-189</w:t>
            </w:r>
          </w:p>
        </w:tc>
        <w:tc>
          <w:tcPr>
            <w:tcW w:type="dxa" w:w="726"/>
            <w:tcBorders>
              <w:top w:color="000000" w:space="0" w:sz="4" w:val="single"/>
              <w:left w:color="000000" w:space="0" w:sz="4" w:val="single"/>
              <w:bottom w:color="000000" w:space="0" w:sz="4" w:val="single"/>
              <w:right w:color="000000" w:space="0" w:sz="4" w:val="single"/>
            </w:tcBorders>
            <w:shd w:fill="auto"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color w:val="000000"/>
                <w:sz w:val="20"/>
              </w:rPr>
              <w:t>4748</w:t>
            </w:r>
          </w:p>
        </w:tc>
      </w:tr>
      <w:tr>
        <w:trPr>
          <w:cantSplit w:val="false"/>
        </w:trPr>
        <w:tc>
          <w:tcPr>
            <w:tcW w:type="dxa" w:w="502"/>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color w:val="000000"/>
                <w:sz w:val="20"/>
              </w:rPr>
              <w:t>12</w:t>
            </w:r>
          </w:p>
        </w:tc>
        <w:tc>
          <w:tcPr>
            <w:tcW w:type="dxa" w:w="1956"/>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spacing w:after="200" w:before="0" w:line="360" w:lineRule="auto"/>
            </w:pPr>
            <w:r>
              <w:rPr>
                <w:rStyle w:val="style168"/>
                <w:rFonts w:ascii="Arial" w:cs="Arial" w:hAnsi="Arial"/>
                <w:color w:val="000000"/>
                <w:sz w:val="20"/>
              </w:rPr>
              <w:t>Tractor</w:t>
            </w:r>
          </w:p>
        </w:tc>
        <w:tc>
          <w:tcPr>
            <w:tcW w:type="dxa" w:w="1802"/>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spacing w:after="200" w:before="0" w:line="360" w:lineRule="auto"/>
            </w:pPr>
            <w:r>
              <w:rPr>
                <w:rStyle w:val="style168"/>
                <w:rFonts w:ascii="Arial" w:cs="Arial" w:hAnsi="Arial"/>
                <w:color w:val="000000"/>
                <w:sz w:val="20"/>
              </w:rPr>
              <w:t>FORTSCHIRITT</w:t>
            </w:r>
          </w:p>
        </w:tc>
        <w:tc>
          <w:tcPr>
            <w:tcW w:type="dxa" w:w="2274"/>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color w:val="000000"/>
                <w:sz w:val="20"/>
              </w:rPr>
              <w:t>67805</w:t>
            </w:r>
          </w:p>
        </w:tc>
        <w:tc>
          <w:tcPr>
            <w:tcW w:type="dxa" w:w="1424"/>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197"/>
              <w:spacing w:after="0" w:before="0" w:line="360" w:lineRule="auto"/>
              <w:jc w:val="both"/>
            </w:pPr>
            <w:r>
              <w:rPr>
                <w:rStyle w:val="style168"/>
                <w:rFonts w:ascii="Arial" w:cs="Arial" w:hAnsi="Arial"/>
                <w:color w:val="000000"/>
                <w:sz w:val="20"/>
              </w:rPr>
              <w:t>DBA-452</w:t>
            </w:r>
          </w:p>
        </w:tc>
        <w:tc>
          <w:tcPr>
            <w:tcW w:type="dxa" w:w="726"/>
            <w:tcBorders>
              <w:top w:color="000000" w:space="0" w:sz="4" w:val="single"/>
              <w:left w:color="000000" w:space="0" w:sz="4" w:val="single"/>
              <w:bottom w:color="000000" w:space="0" w:sz="4" w:val="single"/>
              <w:right w:color="000000" w:space="0" w:sz="4" w:val="single"/>
            </w:tcBorders>
            <w:shd w:fill="auto"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color w:val="000000"/>
                <w:sz w:val="20"/>
              </w:rPr>
              <w:t>4723</w:t>
            </w:r>
          </w:p>
        </w:tc>
      </w:tr>
    </w:tbl>
    <w:p>
      <w:pPr>
        <w:sectPr>
          <w:headerReference r:id="rId54" w:type="default"/>
          <w:footerReference r:id="rId55" w:type="default"/>
          <w:type w:val="nextPage"/>
          <w:pgSz w:h="15840" w:w="12240"/>
          <w:pgMar w:bottom="1701" w:footer="709" w:gutter="0" w:header="709" w:left="1701" w:right="2268" w:top="2268"/>
          <w:pgNumType w:fmt="decimal"/>
          <w:formProt w:val="false"/>
          <w:textDirection w:val="lrTb"/>
          <w:docGrid w:charSpace="0" w:linePitch="360" w:type="default"/>
        </w:sectPr>
        <w:pStyle w:val="style197"/>
        <w:spacing w:after="0" w:before="0" w:line="360" w:lineRule="auto"/>
        <w:jc w:val="both"/>
      </w:pPr>
      <w:r>
        <w:rPr>
          <w:rStyle w:val="style168"/>
          <w:rFonts w:ascii="Arial" w:cs="Arial" w:hAnsi="Arial"/>
          <w:color w:val="000000"/>
        </w:rPr>
        <w:t>Fuente: Escalona (2011) adaptado por: Mendoza (2015)</w:t>
      </w:r>
    </w:p>
    <w:p>
      <w:pPr>
        <w:pStyle w:val="style197"/>
        <w:spacing w:after="0" w:before="0" w:line="360" w:lineRule="auto"/>
        <w:jc w:val="center"/>
      </w:pPr>
      <w:r>
        <w:rPr>
          <w:rStyle w:val="style168"/>
          <w:rFonts w:ascii="Arial" w:cs="Arial" w:hAnsi="Arial"/>
          <w:color w:val="000000"/>
          <w:sz w:val="22"/>
        </w:rPr>
        <w:t>CUADRO 25</w:t>
      </w:r>
      <w:r>
        <w:rPr>
          <w:rStyle w:val="style168"/>
          <w:rFonts w:ascii="Arial" w:cs="Arial" w:hAnsi="Arial"/>
          <w:color w:val="000000"/>
        </w:rPr>
        <w:t xml:space="preserve">  </w:t>
      </w:r>
      <w:r>
        <w:rPr>
          <w:rStyle w:val="style168"/>
          <w:rFonts w:ascii="Arial" w:cs="Arial" w:hAnsi="Arial"/>
          <w:color w:val="000000"/>
          <w:sz w:val="22"/>
        </w:rPr>
        <w:t>DESCRIPCIÓN DE LOS BIENES EN ETAPA DE DETERIORO, OBSOLESCENCIA Y CORROSIÓN</w:t>
      </w:r>
    </w:p>
    <w:p>
      <w:pPr>
        <w:pStyle w:val="style197"/>
        <w:spacing w:after="0" w:before="0" w:line="360" w:lineRule="auto"/>
        <w:jc w:val="center"/>
      </w:pPr>
      <w:r>
        <w:rPr/>
      </w:r>
    </w:p>
    <w:tbl>
      <w:tblPr>
        <w:jc w:val="left"/>
        <w:tblInd w:type="dxa" w:w="-113"/>
        <w:tblBorders>
          <w:top w:color="000000" w:space="0" w:sz="4" w:val="single"/>
          <w:left w:color="000000" w:space="0" w:sz="4" w:val="single"/>
          <w:bottom w:color="000000" w:space="0" w:sz="4" w:val="single"/>
        </w:tblBorders>
      </w:tblPr>
      <w:tblGrid>
        <w:gridCol w:w="675"/>
        <w:gridCol w:w="3402"/>
        <w:gridCol w:w="3119"/>
        <w:gridCol w:w="4121"/>
      </w:tblGrid>
      <w:tr>
        <w:trPr>
          <w:cantSplit w:val="false"/>
        </w:trPr>
        <w:tc>
          <w:tcPr>
            <w:tcW w:type="dxa" w:w="675"/>
            <w:tcBorders>
              <w:top w:color="000000" w:space="0" w:sz="4" w:val="single"/>
              <w:left w:color="000000" w:space="0" w:sz="4" w:val="single"/>
              <w:bottom w:color="000000" w:space="0" w:sz="4" w:val="single"/>
            </w:tcBorders>
            <w:shd w:fill="BFBFBF"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b/>
                <w:color w:val="000000"/>
                <w:sz w:val="20"/>
                <w:szCs w:val="20"/>
              </w:rPr>
              <w:t>Nº</w:t>
            </w:r>
          </w:p>
        </w:tc>
        <w:tc>
          <w:tcPr>
            <w:tcW w:type="dxa" w:w="3402"/>
            <w:tcBorders>
              <w:top w:color="000000" w:space="0" w:sz="4" w:val="single"/>
              <w:left w:color="000000" w:space="0" w:sz="4" w:val="single"/>
              <w:bottom w:color="000000" w:space="0" w:sz="4" w:val="single"/>
            </w:tcBorders>
            <w:shd w:fill="BFBFBF"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b/>
                <w:color w:val="000000"/>
                <w:sz w:val="20"/>
                <w:szCs w:val="20"/>
              </w:rPr>
              <w:t>MARCA /MODELO</w:t>
            </w:r>
          </w:p>
        </w:tc>
        <w:tc>
          <w:tcPr>
            <w:tcW w:type="dxa" w:w="3119"/>
            <w:tcBorders>
              <w:top w:color="000000" w:space="0" w:sz="4" w:val="single"/>
              <w:left w:color="000000" w:space="0" w:sz="4" w:val="single"/>
              <w:bottom w:color="000000" w:space="0" w:sz="4" w:val="single"/>
            </w:tcBorders>
            <w:shd w:fill="BFBFBF"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b/>
                <w:color w:val="000000"/>
                <w:sz w:val="20"/>
                <w:szCs w:val="20"/>
              </w:rPr>
              <w:t>PLACA/SERIALES</w:t>
            </w:r>
          </w:p>
        </w:tc>
        <w:tc>
          <w:tcPr>
            <w:tcW w:type="dxa" w:w="4121"/>
            <w:tcBorders>
              <w:top w:color="000000" w:space="0" w:sz="4" w:val="single"/>
              <w:left w:color="000000" w:space="0" w:sz="4" w:val="single"/>
              <w:bottom w:color="000000" w:space="0" w:sz="4" w:val="single"/>
              <w:right w:color="000000" w:space="0" w:sz="4" w:val="single"/>
            </w:tcBorders>
            <w:shd w:fill="BFBFBF"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b/>
                <w:color w:val="000000"/>
                <w:sz w:val="20"/>
                <w:szCs w:val="20"/>
              </w:rPr>
              <w:t>OBSERVACIONES</w:t>
            </w:r>
          </w:p>
        </w:tc>
      </w:tr>
      <w:tr>
        <w:trPr>
          <w:cantSplit w:val="false"/>
        </w:trPr>
        <w:tc>
          <w:tcPr>
            <w:tcW w:type="dxa" w:w="675"/>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color w:val="000000"/>
                <w:sz w:val="20"/>
                <w:szCs w:val="20"/>
              </w:rPr>
              <w:t>1</w:t>
            </w:r>
          </w:p>
        </w:tc>
        <w:tc>
          <w:tcPr>
            <w:tcW w:type="dxa" w:w="3402"/>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197"/>
              <w:spacing w:after="0" w:before="0"/>
              <w:jc w:val="both"/>
            </w:pPr>
            <w:r>
              <w:rPr>
                <w:rStyle w:val="style168"/>
                <w:rFonts w:ascii="Arial" w:cs="Arial" w:hAnsi="Arial"/>
                <w:color w:val="000000"/>
                <w:sz w:val="20"/>
                <w:szCs w:val="20"/>
              </w:rPr>
              <w:t xml:space="preserve">MARCA: FORD, MODELO: F-350, CLASE: CAMIÓN, AÑO 1.975, comprado A ENSAMBLAJE SUPERIOR,C.A. fecha: 22/05/1975, valor histórico: 48.767,00 Bs. Autobús TITAN 103, capacidad 25 puestos </w:t>
            </w:r>
          </w:p>
        </w:tc>
        <w:tc>
          <w:tcPr>
            <w:tcW w:type="dxa" w:w="3119"/>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197"/>
              <w:spacing w:after="0" w:before="0"/>
              <w:jc w:val="both"/>
            </w:pPr>
            <w:r>
              <w:rPr>
                <w:rStyle w:val="style168"/>
                <w:rFonts w:ascii="Arial" w:cs="Arial" w:hAnsi="Arial"/>
                <w:color w:val="000000"/>
                <w:sz w:val="20"/>
                <w:szCs w:val="20"/>
              </w:rPr>
              <w:t xml:space="preserve">CARROCERIA </w:t>
            </w:r>
            <w:r>
              <w:rPr>
                <w:rStyle w:val="style168"/>
                <w:rFonts w:ascii="Arial" w:cs="Arial" w:hAnsi="Arial"/>
                <w:color w:val="000000"/>
                <w:sz w:val="18"/>
                <w:szCs w:val="20"/>
              </w:rPr>
              <w:t>ANNB75P31208</w:t>
            </w:r>
            <w:r>
              <w:rPr>
                <w:rStyle w:val="style168"/>
                <w:rFonts w:ascii="Arial" w:cs="Arial" w:hAnsi="Arial"/>
                <w:color w:val="000000"/>
                <w:sz w:val="20"/>
                <w:szCs w:val="20"/>
              </w:rPr>
              <w:t>, PLACA: P-01641, SERIAL DEL MOTOR: 31208 (VR)</w:t>
            </w:r>
          </w:p>
        </w:tc>
        <w:tc>
          <w:tcPr>
            <w:tcW w:type="dxa" w:w="4121"/>
            <w:tcBorders>
              <w:top w:color="000000" w:space="0" w:sz="4" w:val="single"/>
              <w:left w:color="000000" w:space="0" w:sz="4" w:val="single"/>
              <w:bottom w:color="000000" w:space="0" w:sz="4" w:val="single"/>
              <w:right w:color="000000" w:space="0" w:sz="4" w:val="single"/>
            </w:tcBorders>
            <w:shd w:fill="auto" w:val="clear"/>
            <w:tcMar>
              <w:top w:type="dxa" w:w="0"/>
              <w:left w:type="dxa" w:w="108"/>
              <w:bottom w:type="dxa" w:w="0"/>
              <w:right w:type="dxa" w:w="108"/>
            </w:tcMar>
          </w:tcPr>
          <w:p>
            <w:pPr>
              <w:pStyle w:val="style197"/>
              <w:spacing w:after="0" w:before="0"/>
              <w:jc w:val="both"/>
            </w:pPr>
            <w:r>
              <w:rPr>
                <w:rStyle w:val="style168"/>
                <w:rFonts w:ascii="Arial" w:cs="Arial" w:hAnsi="Arial"/>
                <w:color w:val="000000"/>
                <w:sz w:val="18"/>
                <w:szCs w:val="20"/>
              </w:rPr>
              <w:t>CORLOR: BLANCO – NARANJA, CONTROL INTERNO: 02-04-01-5395, PESO APROX. 1400 KG, GRADO DE OXIDACIÓN: 3.</w:t>
            </w:r>
          </w:p>
          <w:p>
            <w:pPr>
              <w:pStyle w:val="style197"/>
              <w:spacing w:after="0" w:before="0"/>
              <w:jc w:val="both"/>
            </w:pPr>
            <w:r>
              <w:rPr>
                <w:rStyle w:val="style168"/>
                <w:rFonts w:ascii="Arial" w:cs="Arial" w:hAnsi="Arial"/>
                <w:color w:val="000000"/>
                <w:sz w:val="18"/>
                <w:szCs w:val="20"/>
              </w:rPr>
              <w:t>Con daños de consideración en toda la unidad: sin motor, caja de velocidad, tren delantero, transmisión, sistema  eléctrico y asientos dañados, posee tanque de gasolina, chasis, carrocería, puertas delanteras, parachoques traseros y delanteros, parabrisas traseros y delanteros.</w:t>
            </w:r>
          </w:p>
        </w:tc>
      </w:tr>
      <w:tr>
        <w:trPr>
          <w:cantSplit w:val="false"/>
        </w:trPr>
        <w:tc>
          <w:tcPr>
            <w:tcW w:type="dxa" w:w="675"/>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color w:val="000000"/>
                <w:sz w:val="20"/>
                <w:szCs w:val="20"/>
              </w:rPr>
              <w:t>2</w:t>
            </w:r>
          </w:p>
        </w:tc>
        <w:tc>
          <w:tcPr>
            <w:tcW w:type="dxa" w:w="3402"/>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197"/>
              <w:spacing w:after="0" w:before="0"/>
              <w:jc w:val="both"/>
            </w:pPr>
            <w:r>
              <w:rPr>
                <w:rStyle w:val="style168"/>
                <w:rFonts w:ascii="Arial" w:cs="Arial" w:hAnsi="Arial"/>
                <w:color w:val="000000"/>
                <w:sz w:val="20"/>
                <w:szCs w:val="20"/>
              </w:rPr>
              <w:t>MARCA: CHEVROLET, MODELO: BLUE BIRD, TIPO: AUTOBUS, CLASE: COLECTIVO, AÑO 1981, comprado A CONSECIONARIOS GM, ASOCIADOS. Sin Fecha: y valor histórico.</w:t>
            </w:r>
          </w:p>
        </w:tc>
        <w:tc>
          <w:tcPr>
            <w:tcW w:type="dxa" w:w="3119"/>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197"/>
              <w:spacing w:after="0" w:before="0"/>
              <w:jc w:val="both"/>
            </w:pPr>
            <w:r>
              <w:rPr>
                <w:rStyle w:val="style168"/>
                <w:rFonts w:ascii="Arial" w:cs="Arial" w:hAnsi="Arial"/>
                <w:color w:val="000000"/>
                <w:sz w:val="20"/>
                <w:szCs w:val="20"/>
              </w:rPr>
              <w:t xml:space="preserve">CARROCERIA </w:t>
            </w:r>
            <w:r>
              <w:rPr>
                <w:rStyle w:val="style168"/>
                <w:rFonts w:ascii="Arial" w:cs="Arial" w:hAnsi="Arial"/>
                <w:color w:val="000000"/>
                <w:sz w:val="18"/>
                <w:szCs w:val="20"/>
              </w:rPr>
              <w:t xml:space="preserve">1GBJ6P1B8BV1-30856, </w:t>
            </w:r>
            <w:r>
              <w:rPr>
                <w:rStyle w:val="style168"/>
                <w:rFonts w:ascii="Arial" w:cs="Arial" w:hAnsi="Arial"/>
                <w:color w:val="000000"/>
                <w:sz w:val="20"/>
                <w:szCs w:val="20"/>
              </w:rPr>
              <w:t>PLACAS: E- 04521 SERIAL DEL MOTOR: 8bv130856</w:t>
            </w:r>
          </w:p>
        </w:tc>
        <w:tc>
          <w:tcPr>
            <w:tcW w:type="dxa" w:w="4121"/>
            <w:tcBorders>
              <w:top w:color="000000" w:space="0" w:sz="4" w:val="single"/>
              <w:left w:color="000000" w:space="0" w:sz="4" w:val="single"/>
              <w:bottom w:color="000000" w:space="0" w:sz="4" w:val="single"/>
              <w:right w:color="000000" w:space="0" w:sz="4" w:val="single"/>
            </w:tcBorders>
            <w:shd w:fill="auto" w:val="clear"/>
            <w:tcMar>
              <w:top w:type="dxa" w:w="0"/>
              <w:left w:type="dxa" w:w="108"/>
              <w:bottom w:type="dxa" w:w="0"/>
              <w:right w:type="dxa" w:w="108"/>
            </w:tcMar>
          </w:tcPr>
          <w:p>
            <w:pPr>
              <w:pStyle w:val="style197"/>
              <w:spacing w:after="0" w:before="0"/>
              <w:jc w:val="both"/>
            </w:pPr>
            <w:r>
              <w:rPr>
                <w:rStyle w:val="style168"/>
                <w:rFonts w:ascii="Arial" w:cs="Arial" w:hAnsi="Arial"/>
                <w:color w:val="000000"/>
                <w:sz w:val="18"/>
                <w:szCs w:val="18"/>
              </w:rPr>
              <w:t>COLOR: AMARILLO ESCOLAR, CONTROL INTERNO: 02-04-01-5392, PESO APROX. 2500 KG., GRADO DE OXIDACIÓN: 3.</w:t>
            </w:r>
          </w:p>
          <w:p>
            <w:pPr>
              <w:pStyle w:val="style197"/>
              <w:spacing w:after="0" w:before="0"/>
              <w:jc w:val="both"/>
            </w:pPr>
            <w:r>
              <w:rPr>
                <w:rStyle w:val="style168"/>
                <w:rFonts w:ascii="Arial" w:cs="Arial" w:hAnsi="Arial"/>
                <w:color w:val="000000"/>
                <w:sz w:val="18"/>
                <w:szCs w:val="18"/>
              </w:rPr>
              <w:t>Con daños de consideración en toda la unidad: sin Motor, caja de velocidad, tren delantero, transmisión, sistema eléctrico y asientos, Presenta chasis, techo y cabina parachoques trasero y delanteros.</w:t>
            </w:r>
          </w:p>
        </w:tc>
      </w:tr>
      <w:tr>
        <w:trPr>
          <w:cantSplit w:val="false"/>
        </w:trPr>
        <w:tc>
          <w:tcPr>
            <w:tcW w:type="dxa" w:w="675"/>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color w:val="000000"/>
                <w:sz w:val="20"/>
                <w:szCs w:val="20"/>
              </w:rPr>
              <w:t>3</w:t>
            </w:r>
          </w:p>
        </w:tc>
        <w:tc>
          <w:tcPr>
            <w:tcW w:type="dxa" w:w="3402"/>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197"/>
              <w:spacing w:after="0" w:before="0"/>
              <w:jc w:val="both"/>
            </w:pPr>
            <w:r>
              <w:rPr>
                <w:rStyle w:val="style168"/>
                <w:rFonts w:ascii="Arial" w:cs="Arial" w:hAnsi="Arial"/>
                <w:color w:val="000000"/>
                <w:sz w:val="20"/>
                <w:szCs w:val="20"/>
              </w:rPr>
              <w:t xml:space="preserve">MARCA: FORD, MODELO: F-750, AUTOBÚS TITAN, AÑO 1.975, comprado a ENSAMBLAJE SUPERIOR,C.A. CAPACIDAD 60 puestos fecha: 22/07/1975, valor histórico: 78.445,00 Bs. </w:t>
            </w:r>
          </w:p>
        </w:tc>
        <w:tc>
          <w:tcPr>
            <w:tcW w:type="dxa" w:w="3119"/>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197"/>
              <w:spacing w:after="0" w:before="0"/>
              <w:jc w:val="both"/>
            </w:pPr>
            <w:r>
              <w:rPr>
                <w:rStyle w:val="style168"/>
                <w:rFonts w:ascii="Arial" w:cs="Arial" w:hAnsi="Arial"/>
                <w:color w:val="000000"/>
                <w:sz w:val="20"/>
                <w:szCs w:val="20"/>
              </w:rPr>
              <w:t xml:space="preserve">CARROCERIA AJB75P17106, PLACA: P-01639 SERIAL DEL MOTOR: </w:t>
            </w:r>
            <w:r>
              <w:rPr>
                <w:rStyle w:val="style168"/>
                <w:rFonts w:ascii="Arial" w:cs="Arial" w:hAnsi="Arial"/>
                <w:color w:val="000000"/>
                <w:sz w:val="18"/>
                <w:szCs w:val="20"/>
              </w:rPr>
              <w:t>NO SE DETERMINOEN EL HALLAZGO.</w:t>
            </w:r>
          </w:p>
        </w:tc>
        <w:tc>
          <w:tcPr>
            <w:tcW w:type="dxa" w:w="4121"/>
            <w:tcBorders>
              <w:top w:color="000000" w:space="0" w:sz="4" w:val="single"/>
              <w:left w:color="000000" w:space="0" w:sz="4" w:val="single"/>
              <w:bottom w:color="000000" w:space="0" w:sz="4" w:val="single"/>
              <w:right w:color="000000" w:space="0" w:sz="4" w:val="single"/>
            </w:tcBorders>
            <w:shd w:fill="auto" w:val="clear"/>
            <w:tcMar>
              <w:top w:type="dxa" w:w="0"/>
              <w:left w:type="dxa" w:w="108"/>
              <w:bottom w:type="dxa" w:w="0"/>
              <w:right w:type="dxa" w:w="108"/>
            </w:tcMar>
          </w:tcPr>
          <w:p>
            <w:pPr>
              <w:pStyle w:val="style197"/>
              <w:spacing w:after="0" w:before="0"/>
              <w:jc w:val="both"/>
            </w:pPr>
            <w:r>
              <w:rPr>
                <w:rStyle w:val="style168"/>
                <w:rFonts w:ascii="Arial" w:cs="Arial" w:hAnsi="Arial"/>
                <w:color w:val="000000"/>
                <w:sz w:val="18"/>
                <w:szCs w:val="20"/>
              </w:rPr>
              <w:t>CORLOR: BLANCO – NARANJA, CONTROL INTERNO: 02-04-01-8928, PESO APROX. 3.000 KG, GRADO DE OXIDACIÓN: 3.</w:t>
            </w:r>
          </w:p>
          <w:p>
            <w:pPr>
              <w:pStyle w:val="style197"/>
              <w:spacing w:after="0" w:before="0"/>
              <w:jc w:val="both"/>
            </w:pPr>
            <w:r>
              <w:rPr>
                <w:rStyle w:val="style168"/>
                <w:rFonts w:ascii="Arial" w:cs="Arial" w:hAnsi="Arial"/>
                <w:color w:val="000000"/>
                <w:sz w:val="18"/>
                <w:szCs w:val="20"/>
              </w:rPr>
              <w:t>Con daños de consideración en toda la unidad: sin motor, caja de velocidades, tren delantero, transmisión, sistema  eléctrico y asientos con chasis, techo y cabina...</w:t>
            </w:r>
          </w:p>
        </w:tc>
      </w:tr>
    </w:tbl>
    <w:p>
      <w:pPr>
        <w:pStyle w:val="style197"/>
        <w:spacing w:after="0" w:before="0" w:line="360" w:lineRule="auto"/>
        <w:jc w:val="both"/>
      </w:pPr>
      <w:r>
        <w:rPr>
          <w:rStyle w:val="style168"/>
          <w:rFonts w:ascii="Arial" w:cs="Arial" w:hAnsi="Arial"/>
          <w:color w:val="000000"/>
          <w:sz w:val="20"/>
          <w:szCs w:val="20"/>
        </w:rPr>
        <w:t>Fuente: Tirado  (2011) adaptado por Mendoza (2015)</w:t>
      </w:r>
    </w:p>
    <w:p>
      <w:pPr>
        <w:pStyle w:val="style197"/>
        <w:pageBreakBefore/>
        <w:spacing w:after="0" w:before="0" w:line="360" w:lineRule="auto"/>
        <w:jc w:val="center"/>
      </w:pPr>
      <w:r>
        <w:rPr>
          <w:rStyle w:val="style168"/>
          <w:rFonts w:ascii="Arial" w:cs="Arial" w:hAnsi="Arial"/>
          <w:color w:val="000000"/>
          <w:sz w:val="22"/>
        </w:rPr>
        <w:t>CUADRO 2</w:t>
      </w:r>
      <w:r>
        <w:rPr>
          <w:rStyle w:val="style168"/>
          <w:rFonts w:ascii="Arial" w:cs="Arial" w:hAnsi="Arial"/>
          <w:color w:val="000000"/>
          <w:sz w:val="22"/>
        </w:rPr>
        <w:t>6</w:t>
      </w:r>
      <w:r>
        <w:rPr>
          <w:rStyle w:val="style168"/>
          <w:rFonts w:ascii="Arial" w:cs="Arial" w:hAnsi="Arial"/>
          <w:color w:val="000000"/>
        </w:rPr>
        <w:t xml:space="preserve">  </w:t>
      </w:r>
      <w:r>
        <w:rPr>
          <w:rStyle w:val="style168"/>
          <w:rFonts w:ascii="Arial" w:cs="Arial" w:hAnsi="Arial"/>
          <w:color w:val="000000"/>
          <w:sz w:val="22"/>
        </w:rPr>
        <w:t>DESCRIPCIÓN DE LOS BIENES EN ETAPA DE DETERIORO, OBSOLESCENCIA Y CORROSIÓN</w:t>
      </w:r>
    </w:p>
    <w:p>
      <w:pPr>
        <w:pStyle w:val="style197"/>
        <w:spacing w:after="0" w:before="0" w:line="360" w:lineRule="auto"/>
        <w:jc w:val="center"/>
      </w:pPr>
      <w:r>
        <w:rPr/>
      </w:r>
    </w:p>
    <w:tbl>
      <w:tblPr>
        <w:jc w:val="left"/>
        <w:tblInd w:type="dxa" w:w="-113"/>
        <w:tblBorders>
          <w:top w:color="000000" w:space="0" w:sz="4" w:val="single"/>
          <w:left w:color="000000" w:space="0" w:sz="4" w:val="single"/>
          <w:bottom w:color="000000" w:space="0" w:sz="4" w:val="single"/>
        </w:tblBorders>
      </w:tblPr>
      <w:tblGrid>
        <w:gridCol w:w="675"/>
        <w:gridCol w:w="3261"/>
        <w:gridCol w:w="3260"/>
        <w:gridCol w:w="4121"/>
      </w:tblGrid>
      <w:tr>
        <w:trPr>
          <w:cantSplit w:val="false"/>
        </w:trPr>
        <w:tc>
          <w:tcPr>
            <w:tcW w:type="dxa" w:w="675"/>
            <w:tcBorders>
              <w:top w:color="000000" w:space="0" w:sz="4" w:val="single"/>
              <w:left w:color="000000" w:space="0" w:sz="4" w:val="single"/>
              <w:bottom w:color="000000" w:space="0" w:sz="4" w:val="single"/>
            </w:tcBorders>
            <w:shd w:fill="BFBFBF"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b/>
                <w:color w:val="000000"/>
                <w:sz w:val="20"/>
                <w:szCs w:val="20"/>
              </w:rPr>
              <w:t>Nº</w:t>
            </w:r>
          </w:p>
        </w:tc>
        <w:tc>
          <w:tcPr>
            <w:tcW w:type="dxa" w:w="3261"/>
            <w:tcBorders>
              <w:top w:color="000000" w:space="0" w:sz="4" w:val="single"/>
              <w:left w:color="000000" w:space="0" w:sz="4" w:val="single"/>
              <w:bottom w:color="000000" w:space="0" w:sz="4" w:val="single"/>
            </w:tcBorders>
            <w:shd w:fill="BFBFBF"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b/>
                <w:color w:val="000000"/>
                <w:sz w:val="20"/>
                <w:szCs w:val="20"/>
              </w:rPr>
              <w:t>MARCA /MODELO</w:t>
            </w:r>
          </w:p>
        </w:tc>
        <w:tc>
          <w:tcPr>
            <w:tcW w:type="dxa" w:w="3260"/>
            <w:tcBorders>
              <w:top w:color="000000" w:space="0" w:sz="4" w:val="single"/>
              <w:left w:color="000000" w:space="0" w:sz="4" w:val="single"/>
              <w:bottom w:color="000000" w:space="0" w:sz="4" w:val="single"/>
            </w:tcBorders>
            <w:shd w:fill="BFBFBF"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b/>
                <w:color w:val="000000"/>
                <w:sz w:val="20"/>
                <w:szCs w:val="20"/>
              </w:rPr>
              <w:t>PLACA/SERIALES</w:t>
            </w:r>
          </w:p>
        </w:tc>
        <w:tc>
          <w:tcPr>
            <w:tcW w:type="dxa" w:w="4121"/>
            <w:tcBorders>
              <w:top w:color="000000" w:space="0" w:sz="4" w:val="single"/>
              <w:left w:color="000000" w:space="0" w:sz="4" w:val="single"/>
              <w:bottom w:color="000000" w:space="0" w:sz="4" w:val="single"/>
              <w:right w:color="000000" w:space="0" w:sz="4" w:val="single"/>
            </w:tcBorders>
            <w:shd w:fill="BFBFBF"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b/>
                <w:color w:val="000000"/>
                <w:sz w:val="20"/>
                <w:szCs w:val="20"/>
              </w:rPr>
              <w:t>OBSERVACIONES</w:t>
            </w:r>
          </w:p>
        </w:tc>
      </w:tr>
      <w:tr>
        <w:trPr>
          <w:cantSplit w:val="false"/>
        </w:trPr>
        <w:tc>
          <w:tcPr>
            <w:tcW w:type="dxa" w:w="675"/>
            <w:tcBorders>
              <w:top w:color="000000" w:space="0" w:sz="4" w:val="single"/>
              <w:left w:color="000000" w:space="0" w:sz="4" w:val="single"/>
              <w:bottom w:color="000000" w:space="0" w:sz="4" w:val="single"/>
            </w:tcBorders>
            <w:shd w:fill="FFFFFF"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color w:val="000000"/>
                <w:sz w:val="20"/>
                <w:szCs w:val="20"/>
              </w:rPr>
              <w:t>4</w:t>
            </w:r>
          </w:p>
        </w:tc>
        <w:tc>
          <w:tcPr>
            <w:tcW w:type="dxa" w:w="3261"/>
            <w:tcBorders>
              <w:top w:color="000000" w:space="0" w:sz="4" w:val="single"/>
              <w:left w:color="000000" w:space="0" w:sz="4" w:val="single"/>
              <w:bottom w:color="000000" w:space="0" w:sz="4" w:val="single"/>
            </w:tcBorders>
            <w:shd w:fill="FFFFFF" w:val="clear"/>
            <w:tcMar>
              <w:top w:type="dxa" w:w="0"/>
              <w:left w:type="dxa" w:w="108"/>
              <w:bottom w:type="dxa" w:w="0"/>
              <w:right w:type="dxa" w:w="108"/>
            </w:tcMar>
          </w:tcPr>
          <w:p>
            <w:pPr>
              <w:pStyle w:val="style197"/>
              <w:spacing w:after="0" w:before="0"/>
              <w:jc w:val="both"/>
            </w:pPr>
            <w:r>
              <w:rPr>
                <w:rStyle w:val="style168"/>
                <w:rFonts w:ascii="Arial" w:cs="Arial" w:hAnsi="Arial"/>
                <w:color w:val="000000"/>
                <w:sz w:val="20"/>
                <w:szCs w:val="20"/>
              </w:rPr>
              <w:t>MARCA: FORD, MODELO: F-750, AUTOBÚS TITAN, AÑO 1.975, comprado a ENSAMBLAJE SUPERIOR,C.A. CAPACIDAD 60 puestos fecha: 22/07/1975, valor histórico: 78.445,00 Bs.</w:t>
            </w:r>
          </w:p>
        </w:tc>
        <w:tc>
          <w:tcPr>
            <w:tcW w:type="dxa" w:w="3260"/>
            <w:tcBorders>
              <w:top w:color="000000" w:space="0" w:sz="4" w:val="single"/>
              <w:left w:color="000000" w:space="0" w:sz="4" w:val="single"/>
              <w:bottom w:color="000000" w:space="0" w:sz="4" w:val="single"/>
            </w:tcBorders>
            <w:shd w:fill="FFFFFF" w:val="clear"/>
            <w:tcMar>
              <w:top w:type="dxa" w:w="0"/>
              <w:left w:type="dxa" w:w="108"/>
              <w:bottom w:type="dxa" w:w="0"/>
              <w:right w:type="dxa" w:w="108"/>
            </w:tcMar>
          </w:tcPr>
          <w:p>
            <w:pPr>
              <w:pStyle w:val="style197"/>
              <w:spacing w:after="0" w:before="0"/>
              <w:jc w:val="both"/>
            </w:pPr>
            <w:r>
              <w:rPr>
                <w:rStyle w:val="style168"/>
                <w:rFonts w:ascii="Arial" w:cs="Arial" w:hAnsi="Arial"/>
                <w:color w:val="000000"/>
                <w:sz w:val="20"/>
                <w:szCs w:val="20"/>
              </w:rPr>
              <w:t xml:space="preserve">CARROCERIA ANNB75P17106, PLACA: P-01639 SERIAL DEL MOTOR: </w:t>
            </w:r>
            <w:r>
              <w:rPr>
                <w:rStyle w:val="style168"/>
                <w:rFonts w:ascii="Arial" w:cs="Arial" w:hAnsi="Arial"/>
                <w:color w:val="000000"/>
                <w:sz w:val="18"/>
                <w:szCs w:val="20"/>
              </w:rPr>
              <w:t>NO SE DETERMINOEN EL HALLAZGO.</w:t>
            </w:r>
          </w:p>
        </w:tc>
        <w:tc>
          <w:tcPr>
            <w:tcW w:type="dxa" w:w="4121"/>
            <w:tcBorders>
              <w:top w:color="000000" w:space="0" w:sz="4" w:val="single"/>
              <w:left w:color="000000" w:space="0" w:sz="4" w:val="single"/>
              <w:bottom w:color="000000" w:space="0" w:sz="4" w:val="single"/>
              <w:right w:color="000000" w:space="0" w:sz="4" w:val="single"/>
            </w:tcBorders>
            <w:shd w:fill="FFFFFF" w:val="clear"/>
            <w:tcMar>
              <w:top w:type="dxa" w:w="0"/>
              <w:left w:type="dxa" w:w="108"/>
              <w:bottom w:type="dxa" w:w="0"/>
              <w:right w:type="dxa" w:w="108"/>
            </w:tcMar>
          </w:tcPr>
          <w:p>
            <w:pPr>
              <w:pStyle w:val="style197"/>
              <w:spacing w:after="0" w:before="0"/>
              <w:jc w:val="both"/>
            </w:pPr>
            <w:r>
              <w:rPr>
                <w:rStyle w:val="style168"/>
                <w:rFonts w:ascii="Arial" w:cs="Arial" w:hAnsi="Arial"/>
                <w:color w:val="000000"/>
                <w:sz w:val="18"/>
                <w:szCs w:val="20"/>
              </w:rPr>
              <w:t>CORLOR: BLANCO – NARANJA, CONTROL INTERNO: 02-04-01-8929, PESO APROX. 3000 KG, GRADO DE OXIDACIÓN: 2.</w:t>
            </w:r>
          </w:p>
          <w:p>
            <w:pPr>
              <w:pStyle w:val="style197"/>
              <w:spacing w:after="0" w:before="0"/>
              <w:jc w:val="both"/>
            </w:pPr>
            <w:r>
              <w:rPr>
                <w:rStyle w:val="style168"/>
                <w:rFonts w:ascii="Arial" w:cs="Arial" w:hAnsi="Arial"/>
                <w:color w:val="000000"/>
                <w:sz w:val="18"/>
                <w:szCs w:val="20"/>
              </w:rPr>
              <w:t>Con daños de consideración en toda la unidad: sin motor, caja de velocidades, tren delantero, transmisión, sistema  eléctrico y asientos con chasis,  techo y cabina.</w:t>
            </w:r>
          </w:p>
        </w:tc>
      </w:tr>
      <w:tr>
        <w:trPr>
          <w:cantSplit w:val="false"/>
        </w:trPr>
        <w:tc>
          <w:tcPr>
            <w:tcW w:type="dxa" w:w="675"/>
            <w:tcBorders>
              <w:top w:color="000000" w:space="0" w:sz="4" w:val="single"/>
              <w:left w:color="000000" w:space="0" w:sz="4" w:val="single"/>
              <w:bottom w:color="000000" w:space="0" w:sz="4" w:val="single"/>
            </w:tcBorders>
            <w:shd w:fill="FFFFFF"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color w:val="000000"/>
                <w:sz w:val="20"/>
                <w:szCs w:val="20"/>
              </w:rPr>
              <w:t>5</w:t>
            </w:r>
          </w:p>
        </w:tc>
        <w:tc>
          <w:tcPr>
            <w:tcW w:type="dxa" w:w="3261"/>
            <w:tcBorders>
              <w:top w:color="000000" w:space="0" w:sz="4" w:val="single"/>
              <w:left w:color="000000" w:space="0" w:sz="4" w:val="single"/>
              <w:bottom w:color="000000" w:space="0" w:sz="4" w:val="single"/>
            </w:tcBorders>
            <w:shd w:fill="FFFFFF" w:val="clear"/>
            <w:tcMar>
              <w:top w:type="dxa" w:w="0"/>
              <w:left w:type="dxa" w:w="108"/>
              <w:bottom w:type="dxa" w:w="0"/>
              <w:right w:type="dxa" w:w="108"/>
            </w:tcMar>
          </w:tcPr>
          <w:p>
            <w:pPr>
              <w:pStyle w:val="style197"/>
              <w:spacing w:after="0" w:before="0"/>
              <w:jc w:val="both"/>
            </w:pPr>
            <w:r>
              <w:rPr>
                <w:rStyle w:val="style168"/>
                <w:rFonts w:ascii="Arial" w:cs="Arial" w:hAnsi="Arial"/>
                <w:color w:val="000000"/>
                <w:sz w:val="20"/>
                <w:szCs w:val="20"/>
              </w:rPr>
              <w:t>MARCA: DODGE, MODELO: D-100 CLASE: CAMIONETA AÑO: 1976. Compra a TALLERES ROOTES, C.A. valor histórico: 23.570,00 Bs.</w:t>
            </w:r>
          </w:p>
        </w:tc>
        <w:tc>
          <w:tcPr>
            <w:tcW w:type="dxa" w:w="3260"/>
            <w:tcBorders>
              <w:top w:color="000000" w:space="0" w:sz="4" w:val="single"/>
              <w:left w:color="000000" w:space="0" w:sz="4" w:val="single"/>
              <w:bottom w:color="000000" w:space="0" w:sz="4" w:val="single"/>
            </w:tcBorders>
            <w:shd w:fill="FFFFFF" w:val="clear"/>
            <w:tcMar>
              <w:top w:type="dxa" w:w="0"/>
              <w:left w:type="dxa" w:w="108"/>
              <w:bottom w:type="dxa" w:w="0"/>
              <w:right w:type="dxa" w:w="108"/>
            </w:tcMar>
          </w:tcPr>
          <w:p>
            <w:pPr>
              <w:pStyle w:val="style197"/>
              <w:spacing w:after="0" w:before="0"/>
              <w:jc w:val="both"/>
            </w:pPr>
            <w:r>
              <w:rPr>
                <w:rStyle w:val="style168"/>
                <w:rFonts w:ascii="Arial" w:cs="Arial" w:hAnsi="Arial"/>
                <w:color w:val="000000"/>
                <w:sz w:val="20"/>
                <w:szCs w:val="20"/>
              </w:rPr>
              <w:t>CARROCERIA T6-72935, PLACAS: UAP – 457 SERIAL DEL MOTOR: 6M31803240931</w:t>
            </w:r>
          </w:p>
        </w:tc>
        <w:tc>
          <w:tcPr>
            <w:tcW w:type="dxa" w:w="4121"/>
            <w:tcBorders>
              <w:top w:color="000000" w:space="0" w:sz="4" w:val="single"/>
              <w:left w:color="000000" w:space="0" w:sz="4" w:val="single"/>
              <w:bottom w:color="000000" w:space="0" w:sz="4" w:val="single"/>
              <w:right w:color="000000" w:space="0" w:sz="4" w:val="single"/>
            </w:tcBorders>
            <w:shd w:fill="FFFFFF" w:val="clear"/>
            <w:tcMar>
              <w:top w:type="dxa" w:w="0"/>
              <w:left w:type="dxa" w:w="108"/>
              <w:bottom w:type="dxa" w:w="0"/>
              <w:right w:type="dxa" w:w="108"/>
            </w:tcMar>
          </w:tcPr>
          <w:p>
            <w:pPr>
              <w:pStyle w:val="style197"/>
              <w:spacing w:after="0" w:before="0"/>
              <w:jc w:val="both"/>
            </w:pPr>
            <w:r>
              <w:rPr>
                <w:rStyle w:val="style168"/>
                <w:rFonts w:ascii="Arial" w:cs="Arial" w:hAnsi="Arial"/>
                <w:color w:val="000000"/>
                <w:sz w:val="18"/>
                <w:szCs w:val="18"/>
              </w:rPr>
              <w:t>COLOR: BLANCO Y ROJO  CONTROL INTERNO: 02-04-01-5391, PESO APROX.  700 KG., GRADO DE OXIDACIÓN: 2.</w:t>
            </w:r>
          </w:p>
          <w:p>
            <w:pPr>
              <w:pStyle w:val="style197"/>
              <w:spacing w:after="0" w:before="0"/>
              <w:jc w:val="both"/>
            </w:pPr>
            <w:r>
              <w:rPr>
                <w:rStyle w:val="style168"/>
                <w:rFonts w:ascii="Arial" w:cs="Arial" w:hAnsi="Arial"/>
                <w:color w:val="000000"/>
                <w:sz w:val="18"/>
                <w:szCs w:val="18"/>
              </w:rPr>
              <w:t>Con daños en toda la unidad: sin Motor, caja de velocidades, tren delantero, transmisión, sistema eléctrico y asientos, con tanque de gasolina, tren trasero chasis, techo y puertas, parachoques traseros y delanteros, volante.</w:t>
            </w:r>
          </w:p>
        </w:tc>
      </w:tr>
      <w:tr>
        <w:trPr>
          <w:cantSplit w:val="false"/>
        </w:trPr>
        <w:tc>
          <w:tcPr>
            <w:tcW w:type="dxa" w:w="675"/>
            <w:tcBorders>
              <w:top w:color="000000" w:space="0" w:sz="4" w:val="single"/>
              <w:left w:color="000000" w:space="0" w:sz="4" w:val="single"/>
              <w:bottom w:color="000000" w:space="0" w:sz="4" w:val="single"/>
            </w:tcBorders>
            <w:shd w:fill="FFFFFF"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color w:val="000000"/>
                <w:sz w:val="20"/>
                <w:szCs w:val="20"/>
              </w:rPr>
              <w:t>6</w:t>
            </w:r>
          </w:p>
        </w:tc>
        <w:tc>
          <w:tcPr>
            <w:tcW w:type="dxa" w:w="3261"/>
            <w:tcBorders>
              <w:top w:color="000000" w:space="0" w:sz="4" w:val="single"/>
              <w:left w:color="000000" w:space="0" w:sz="4" w:val="single"/>
              <w:bottom w:color="000000" w:space="0" w:sz="4" w:val="single"/>
            </w:tcBorders>
            <w:shd w:fill="FFFFFF" w:val="clear"/>
            <w:tcMar>
              <w:top w:type="dxa" w:w="0"/>
              <w:left w:type="dxa" w:w="108"/>
              <w:bottom w:type="dxa" w:w="0"/>
              <w:right w:type="dxa" w:w="108"/>
            </w:tcMar>
          </w:tcPr>
          <w:p>
            <w:pPr>
              <w:pStyle w:val="style197"/>
              <w:spacing w:after="0" w:before="0"/>
              <w:jc w:val="both"/>
            </w:pPr>
            <w:r>
              <w:rPr>
                <w:rStyle w:val="style168"/>
                <w:rFonts w:ascii="Arial" w:cs="Arial" w:hAnsi="Arial"/>
                <w:color w:val="000000"/>
                <w:sz w:val="20"/>
                <w:szCs w:val="20"/>
              </w:rPr>
              <w:t xml:space="preserve">MARCA: JEEP, MODELO: TIPO CJ-5, RUSTICO 7 PUESTO, AÑO 1.976, valor histórico: 23.575,00 Bs. comprado a AGROVEN, C.A... CAPACIDAD   fecha: 25/06/1976, </w:t>
            </w:r>
          </w:p>
        </w:tc>
        <w:tc>
          <w:tcPr>
            <w:tcW w:type="dxa" w:w="3260"/>
            <w:tcBorders>
              <w:top w:color="000000" w:space="0" w:sz="4" w:val="single"/>
              <w:left w:color="000000" w:space="0" w:sz="4" w:val="single"/>
              <w:bottom w:color="000000" w:space="0" w:sz="4" w:val="single"/>
            </w:tcBorders>
            <w:shd w:fill="FFFFFF" w:val="clear"/>
            <w:tcMar>
              <w:top w:type="dxa" w:w="0"/>
              <w:left w:type="dxa" w:w="108"/>
              <w:bottom w:type="dxa" w:w="0"/>
              <w:right w:type="dxa" w:w="108"/>
            </w:tcMar>
          </w:tcPr>
          <w:p>
            <w:pPr>
              <w:pStyle w:val="style197"/>
              <w:spacing w:after="0" w:before="0"/>
              <w:jc w:val="both"/>
            </w:pPr>
            <w:r>
              <w:rPr>
                <w:rStyle w:val="style168"/>
                <w:rFonts w:ascii="Arial" w:cs="Arial" w:hAnsi="Arial"/>
                <w:color w:val="000000"/>
                <w:sz w:val="20"/>
                <w:szCs w:val="20"/>
              </w:rPr>
              <w:t xml:space="preserve">CARROCERIA J6J83AE, PLACA: UAO-525 SERIAL DEL MOTOR: </w:t>
            </w:r>
            <w:r>
              <w:rPr>
                <w:rStyle w:val="style168"/>
                <w:rFonts w:ascii="Arial" w:cs="Arial" w:hAnsi="Arial"/>
                <w:color w:val="000000"/>
                <w:sz w:val="18"/>
                <w:szCs w:val="20"/>
              </w:rPr>
              <w:t>818309-16920.</w:t>
            </w:r>
          </w:p>
        </w:tc>
        <w:tc>
          <w:tcPr>
            <w:tcW w:type="dxa" w:w="4121"/>
            <w:tcBorders>
              <w:top w:color="000000" w:space="0" w:sz="4" w:val="single"/>
              <w:left w:color="000000" w:space="0" w:sz="4" w:val="single"/>
              <w:bottom w:color="000000" w:space="0" w:sz="4" w:val="single"/>
              <w:right w:color="000000" w:space="0" w:sz="4" w:val="single"/>
            </w:tcBorders>
            <w:shd w:fill="FFFFFF" w:val="clear"/>
            <w:tcMar>
              <w:top w:type="dxa" w:w="0"/>
              <w:left w:type="dxa" w:w="108"/>
              <w:bottom w:type="dxa" w:w="0"/>
              <w:right w:type="dxa" w:w="108"/>
            </w:tcMar>
          </w:tcPr>
          <w:p>
            <w:pPr>
              <w:pStyle w:val="style197"/>
              <w:spacing w:after="0" w:before="0"/>
              <w:jc w:val="both"/>
            </w:pPr>
            <w:r>
              <w:rPr>
                <w:rStyle w:val="style168"/>
                <w:rFonts w:ascii="Arial" w:cs="Arial" w:hAnsi="Arial"/>
                <w:color w:val="000000"/>
                <w:sz w:val="18"/>
                <w:szCs w:val="20"/>
              </w:rPr>
              <w:t>CORLOR: AZUL CARONI – NARANJA, CONTROL INTERNO: 02-04-01-5390, PESO APROX. 500 KG, GRADO DE OXIDACIÓN: 4.</w:t>
            </w:r>
          </w:p>
          <w:p>
            <w:pPr>
              <w:pStyle w:val="style197"/>
              <w:spacing w:after="0" w:before="0"/>
              <w:jc w:val="both"/>
            </w:pPr>
            <w:r>
              <w:rPr>
                <w:rStyle w:val="style168"/>
                <w:rFonts w:ascii="Arial" w:cs="Arial" w:hAnsi="Arial"/>
                <w:color w:val="000000"/>
                <w:sz w:val="18"/>
                <w:szCs w:val="20"/>
              </w:rPr>
              <w:t>Con daños de consideración en toda la unidad: sin motor, caja de velocidades, tren delantero, transmisión, sistema  eléctrico y asientos con chasis, techo y cabina, puertas delanteras, parachoques traseros y delanteros, volantes, rines.</w:t>
            </w:r>
          </w:p>
        </w:tc>
      </w:tr>
    </w:tbl>
    <w:p>
      <w:pPr>
        <w:pStyle w:val="style197"/>
        <w:spacing w:after="0" w:before="0" w:line="360" w:lineRule="auto"/>
        <w:jc w:val="both"/>
      </w:pPr>
      <w:r>
        <w:rPr>
          <w:rStyle w:val="style168"/>
          <w:rFonts w:ascii="Arial" w:cs="Arial" w:hAnsi="Arial"/>
          <w:color w:val="000000"/>
          <w:sz w:val="20"/>
          <w:szCs w:val="20"/>
        </w:rPr>
        <w:t>Fuente: Tirado (2011) adaptado por Mendoza (2015</w:t>
      </w:r>
    </w:p>
    <w:p>
      <w:pPr>
        <w:pStyle w:val="style197"/>
        <w:pageBreakBefore/>
        <w:spacing w:after="0" w:before="0" w:line="360" w:lineRule="auto"/>
        <w:jc w:val="center"/>
      </w:pPr>
      <w:r>
        <w:rPr>
          <w:rStyle w:val="style168"/>
          <w:rFonts w:ascii="Arial" w:cs="Arial" w:hAnsi="Arial"/>
          <w:color w:val="000000"/>
          <w:sz w:val="22"/>
        </w:rPr>
        <w:t>CUADRO 2</w:t>
      </w:r>
      <w:r>
        <w:rPr>
          <w:rStyle w:val="style168"/>
          <w:rFonts w:ascii="Arial" w:cs="Arial" w:hAnsi="Arial"/>
          <w:color w:val="000000"/>
          <w:sz w:val="22"/>
        </w:rPr>
        <w:t>7</w:t>
      </w:r>
      <w:r>
        <w:rPr>
          <w:rStyle w:val="style168"/>
          <w:rFonts w:ascii="Arial" w:cs="Arial" w:hAnsi="Arial"/>
          <w:color w:val="000000"/>
        </w:rPr>
        <w:t xml:space="preserve">  </w:t>
      </w:r>
      <w:r>
        <w:rPr>
          <w:rStyle w:val="style168"/>
          <w:rFonts w:ascii="Arial" w:cs="Arial" w:hAnsi="Arial"/>
          <w:color w:val="000000"/>
          <w:sz w:val="22"/>
        </w:rPr>
        <w:t>DESCRIPCIÓN DE LOS BIENES EN ETAPA DE DETERIORO, OBSOLESCENCIA Y CORROSIÓN</w:t>
      </w:r>
    </w:p>
    <w:p>
      <w:pPr>
        <w:pStyle w:val="style197"/>
        <w:spacing w:after="0" w:before="0" w:line="360" w:lineRule="auto"/>
        <w:jc w:val="center"/>
      </w:pPr>
      <w:r>
        <w:rPr/>
      </w:r>
    </w:p>
    <w:tbl>
      <w:tblPr>
        <w:jc w:val="left"/>
        <w:tblInd w:type="dxa" w:w="-113"/>
        <w:tblBorders>
          <w:top w:color="000000" w:space="0" w:sz="4" w:val="single"/>
          <w:left w:color="000000" w:space="0" w:sz="4" w:val="single"/>
          <w:bottom w:color="000000" w:space="0" w:sz="4" w:val="single"/>
        </w:tblBorders>
      </w:tblPr>
      <w:tblGrid>
        <w:gridCol w:w="675"/>
        <w:gridCol w:w="3261"/>
        <w:gridCol w:w="2693"/>
        <w:gridCol w:w="4829"/>
      </w:tblGrid>
      <w:tr>
        <w:trPr>
          <w:cantSplit w:val="false"/>
        </w:trPr>
        <w:tc>
          <w:tcPr>
            <w:tcW w:type="dxa" w:w="675"/>
            <w:tcBorders>
              <w:top w:color="000000" w:space="0" w:sz="4" w:val="single"/>
              <w:left w:color="000000" w:space="0" w:sz="4" w:val="single"/>
              <w:bottom w:color="000000" w:space="0" w:sz="4" w:val="single"/>
            </w:tcBorders>
            <w:shd w:fill="BFBFBF"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b/>
                <w:color w:val="000000"/>
                <w:sz w:val="20"/>
                <w:szCs w:val="20"/>
              </w:rPr>
              <w:t>Nº</w:t>
            </w:r>
          </w:p>
        </w:tc>
        <w:tc>
          <w:tcPr>
            <w:tcW w:type="dxa" w:w="3261"/>
            <w:tcBorders>
              <w:top w:color="000000" w:space="0" w:sz="4" w:val="single"/>
              <w:left w:color="000000" w:space="0" w:sz="4" w:val="single"/>
              <w:bottom w:color="000000" w:space="0" w:sz="4" w:val="single"/>
            </w:tcBorders>
            <w:shd w:fill="BFBFBF"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b/>
                <w:color w:val="000000"/>
                <w:sz w:val="20"/>
                <w:szCs w:val="20"/>
              </w:rPr>
              <w:t>MARCA /MODELO</w:t>
            </w:r>
          </w:p>
        </w:tc>
        <w:tc>
          <w:tcPr>
            <w:tcW w:type="dxa" w:w="2693"/>
            <w:tcBorders>
              <w:top w:color="000000" w:space="0" w:sz="4" w:val="single"/>
              <w:left w:color="000000" w:space="0" w:sz="4" w:val="single"/>
              <w:bottom w:color="000000" w:space="0" w:sz="4" w:val="single"/>
            </w:tcBorders>
            <w:shd w:fill="BFBFBF"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b/>
                <w:color w:val="000000"/>
                <w:sz w:val="20"/>
                <w:szCs w:val="20"/>
              </w:rPr>
              <w:t>PLACA/SERIALES</w:t>
            </w:r>
          </w:p>
        </w:tc>
        <w:tc>
          <w:tcPr>
            <w:tcW w:type="dxa" w:w="4829"/>
            <w:tcBorders>
              <w:top w:color="000000" w:space="0" w:sz="4" w:val="single"/>
              <w:left w:color="000000" w:space="0" w:sz="4" w:val="single"/>
              <w:bottom w:color="000000" w:space="0" w:sz="4" w:val="single"/>
              <w:right w:color="000000" w:space="0" w:sz="4" w:val="single"/>
            </w:tcBorders>
            <w:shd w:fill="BFBFBF"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b/>
                <w:color w:val="000000"/>
                <w:sz w:val="20"/>
                <w:szCs w:val="20"/>
              </w:rPr>
              <w:t>OBSERVACIONES</w:t>
            </w:r>
          </w:p>
        </w:tc>
      </w:tr>
      <w:tr>
        <w:trPr>
          <w:cantSplit w:val="false"/>
        </w:trPr>
        <w:tc>
          <w:tcPr>
            <w:tcW w:type="dxa" w:w="675"/>
            <w:tcBorders>
              <w:top w:color="000000" w:space="0" w:sz="4" w:val="single"/>
              <w:left w:color="000000" w:space="0" w:sz="4" w:val="single"/>
              <w:bottom w:color="000000" w:space="0" w:sz="4" w:val="single"/>
            </w:tcBorders>
            <w:shd w:fill="FFFFFF"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color w:val="000000"/>
                <w:sz w:val="20"/>
                <w:szCs w:val="20"/>
              </w:rPr>
              <w:t>7</w:t>
            </w:r>
          </w:p>
        </w:tc>
        <w:tc>
          <w:tcPr>
            <w:tcW w:type="dxa" w:w="3261"/>
            <w:tcBorders>
              <w:top w:color="000000" w:space="0" w:sz="4" w:val="single"/>
              <w:left w:color="000000" w:space="0" w:sz="4" w:val="single"/>
              <w:bottom w:color="000000" w:space="0" w:sz="4" w:val="single"/>
            </w:tcBorders>
            <w:shd w:fill="FFFFFF" w:val="clear"/>
            <w:tcMar>
              <w:top w:type="dxa" w:w="0"/>
              <w:left w:type="dxa" w:w="108"/>
              <w:bottom w:type="dxa" w:w="0"/>
              <w:right w:type="dxa" w:w="108"/>
            </w:tcMar>
          </w:tcPr>
          <w:p>
            <w:pPr>
              <w:pStyle w:val="style197"/>
              <w:spacing w:after="0" w:before="0"/>
              <w:jc w:val="both"/>
            </w:pPr>
            <w:r>
              <w:rPr>
                <w:rStyle w:val="style168"/>
                <w:rFonts w:ascii="Arial" w:cs="Arial" w:hAnsi="Arial"/>
                <w:color w:val="000000"/>
                <w:sz w:val="20"/>
                <w:szCs w:val="20"/>
              </w:rPr>
              <w:t>MARCA: DODGE, MODELO: CORONET CLASE: CAMIONETA TIPO: RANCHERA, AÑO: 1975. Compra AGROVEN, C.A. fecha: 25/06/1975 valor histórico: 41.750,00 Bs. CAPACIDAD 9 PUESTOS</w:t>
            </w:r>
          </w:p>
        </w:tc>
        <w:tc>
          <w:tcPr>
            <w:tcW w:type="dxa" w:w="2693"/>
            <w:tcBorders>
              <w:top w:color="000000" w:space="0" w:sz="4" w:val="single"/>
              <w:left w:color="000000" w:space="0" w:sz="4" w:val="single"/>
              <w:bottom w:color="000000" w:space="0" w:sz="4" w:val="single"/>
            </w:tcBorders>
            <w:shd w:fill="FFFFFF" w:val="clear"/>
            <w:tcMar>
              <w:top w:type="dxa" w:w="0"/>
              <w:left w:type="dxa" w:w="108"/>
              <w:bottom w:type="dxa" w:w="0"/>
              <w:right w:type="dxa" w:w="108"/>
            </w:tcMar>
          </w:tcPr>
          <w:p>
            <w:pPr>
              <w:pStyle w:val="style197"/>
              <w:spacing w:after="0" w:before="0"/>
              <w:jc w:val="both"/>
            </w:pPr>
            <w:r>
              <w:rPr>
                <w:rStyle w:val="style168"/>
                <w:rFonts w:ascii="Arial" w:cs="Arial" w:hAnsi="Arial"/>
                <w:color w:val="000000"/>
                <w:sz w:val="20"/>
                <w:szCs w:val="20"/>
              </w:rPr>
              <w:t>CARROCERIA B5-47043, PLACAS: UAA – 298 SERIAL DEL MOTOR: 3605P0514CM</w:t>
            </w:r>
          </w:p>
        </w:tc>
        <w:tc>
          <w:tcPr>
            <w:tcW w:type="dxa" w:w="4829"/>
            <w:tcBorders>
              <w:top w:color="000000" w:space="0" w:sz="4" w:val="single"/>
              <w:left w:color="000000" w:space="0" w:sz="4" w:val="single"/>
              <w:bottom w:color="000000" w:space="0" w:sz="4" w:val="single"/>
              <w:right w:color="000000" w:space="0" w:sz="4" w:val="single"/>
            </w:tcBorders>
            <w:shd w:fill="FFFFFF" w:val="clear"/>
            <w:tcMar>
              <w:top w:type="dxa" w:w="0"/>
              <w:left w:type="dxa" w:w="108"/>
              <w:bottom w:type="dxa" w:w="0"/>
              <w:right w:type="dxa" w:w="108"/>
            </w:tcMar>
          </w:tcPr>
          <w:p>
            <w:pPr>
              <w:pStyle w:val="style197"/>
              <w:spacing w:after="0" w:before="0"/>
              <w:jc w:val="both"/>
            </w:pPr>
            <w:r>
              <w:rPr>
                <w:rStyle w:val="style168"/>
                <w:rFonts w:ascii="Arial" w:cs="Arial" w:hAnsi="Arial"/>
                <w:color w:val="000000"/>
                <w:sz w:val="18"/>
                <w:szCs w:val="18"/>
              </w:rPr>
              <w:t>COLOR: GRIS METALIZADO,  CONTROL INTERNO: 02-04-01-8931, PESO APROX.  600 KG., GRADO DE OXIDACIÓN: 2.</w:t>
            </w:r>
          </w:p>
          <w:p>
            <w:pPr>
              <w:pStyle w:val="style197"/>
              <w:spacing w:after="0" w:before="0"/>
              <w:jc w:val="both"/>
            </w:pPr>
            <w:r>
              <w:rPr>
                <w:rStyle w:val="style168"/>
                <w:rFonts w:ascii="Arial" w:cs="Arial" w:hAnsi="Arial"/>
                <w:color w:val="000000"/>
                <w:sz w:val="18"/>
                <w:szCs w:val="18"/>
              </w:rPr>
              <w:t>Con daños considerables  en toda la unidad: sin Motor, caja de velocidades, tren delantero, transmisión, sistema eléctrico y asientos. Con chasis, techo, maleta, puertas delanteras</w:t>
            </w:r>
          </w:p>
        </w:tc>
      </w:tr>
      <w:tr>
        <w:trPr>
          <w:cantSplit w:val="false"/>
        </w:trPr>
        <w:tc>
          <w:tcPr>
            <w:tcW w:type="dxa" w:w="675"/>
            <w:tcBorders>
              <w:top w:color="000000" w:space="0" w:sz="4" w:val="single"/>
              <w:left w:color="000000" w:space="0" w:sz="4" w:val="single"/>
              <w:bottom w:color="000000" w:space="0" w:sz="4" w:val="single"/>
            </w:tcBorders>
            <w:shd w:fill="FFFFFF"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color w:val="000000"/>
                <w:sz w:val="20"/>
                <w:szCs w:val="20"/>
              </w:rPr>
              <w:t>8</w:t>
            </w:r>
          </w:p>
        </w:tc>
        <w:tc>
          <w:tcPr>
            <w:tcW w:type="dxa" w:w="3261"/>
            <w:tcBorders>
              <w:top w:color="000000" w:space="0" w:sz="4" w:val="single"/>
              <w:left w:color="000000" w:space="0" w:sz="4" w:val="single"/>
              <w:bottom w:color="000000" w:space="0" w:sz="4" w:val="single"/>
            </w:tcBorders>
            <w:shd w:fill="FFFFFF" w:val="clear"/>
            <w:tcMar>
              <w:top w:type="dxa" w:w="0"/>
              <w:left w:type="dxa" w:w="108"/>
              <w:bottom w:type="dxa" w:w="0"/>
              <w:right w:type="dxa" w:w="108"/>
            </w:tcMar>
          </w:tcPr>
          <w:p>
            <w:pPr>
              <w:pStyle w:val="style197"/>
              <w:spacing w:after="0" w:before="0"/>
              <w:jc w:val="both"/>
            </w:pPr>
            <w:r>
              <w:rPr>
                <w:rStyle w:val="style168"/>
                <w:rFonts w:ascii="Arial" w:cs="Arial" w:hAnsi="Arial"/>
                <w:color w:val="000000"/>
                <w:sz w:val="20"/>
                <w:szCs w:val="20"/>
              </w:rPr>
              <w:t>MARCA: FORD, MODELO: B-750, CLASES: AUTOBÚS, AÑO 1.979, comprado CVM TURBINAS, S.A. CAPACIDAD 60 puestos fecha: 22/07/1975, valor histórico: 78.445,00 Bs.</w:t>
            </w:r>
          </w:p>
        </w:tc>
        <w:tc>
          <w:tcPr>
            <w:tcW w:type="dxa" w:w="2693"/>
            <w:tcBorders>
              <w:top w:color="000000" w:space="0" w:sz="4" w:val="single"/>
              <w:left w:color="000000" w:space="0" w:sz="4" w:val="single"/>
              <w:bottom w:color="000000" w:space="0" w:sz="4" w:val="single"/>
            </w:tcBorders>
            <w:shd w:fill="FFFFFF" w:val="clear"/>
            <w:tcMar>
              <w:top w:type="dxa" w:w="0"/>
              <w:left w:type="dxa" w:w="108"/>
              <w:bottom w:type="dxa" w:w="0"/>
              <w:right w:type="dxa" w:w="108"/>
            </w:tcMar>
          </w:tcPr>
          <w:p>
            <w:pPr>
              <w:pStyle w:val="style197"/>
              <w:spacing w:after="0" w:before="0"/>
              <w:jc w:val="both"/>
            </w:pPr>
            <w:r>
              <w:rPr>
                <w:rStyle w:val="style168"/>
                <w:rFonts w:ascii="Arial" w:cs="Arial" w:hAnsi="Arial"/>
                <w:color w:val="000000"/>
                <w:sz w:val="20"/>
                <w:szCs w:val="20"/>
              </w:rPr>
              <w:t xml:space="preserve">CARROCERIA AJB75V-32682, PLACA: PO-2892 SERIAL DEL MOTOR: </w:t>
            </w:r>
            <w:r>
              <w:rPr>
                <w:rStyle w:val="style168"/>
                <w:rFonts w:ascii="Arial" w:cs="Arial" w:hAnsi="Arial"/>
                <w:color w:val="000000"/>
                <w:sz w:val="18"/>
                <w:szCs w:val="20"/>
              </w:rPr>
              <w:t>8 CILINDROS</w:t>
            </w:r>
          </w:p>
        </w:tc>
        <w:tc>
          <w:tcPr>
            <w:tcW w:type="dxa" w:w="4829"/>
            <w:tcBorders>
              <w:top w:color="000000" w:space="0" w:sz="4" w:val="single"/>
              <w:left w:color="000000" w:space="0" w:sz="4" w:val="single"/>
              <w:bottom w:color="000000" w:space="0" w:sz="4" w:val="single"/>
              <w:right w:color="000000" w:space="0" w:sz="4" w:val="single"/>
            </w:tcBorders>
            <w:shd w:fill="FFFFFF" w:val="clear"/>
            <w:tcMar>
              <w:top w:type="dxa" w:w="0"/>
              <w:left w:type="dxa" w:w="108"/>
              <w:bottom w:type="dxa" w:w="0"/>
              <w:right w:type="dxa" w:w="108"/>
            </w:tcMar>
          </w:tcPr>
          <w:p>
            <w:pPr>
              <w:pStyle w:val="style197"/>
              <w:spacing w:after="0" w:before="0"/>
              <w:jc w:val="both"/>
            </w:pPr>
            <w:r>
              <w:rPr>
                <w:rStyle w:val="style168"/>
                <w:rFonts w:ascii="Arial" w:cs="Arial" w:hAnsi="Arial"/>
                <w:color w:val="000000"/>
                <w:sz w:val="18"/>
                <w:szCs w:val="20"/>
              </w:rPr>
              <w:t>CORLOR: AMARILLO ESCOLAR, CONTROL INTERNO: 02-04-01-1211, PESO APROX. 6000 KG, GRADO DE OXIDACIÓN: 4.</w:t>
            </w:r>
          </w:p>
          <w:p>
            <w:pPr>
              <w:pStyle w:val="style197"/>
              <w:spacing w:after="0" w:before="0"/>
              <w:jc w:val="both"/>
            </w:pPr>
            <w:r>
              <w:rPr>
                <w:rStyle w:val="style168"/>
                <w:rFonts w:ascii="Arial" w:cs="Arial" w:hAnsi="Arial"/>
                <w:color w:val="000000"/>
                <w:sz w:val="18"/>
                <w:szCs w:val="20"/>
              </w:rPr>
              <w:t>Con daños de consideración en toda la unidad: sin motor, caja de velocidades, tren delantero, transmisión, sistema  eléctrico y asientos posee tanque de gasolina, chasis, carrocería, puertas delanteras, parachoques traseros y delanteros</w:t>
            </w:r>
          </w:p>
        </w:tc>
      </w:tr>
      <w:tr>
        <w:trPr>
          <w:cantSplit w:val="false"/>
        </w:trPr>
        <w:tc>
          <w:tcPr>
            <w:tcW w:type="dxa" w:w="675"/>
            <w:tcBorders>
              <w:top w:color="000000" w:space="0" w:sz="4" w:val="single"/>
              <w:left w:color="000000" w:space="0" w:sz="4" w:val="single"/>
              <w:bottom w:color="000000" w:space="0" w:sz="4" w:val="single"/>
            </w:tcBorders>
            <w:shd w:fill="FFFFFF"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color w:val="000000"/>
                <w:sz w:val="20"/>
                <w:szCs w:val="20"/>
              </w:rPr>
              <w:t>9</w:t>
            </w:r>
          </w:p>
        </w:tc>
        <w:tc>
          <w:tcPr>
            <w:tcW w:type="dxa" w:w="3261"/>
            <w:tcBorders>
              <w:top w:color="000000" w:space="0" w:sz="4" w:val="single"/>
              <w:left w:color="000000" w:space="0" w:sz="4" w:val="single"/>
              <w:bottom w:color="000000" w:space="0" w:sz="4" w:val="single"/>
            </w:tcBorders>
            <w:shd w:fill="FFFFFF" w:val="clear"/>
            <w:tcMar>
              <w:top w:type="dxa" w:w="0"/>
              <w:left w:type="dxa" w:w="108"/>
              <w:bottom w:type="dxa" w:w="0"/>
              <w:right w:type="dxa" w:w="108"/>
            </w:tcMar>
          </w:tcPr>
          <w:p>
            <w:pPr>
              <w:pStyle w:val="style197"/>
              <w:spacing w:after="0" w:before="0"/>
              <w:jc w:val="both"/>
            </w:pPr>
            <w:r>
              <w:rPr>
                <w:rStyle w:val="style168"/>
                <w:rFonts w:ascii="Arial" w:cs="Arial" w:hAnsi="Arial"/>
                <w:color w:val="000000"/>
                <w:sz w:val="20"/>
                <w:szCs w:val="20"/>
              </w:rPr>
              <w:t>MARCA: CHEVROLET, MODELO: BLUE BIRD, TIPO: ALL AMERICAN, CLASE: AUTOBUS, COLECTIVO, AÑO 1976, comprado a TRANSPORTE Y SERVICIO C.A. Sin Fecha: y valor histórico.</w:t>
            </w:r>
          </w:p>
        </w:tc>
        <w:tc>
          <w:tcPr>
            <w:tcW w:type="dxa" w:w="2693"/>
            <w:tcBorders>
              <w:top w:color="000000" w:space="0" w:sz="4" w:val="single"/>
              <w:left w:color="000000" w:space="0" w:sz="4" w:val="single"/>
              <w:bottom w:color="000000" w:space="0" w:sz="4" w:val="single"/>
            </w:tcBorders>
            <w:shd w:fill="FFFFFF" w:val="clear"/>
            <w:tcMar>
              <w:top w:type="dxa" w:w="0"/>
              <w:left w:type="dxa" w:w="108"/>
              <w:bottom w:type="dxa" w:w="0"/>
              <w:right w:type="dxa" w:w="108"/>
            </w:tcMar>
          </w:tcPr>
          <w:p>
            <w:pPr>
              <w:pStyle w:val="style197"/>
              <w:spacing w:after="0" w:before="0"/>
              <w:jc w:val="both"/>
            </w:pPr>
            <w:r>
              <w:rPr>
                <w:rStyle w:val="style168"/>
                <w:rFonts w:ascii="Arial" w:cs="Arial" w:hAnsi="Arial"/>
                <w:color w:val="000000"/>
                <w:sz w:val="20"/>
                <w:szCs w:val="20"/>
              </w:rPr>
              <w:t>CARROCERIA 100056-F-31764, PLACAS: F-08690 SERIAL DEL MOTOR: 546-51F-14-HA.</w:t>
            </w:r>
          </w:p>
        </w:tc>
        <w:tc>
          <w:tcPr>
            <w:tcW w:type="dxa" w:w="4829"/>
            <w:tcBorders>
              <w:top w:color="000000" w:space="0" w:sz="4" w:val="single"/>
              <w:left w:color="000000" w:space="0" w:sz="4" w:val="single"/>
              <w:bottom w:color="000000" w:space="0" w:sz="4" w:val="single"/>
              <w:right w:color="000000" w:space="0" w:sz="4" w:val="single"/>
            </w:tcBorders>
            <w:shd w:fill="FFFFFF" w:val="clear"/>
            <w:tcMar>
              <w:top w:type="dxa" w:w="0"/>
              <w:left w:type="dxa" w:w="108"/>
              <w:bottom w:type="dxa" w:w="0"/>
              <w:right w:type="dxa" w:w="108"/>
            </w:tcMar>
          </w:tcPr>
          <w:p>
            <w:pPr>
              <w:pStyle w:val="style197"/>
              <w:spacing w:after="0" w:before="0"/>
              <w:jc w:val="both"/>
            </w:pPr>
            <w:r>
              <w:rPr>
                <w:rStyle w:val="style168"/>
                <w:rFonts w:ascii="Arial" w:cs="Arial" w:hAnsi="Arial"/>
                <w:color w:val="000000"/>
                <w:sz w:val="18"/>
                <w:szCs w:val="18"/>
              </w:rPr>
              <w:t>COLOR: BLANCO Y AZUL ESCOLAR, CONTROL INTERNO: 02-04-958, PESO APROX. 3.600 KG., GRADO DE OXIDACIÓN: 3.</w:t>
            </w:r>
          </w:p>
          <w:p>
            <w:pPr>
              <w:pStyle w:val="style197"/>
              <w:spacing w:after="0" w:before="0"/>
              <w:jc w:val="both"/>
            </w:pPr>
            <w:r>
              <w:rPr>
                <w:rStyle w:val="style168"/>
                <w:rFonts w:ascii="Arial" w:cs="Arial" w:hAnsi="Arial"/>
                <w:color w:val="000000"/>
                <w:sz w:val="18"/>
                <w:szCs w:val="18"/>
              </w:rPr>
              <w:t>Con daños de consideración en toda la unidad: sin Motor, caja de velocidad, tren delantero, transmisión, sistema eléctrico y asientos, Presenta chasis, techo y cabina parachoques traseros y delanteros.</w:t>
            </w:r>
          </w:p>
        </w:tc>
      </w:tr>
    </w:tbl>
    <w:p>
      <w:pPr>
        <w:pStyle w:val="style197"/>
        <w:spacing w:after="0" w:before="0" w:line="360" w:lineRule="auto"/>
        <w:jc w:val="both"/>
      </w:pPr>
      <w:r>
        <w:rPr>
          <w:rStyle w:val="style168"/>
          <w:rFonts w:ascii="Arial" w:cs="Arial" w:hAnsi="Arial"/>
          <w:color w:val="000000"/>
          <w:sz w:val="20"/>
          <w:szCs w:val="20"/>
        </w:rPr>
        <w:t>Fuente: Tirado (2011) adaptado por Mendoza (2015</w:t>
      </w:r>
    </w:p>
    <w:p>
      <w:pPr>
        <w:pStyle w:val="style197"/>
        <w:pageBreakBefore/>
        <w:spacing w:after="0" w:before="0" w:line="360" w:lineRule="auto"/>
        <w:jc w:val="center"/>
      </w:pPr>
      <w:r>
        <w:rPr>
          <w:rStyle w:val="style168"/>
          <w:rFonts w:ascii="Arial" w:cs="Arial" w:hAnsi="Arial"/>
          <w:color w:val="000000"/>
          <w:sz w:val="22"/>
        </w:rPr>
        <w:t>CUADRO 28</w:t>
      </w:r>
      <w:r>
        <w:rPr>
          <w:rStyle w:val="style168"/>
          <w:rFonts w:ascii="Arial" w:cs="Arial" w:hAnsi="Arial"/>
          <w:color w:val="000000"/>
        </w:rPr>
        <w:t xml:space="preserve">  </w:t>
      </w:r>
      <w:r>
        <w:rPr>
          <w:rStyle w:val="style168"/>
          <w:rFonts w:ascii="Arial" w:cs="Arial" w:hAnsi="Arial"/>
          <w:color w:val="000000"/>
          <w:sz w:val="22"/>
        </w:rPr>
        <w:t>DESCRIPCIÓN DE LOS BIENES EN ETAPA DE DETERIORO, OBSOLESCENCIA Y CORROSIÓN</w:t>
      </w:r>
    </w:p>
    <w:p>
      <w:pPr>
        <w:pStyle w:val="style197"/>
        <w:spacing w:after="0" w:before="0" w:line="360" w:lineRule="auto"/>
        <w:jc w:val="center"/>
      </w:pPr>
      <w:r>
        <w:rPr/>
      </w:r>
    </w:p>
    <w:tbl>
      <w:tblPr>
        <w:jc w:val="left"/>
        <w:tblInd w:type="dxa" w:w="-113"/>
        <w:tblBorders>
          <w:top w:color="000000" w:space="0" w:sz="4" w:val="single"/>
          <w:left w:color="000000" w:space="0" w:sz="4" w:val="single"/>
          <w:bottom w:color="000000" w:space="0" w:sz="4" w:val="single"/>
        </w:tblBorders>
      </w:tblPr>
      <w:tblGrid>
        <w:gridCol w:w="675"/>
        <w:gridCol w:w="3261"/>
        <w:gridCol w:w="2409"/>
        <w:gridCol w:w="5113"/>
      </w:tblGrid>
      <w:tr>
        <w:trPr>
          <w:cantSplit w:val="false"/>
        </w:trPr>
        <w:tc>
          <w:tcPr>
            <w:tcW w:type="dxa" w:w="675"/>
            <w:tcBorders>
              <w:top w:color="000000" w:space="0" w:sz="4" w:val="single"/>
              <w:left w:color="000000" w:space="0" w:sz="4" w:val="single"/>
              <w:bottom w:color="000000" w:space="0" w:sz="4" w:val="single"/>
            </w:tcBorders>
            <w:shd w:fill="BFBFBF"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b/>
                <w:color w:val="000000"/>
                <w:sz w:val="20"/>
                <w:szCs w:val="20"/>
              </w:rPr>
              <w:t>Nº</w:t>
            </w:r>
          </w:p>
        </w:tc>
        <w:tc>
          <w:tcPr>
            <w:tcW w:type="dxa" w:w="3261"/>
            <w:tcBorders>
              <w:top w:color="000000" w:space="0" w:sz="4" w:val="single"/>
              <w:left w:color="000000" w:space="0" w:sz="4" w:val="single"/>
              <w:bottom w:color="000000" w:space="0" w:sz="4" w:val="single"/>
            </w:tcBorders>
            <w:shd w:fill="BFBFBF"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b/>
                <w:color w:val="000000"/>
                <w:sz w:val="20"/>
                <w:szCs w:val="20"/>
              </w:rPr>
              <w:t>MARCA /MODELO</w:t>
            </w:r>
          </w:p>
        </w:tc>
        <w:tc>
          <w:tcPr>
            <w:tcW w:type="dxa" w:w="2409"/>
            <w:tcBorders>
              <w:top w:color="000000" w:space="0" w:sz="4" w:val="single"/>
              <w:left w:color="000000" w:space="0" w:sz="4" w:val="single"/>
              <w:bottom w:color="000000" w:space="0" w:sz="4" w:val="single"/>
            </w:tcBorders>
            <w:shd w:fill="BFBFBF"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b/>
                <w:color w:val="000000"/>
                <w:sz w:val="20"/>
                <w:szCs w:val="20"/>
              </w:rPr>
              <w:t>PLACA/SERIALES</w:t>
            </w:r>
          </w:p>
        </w:tc>
        <w:tc>
          <w:tcPr>
            <w:tcW w:type="dxa" w:w="5113"/>
            <w:tcBorders>
              <w:top w:color="000000" w:space="0" w:sz="4" w:val="single"/>
              <w:left w:color="000000" w:space="0" w:sz="4" w:val="single"/>
              <w:bottom w:color="000000" w:space="0" w:sz="4" w:val="single"/>
              <w:right w:color="000000" w:space="0" w:sz="4" w:val="single"/>
            </w:tcBorders>
            <w:shd w:fill="BFBFBF"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b/>
                <w:color w:val="000000"/>
                <w:sz w:val="20"/>
                <w:szCs w:val="20"/>
              </w:rPr>
              <w:t>OBSERVACIONES</w:t>
            </w:r>
          </w:p>
        </w:tc>
      </w:tr>
      <w:tr>
        <w:trPr>
          <w:cantSplit w:val="false"/>
        </w:trPr>
        <w:tc>
          <w:tcPr>
            <w:tcW w:type="dxa" w:w="675"/>
            <w:tcBorders>
              <w:top w:color="000000" w:space="0" w:sz="4" w:val="single"/>
              <w:left w:color="000000" w:space="0" w:sz="4" w:val="single"/>
              <w:bottom w:color="000000" w:space="0" w:sz="4" w:val="single"/>
            </w:tcBorders>
            <w:shd w:fill="FFFFFF" w:val="clear"/>
            <w:tcMar>
              <w:top w:type="dxa" w:w="0"/>
              <w:left w:type="dxa" w:w="108"/>
              <w:bottom w:type="dxa" w:w="0"/>
              <w:right w:type="dxa" w:w="108"/>
            </w:tcMar>
          </w:tcPr>
          <w:p>
            <w:pPr>
              <w:pStyle w:val="style197"/>
              <w:snapToGrid w:val="false"/>
              <w:spacing w:after="0" w:before="0" w:line="360" w:lineRule="auto"/>
              <w:jc w:val="center"/>
            </w:pPr>
            <w:r>
              <w:rPr>
                <w:color w:val="000000"/>
              </w:rPr>
            </w:r>
          </w:p>
          <w:p>
            <w:pPr>
              <w:pStyle w:val="style197"/>
              <w:spacing w:after="0" w:before="0" w:line="360" w:lineRule="auto"/>
              <w:jc w:val="center"/>
            </w:pPr>
            <w:r>
              <w:rPr>
                <w:color w:val="000000"/>
              </w:rPr>
            </w:r>
          </w:p>
          <w:p>
            <w:pPr>
              <w:pStyle w:val="style197"/>
              <w:spacing w:after="0" w:before="0" w:line="360" w:lineRule="auto"/>
              <w:jc w:val="center"/>
            </w:pPr>
            <w:r>
              <w:rPr>
                <w:rStyle w:val="style168"/>
                <w:rFonts w:ascii="Arial" w:cs="Arial" w:hAnsi="Arial"/>
                <w:color w:val="000000"/>
                <w:sz w:val="20"/>
                <w:szCs w:val="20"/>
              </w:rPr>
              <w:t>10</w:t>
            </w:r>
          </w:p>
        </w:tc>
        <w:tc>
          <w:tcPr>
            <w:tcW w:type="dxa" w:w="3261"/>
            <w:tcBorders>
              <w:top w:color="000000" w:space="0" w:sz="4" w:val="single"/>
              <w:left w:color="000000" w:space="0" w:sz="4" w:val="single"/>
              <w:bottom w:color="000000" w:space="0" w:sz="4" w:val="single"/>
            </w:tcBorders>
            <w:shd w:fill="FFFFFF" w:val="clear"/>
            <w:tcMar>
              <w:top w:type="dxa" w:w="0"/>
              <w:left w:type="dxa" w:w="108"/>
              <w:bottom w:type="dxa" w:w="0"/>
              <w:right w:type="dxa" w:w="108"/>
            </w:tcMar>
          </w:tcPr>
          <w:p>
            <w:pPr>
              <w:pStyle w:val="style197"/>
              <w:spacing w:after="0" w:before="0"/>
              <w:jc w:val="both"/>
            </w:pPr>
            <w:r>
              <w:rPr>
                <w:rStyle w:val="style168"/>
                <w:rFonts w:ascii="Arial" w:cs="Arial" w:hAnsi="Arial"/>
                <w:color w:val="000000"/>
                <w:sz w:val="20"/>
                <w:szCs w:val="20"/>
              </w:rPr>
              <w:t xml:space="preserve">MARCA: FORD, MODELO: F-350, CLASE: AUTOBUS, AÑO 1.977, comprado A ENSAMBLAJE SUPERIOR,C.A. fecha: 22/07/1975, valor histórico: 48.767,00 Bs. Autobús TITAN 103, capacidad 25 puestos </w:t>
            </w:r>
          </w:p>
        </w:tc>
        <w:tc>
          <w:tcPr>
            <w:tcW w:type="dxa" w:w="2409"/>
            <w:tcBorders>
              <w:top w:color="000000" w:space="0" w:sz="4" w:val="single"/>
              <w:left w:color="000000" w:space="0" w:sz="4" w:val="single"/>
              <w:bottom w:color="000000" w:space="0" w:sz="4" w:val="single"/>
            </w:tcBorders>
            <w:shd w:fill="FFFFFF" w:val="clear"/>
            <w:tcMar>
              <w:top w:type="dxa" w:w="0"/>
              <w:left w:type="dxa" w:w="108"/>
              <w:bottom w:type="dxa" w:w="0"/>
              <w:right w:type="dxa" w:w="108"/>
            </w:tcMar>
          </w:tcPr>
          <w:p>
            <w:pPr>
              <w:pStyle w:val="style197"/>
              <w:spacing w:after="0" w:before="0"/>
              <w:jc w:val="both"/>
            </w:pPr>
            <w:r>
              <w:rPr>
                <w:rStyle w:val="style168"/>
                <w:rFonts w:ascii="Arial" w:cs="Arial" w:hAnsi="Arial"/>
                <w:color w:val="000000"/>
                <w:sz w:val="20"/>
                <w:szCs w:val="20"/>
              </w:rPr>
              <w:t xml:space="preserve">CARROCERIA 31210, PLACA: P-01643, SERIAL DEL MOTOR:  : </w:t>
            </w:r>
            <w:r>
              <w:rPr>
                <w:rStyle w:val="style168"/>
                <w:rFonts w:ascii="Arial" w:cs="Arial" w:hAnsi="Arial"/>
                <w:color w:val="000000"/>
                <w:sz w:val="18"/>
                <w:szCs w:val="20"/>
              </w:rPr>
              <w:t>NO SE DETERMINOEN EL HALLAZGO</w:t>
            </w:r>
          </w:p>
        </w:tc>
        <w:tc>
          <w:tcPr>
            <w:tcW w:type="dxa" w:w="5113"/>
            <w:tcBorders>
              <w:top w:color="000000" w:space="0" w:sz="4" w:val="single"/>
              <w:left w:color="000000" w:space="0" w:sz="4" w:val="single"/>
              <w:bottom w:color="000000" w:space="0" w:sz="4" w:val="single"/>
              <w:right w:color="000000" w:space="0" w:sz="4" w:val="single"/>
            </w:tcBorders>
            <w:shd w:fill="FFFFFF" w:val="clear"/>
            <w:tcMar>
              <w:top w:type="dxa" w:w="0"/>
              <w:left w:type="dxa" w:w="108"/>
              <w:bottom w:type="dxa" w:w="0"/>
              <w:right w:type="dxa" w:w="108"/>
            </w:tcMar>
          </w:tcPr>
          <w:p>
            <w:pPr>
              <w:pStyle w:val="style197"/>
              <w:spacing w:after="0" w:before="0"/>
              <w:jc w:val="both"/>
            </w:pPr>
            <w:r>
              <w:rPr>
                <w:rStyle w:val="style168"/>
                <w:rFonts w:ascii="Arial" w:cs="Arial" w:hAnsi="Arial"/>
                <w:color w:val="000000"/>
                <w:sz w:val="18"/>
                <w:szCs w:val="20"/>
              </w:rPr>
              <w:t>CORLOR: BLANCO – NARANJA, CONTROL INTERNO: 02-04-01-8929 PESO APROX. 3000 KG, GRADO DE OXIDACIÓN: 3.</w:t>
            </w:r>
          </w:p>
          <w:p>
            <w:pPr>
              <w:pStyle w:val="style197"/>
              <w:spacing w:after="0" w:before="0"/>
              <w:jc w:val="both"/>
            </w:pPr>
            <w:r>
              <w:rPr>
                <w:rStyle w:val="style168"/>
                <w:rFonts w:ascii="Arial" w:cs="Arial" w:hAnsi="Arial"/>
                <w:color w:val="000000"/>
                <w:sz w:val="18"/>
                <w:szCs w:val="20"/>
              </w:rPr>
              <w:t>Con daños de consideración en toda la unidad: Daños en el  motor, caja de velocidad, tren delantero, transmisión, sistema  eléctrico con chasis, techo y cabina, con asientos.</w:t>
            </w:r>
          </w:p>
        </w:tc>
      </w:tr>
      <w:tr>
        <w:trPr>
          <w:cantSplit w:val="false"/>
        </w:trPr>
        <w:tc>
          <w:tcPr>
            <w:tcW w:type="dxa" w:w="675"/>
            <w:tcBorders>
              <w:top w:color="000000" w:space="0" w:sz="4" w:val="single"/>
              <w:left w:color="000000" w:space="0" w:sz="4" w:val="single"/>
              <w:bottom w:color="000000" w:space="0" w:sz="4" w:val="single"/>
            </w:tcBorders>
            <w:shd w:fill="FFFFFF" w:val="clear"/>
            <w:tcMar>
              <w:top w:type="dxa" w:w="0"/>
              <w:left w:type="dxa" w:w="108"/>
              <w:bottom w:type="dxa" w:w="0"/>
              <w:right w:type="dxa" w:w="108"/>
            </w:tcMar>
          </w:tcPr>
          <w:p>
            <w:pPr>
              <w:pStyle w:val="style197"/>
              <w:snapToGrid w:val="false"/>
              <w:spacing w:after="0" w:before="0" w:line="360" w:lineRule="auto"/>
              <w:jc w:val="center"/>
            </w:pPr>
            <w:r>
              <w:rPr>
                <w:color w:val="000000"/>
              </w:rPr>
            </w:r>
          </w:p>
          <w:p>
            <w:pPr>
              <w:pStyle w:val="style197"/>
              <w:spacing w:after="0" w:before="0" w:line="360" w:lineRule="auto"/>
              <w:jc w:val="center"/>
            </w:pPr>
            <w:r>
              <w:rPr>
                <w:rStyle w:val="style168"/>
                <w:rFonts w:ascii="Arial" w:cs="Arial" w:hAnsi="Arial"/>
                <w:color w:val="000000"/>
                <w:sz w:val="20"/>
                <w:szCs w:val="20"/>
              </w:rPr>
              <w:t>11</w:t>
            </w:r>
          </w:p>
        </w:tc>
        <w:tc>
          <w:tcPr>
            <w:tcW w:type="dxa" w:w="3261"/>
            <w:tcBorders>
              <w:top w:color="000000" w:space="0" w:sz="4" w:val="single"/>
              <w:left w:color="000000" w:space="0" w:sz="4" w:val="single"/>
              <w:bottom w:color="000000" w:space="0" w:sz="4" w:val="single"/>
            </w:tcBorders>
            <w:shd w:fill="FFFFFF" w:val="clear"/>
            <w:tcMar>
              <w:top w:type="dxa" w:w="0"/>
              <w:left w:type="dxa" w:w="108"/>
              <w:bottom w:type="dxa" w:w="0"/>
              <w:right w:type="dxa" w:w="108"/>
            </w:tcMar>
          </w:tcPr>
          <w:p>
            <w:pPr>
              <w:pStyle w:val="style197"/>
              <w:spacing w:after="0" w:before="0"/>
              <w:jc w:val="both"/>
            </w:pPr>
            <w:r>
              <w:rPr>
                <w:rStyle w:val="style168"/>
                <w:rFonts w:ascii="Arial" w:cs="Arial" w:hAnsi="Arial"/>
                <w:color w:val="000000"/>
                <w:sz w:val="20"/>
                <w:szCs w:val="20"/>
              </w:rPr>
              <w:t>MARCA: FORTSCITT, MODELO: ZT5-300-C, CLASES: TRACTOR, AÑO 1.980, comprado REMMAR, C.A. fecha: 19/02/1983</w:t>
            </w:r>
          </w:p>
        </w:tc>
        <w:tc>
          <w:tcPr>
            <w:tcW w:type="dxa" w:w="2409"/>
            <w:tcBorders>
              <w:top w:color="000000" w:space="0" w:sz="4" w:val="single"/>
              <w:left w:color="000000" w:space="0" w:sz="4" w:val="single"/>
              <w:bottom w:color="000000" w:space="0" w:sz="4" w:val="single"/>
            </w:tcBorders>
            <w:shd w:fill="FFFFFF" w:val="clear"/>
            <w:tcMar>
              <w:top w:type="dxa" w:w="0"/>
              <w:left w:type="dxa" w:w="108"/>
              <w:bottom w:type="dxa" w:w="0"/>
              <w:right w:type="dxa" w:w="108"/>
            </w:tcMar>
          </w:tcPr>
          <w:p>
            <w:pPr>
              <w:pStyle w:val="style197"/>
              <w:spacing w:after="0" w:before="0"/>
              <w:jc w:val="both"/>
            </w:pPr>
            <w:r>
              <w:rPr>
                <w:rStyle w:val="style168"/>
                <w:rFonts w:ascii="Arial" w:cs="Arial" w:hAnsi="Arial"/>
                <w:color w:val="000000"/>
                <w:sz w:val="20"/>
                <w:szCs w:val="20"/>
              </w:rPr>
              <w:t xml:space="preserve">CARROCERIA 7290156965, PLACA: GAH-189 SERIAL DEL MOTOR: </w:t>
            </w:r>
            <w:r>
              <w:rPr>
                <w:rStyle w:val="style168"/>
                <w:rFonts w:ascii="Arial" w:cs="Arial" w:hAnsi="Arial"/>
                <w:color w:val="000000"/>
                <w:sz w:val="18"/>
                <w:szCs w:val="20"/>
              </w:rPr>
              <w:t>67820</w:t>
            </w:r>
          </w:p>
        </w:tc>
        <w:tc>
          <w:tcPr>
            <w:tcW w:type="dxa" w:w="5113"/>
            <w:tcBorders>
              <w:top w:color="000000" w:space="0" w:sz="4" w:val="single"/>
              <w:left w:color="000000" w:space="0" w:sz="4" w:val="single"/>
              <w:bottom w:color="000000" w:space="0" w:sz="4" w:val="single"/>
              <w:right w:color="000000" w:space="0" w:sz="4" w:val="single"/>
            </w:tcBorders>
            <w:shd w:fill="FFFFFF" w:val="clear"/>
            <w:tcMar>
              <w:top w:type="dxa" w:w="0"/>
              <w:left w:type="dxa" w:w="108"/>
              <w:bottom w:type="dxa" w:w="0"/>
              <w:right w:type="dxa" w:w="108"/>
            </w:tcMar>
          </w:tcPr>
          <w:p>
            <w:pPr>
              <w:pStyle w:val="style197"/>
              <w:spacing w:after="0" w:before="0"/>
              <w:jc w:val="both"/>
            </w:pPr>
            <w:r>
              <w:rPr>
                <w:rStyle w:val="style168"/>
                <w:rFonts w:ascii="Arial" w:cs="Arial" w:hAnsi="Arial"/>
                <w:color w:val="000000"/>
                <w:sz w:val="18"/>
                <w:szCs w:val="20"/>
              </w:rPr>
              <w:t>CORLOR: AZUL, CONTROL INTERNO: 02-03-04-4724, PESO APROX. 2.500 KG, GRADO DE OXIDACIÓN: 2.</w:t>
            </w:r>
          </w:p>
          <w:p>
            <w:pPr>
              <w:pStyle w:val="style197"/>
              <w:spacing w:after="0" w:before="0"/>
              <w:jc w:val="both"/>
            </w:pPr>
            <w:r>
              <w:rPr>
                <w:rStyle w:val="style168"/>
                <w:rFonts w:ascii="Arial" w:cs="Arial" w:hAnsi="Arial"/>
                <w:color w:val="000000"/>
                <w:sz w:val="18"/>
                <w:szCs w:val="20"/>
              </w:rPr>
              <w:t>TOTALMENTE DETERIORADO</w:t>
            </w:r>
          </w:p>
        </w:tc>
      </w:tr>
      <w:tr>
        <w:trPr>
          <w:cantSplit w:val="false"/>
        </w:trPr>
        <w:tc>
          <w:tcPr>
            <w:tcW w:type="dxa" w:w="675"/>
            <w:tcBorders>
              <w:top w:color="000000" w:space="0" w:sz="4" w:val="single"/>
              <w:left w:color="000000" w:space="0" w:sz="4" w:val="single"/>
              <w:bottom w:color="000000" w:space="0" w:sz="4" w:val="single"/>
            </w:tcBorders>
            <w:shd w:fill="FFFFFF" w:val="clear"/>
            <w:tcMar>
              <w:top w:type="dxa" w:w="0"/>
              <w:left w:type="dxa" w:w="108"/>
              <w:bottom w:type="dxa" w:w="0"/>
              <w:right w:type="dxa" w:w="108"/>
            </w:tcMar>
          </w:tcPr>
          <w:p>
            <w:pPr>
              <w:pStyle w:val="style197"/>
              <w:snapToGrid w:val="false"/>
              <w:spacing w:after="0" w:before="0" w:line="360" w:lineRule="auto"/>
              <w:jc w:val="center"/>
            </w:pPr>
            <w:r>
              <w:rPr>
                <w:color w:val="000000"/>
              </w:rPr>
            </w:r>
          </w:p>
          <w:p>
            <w:pPr>
              <w:pStyle w:val="style197"/>
              <w:spacing w:after="0" w:before="0" w:line="360" w:lineRule="auto"/>
              <w:jc w:val="center"/>
            </w:pPr>
            <w:r>
              <w:rPr>
                <w:color w:val="000000"/>
              </w:rPr>
            </w:r>
          </w:p>
          <w:p>
            <w:pPr>
              <w:pStyle w:val="style197"/>
              <w:spacing w:after="0" w:before="0" w:line="360" w:lineRule="auto"/>
              <w:jc w:val="center"/>
            </w:pPr>
            <w:r>
              <w:rPr>
                <w:rStyle w:val="style168"/>
                <w:rFonts w:ascii="Arial" w:cs="Arial" w:hAnsi="Arial"/>
                <w:color w:val="000000"/>
                <w:sz w:val="20"/>
                <w:szCs w:val="20"/>
              </w:rPr>
              <w:t>12</w:t>
            </w:r>
          </w:p>
        </w:tc>
        <w:tc>
          <w:tcPr>
            <w:tcW w:type="dxa" w:w="3261"/>
            <w:tcBorders>
              <w:top w:color="000000" w:space="0" w:sz="4" w:val="single"/>
              <w:left w:color="000000" w:space="0" w:sz="4" w:val="single"/>
              <w:bottom w:color="000000" w:space="0" w:sz="4" w:val="single"/>
            </w:tcBorders>
            <w:shd w:fill="FFFFFF" w:val="clear"/>
            <w:tcMar>
              <w:top w:type="dxa" w:w="0"/>
              <w:left w:type="dxa" w:w="108"/>
              <w:bottom w:type="dxa" w:w="0"/>
              <w:right w:type="dxa" w:w="108"/>
            </w:tcMar>
          </w:tcPr>
          <w:p>
            <w:pPr>
              <w:pStyle w:val="style197"/>
              <w:spacing w:after="0" w:before="0"/>
              <w:jc w:val="both"/>
            </w:pPr>
            <w:r>
              <w:rPr>
                <w:rStyle w:val="style168"/>
                <w:rFonts w:ascii="Arial" w:cs="Arial" w:hAnsi="Arial"/>
                <w:color w:val="000000"/>
                <w:sz w:val="20"/>
                <w:szCs w:val="20"/>
              </w:rPr>
              <w:t>MARCA: FORTSCITT, MODELO: ZT5-300-C, CLASES: TRACTOR, AÑO 1.980, comprado REMMAR, C.A. fecha: 19/02/1983</w:t>
            </w:r>
          </w:p>
        </w:tc>
        <w:tc>
          <w:tcPr>
            <w:tcW w:type="dxa" w:w="2409"/>
            <w:tcBorders>
              <w:top w:color="000000" w:space="0" w:sz="4" w:val="single"/>
              <w:left w:color="000000" w:space="0" w:sz="4" w:val="single"/>
              <w:bottom w:color="000000" w:space="0" w:sz="4" w:val="single"/>
            </w:tcBorders>
            <w:shd w:fill="FFFFFF" w:val="clear"/>
            <w:tcMar>
              <w:top w:type="dxa" w:w="0"/>
              <w:left w:type="dxa" w:w="108"/>
              <w:bottom w:type="dxa" w:w="0"/>
              <w:right w:type="dxa" w:w="108"/>
            </w:tcMar>
          </w:tcPr>
          <w:p>
            <w:pPr>
              <w:pStyle w:val="style197"/>
              <w:spacing w:after="0" w:before="0"/>
              <w:jc w:val="both"/>
            </w:pPr>
            <w:r>
              <w:rPr>
                <w:rStyle w:val="style168"/>
                <w:rFonts w:ascii="Arial" w:cs="Arial" w:hAnsi="Arial"/>
                <w:color w:val="000000"/>
                <w:sz w:val="20"/>
                <w:szCs w:val="20"/>
              </w:rPr>
              <w:t xml:space="preserve">CARROCERIA 7290156965, PLACA: DBA-452 SERIAL DEL MOTOR: </w:t>
            </w:r>
            <w:r>
              <w:rPr>
                <w:rStyle w:val="style168"/>
                <w:rFonts w:ascii="Arial" w:cs="Arial" w:hAnsi="Arial"/>
                <w:color w:val="000000"/>
                <w:sz w:val="18"/>
                <w:szCs w:val="20"/>
              </w:rPr>
              <w:t>67805</w:t>
            </w:r>
          </w:p>
        </w:tc>
        <w:tc>
          <w:tcPr>
            <w:tcW w:type="dxa" w:w="5113"/>
            <w:tcBorders>
              <w:top w:color="000000" w:space="0" w:sz="4" w:val="single"/>
              <w:left w:color="000000" w:space="0" w:sz="4" w:val="single"/>
              <w:bottom w:color="000000" w:space="0" w:sz="4" w:val="single"/>
              <w:right w:color="000000" w:space="0" w:sz="4" w:val="single"/>
            </w:tcBorders>
            <w:shd w:fill="FFFFFF" w:val="clear"/>
            <w:tcMar>
              <w:top w:type="dxa" w:w="0"/>
              <w:left w:type="dxa" w:w="108"/>
              <w:bottom w:type="dxa" w:w="0"/>
              <w:right w:type="dxa" w:w="108"/>
            </w:tcMar>
          </w:tcPr>
          <w:p>
            <w:pPr>
              <w:pStyle w:val="style197"/>
              <w:spacing w:after="0" w:before="0"/>
              <w:jc w:val="both"/>
            </w:pPr>
            <w:r>
              <w:rPr>
                <w:rStyle w:val="style168"/>
                <w:rFonts w:ascii="Arial" w:cs="Arial" w:hAnsi="Arial"/>
                <w:color w:val="000000"/>
                <w:sz w:val="18"/>
                <w:szCs w:val="20"/>
              </w:rPr>
              <w:t>CORLOR: AZUL, CONTROL INTERNO: 02-03-04-4723, PESO APROX. 2.500 KG, GRADO DE OXIDACIÓN: 2.</w:t>
            </w:r>
          </w:p>
          <w:p>
            <w:pPr>
              <w:pStyle w:val="style197"/>
              <w:spacing w:after="0" w:before="0"/>
              <w:jc w:val="both"/>
            </w:pPr>
            <w:r>
              <w:rPr>
                <w:rStyle w:val="style168"/>
                <w:rFonts w:ascii="Arial" w:cs="Arial" w:eastAsia="Arial" w:hAnsi="Arial"/>
                <w:color w:val="000000"/>
                <w:sz w:val="18"/>
                <w:szCs w:val="20"/>
              </w:rPr>
              <w:t xml:space="preserve"> </w:t>
            </w:r>
          </w:p>
        </w:tc>
      </w:tr>
      <w:tr>
        <w:trPr>
          <w:cantSplit w:val="false"/>
        </w:trPr>
        <w:tc>
          <w:tcPr>
            <w:tcW w:type="dxa" w:w="675"/>
            <w:tcBorders>
              <w:top w:color="000000" w:space="0" w:sz="4" w:val="single"/>
              <w:left w:color="000000" w:space="0" w:sz="4" w:val="single"/>
              <w:bottom w:color="000000" w:space="0" w:sz="4" w:val="single"/>
            </w:tcBorders>
            <w:shd w:fill="FFFFFF"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color w:val="000000"/>
                <w:sz w:val="20"/>
                <w:szCs w:val="20"/>
              </w:rPr>
              <w:t>13</w:t>
            </w:r>
          </w:p>
        </w:tc>
        <w:tc>
          <w:tcPr>
            <w:tcW w:type="dxa" w:w="3261"/>
            <w:tcBorders>
              <w:top w:color="000000" w:space="0" w:sz="4" w:val="single"/>
              <w:left w:color="000000" w:space="0" w:sz="4" w:val="single"/>
              <w:bottom w:color="000000" w:space="0" w:sz="4" w:val="single"/>
            </w:tcBorders>
            <w:shd w:fill="FFFFFF" w:val="clear"/>
            <w:tcMar>
              <w:top w:type="dxa" w:w="0"/>
              <w:left w:type="dxa" w:w="108"/>
              <w:bottom w:type="dxa" w:w="0"/>
              <w:right w:type="dxa" w:w="108"/>
            </w:tcMar>
          </w:tcPr>
          <w:p>
            <w:pPr>
              <w:pStyle w:val="style197"/>
              <w:spacing w:after="0" w:before="0"/>
              <w:jc w:val="both"/>
            </w:pPr>
            <w:r>
              <w:rPr>
                <w:rStyle w:val="style168"/>
                <w:rFonts w:ascii="Arial" w:cs="Arial" w:hAnsi="Arial"/>
                <w:color w:val="000000"/>
                <w:sz w:val="20"/>
                <w:szCs w:val="20"/>
              </w:rPr>
              <w:t>ESTRUCTURA DE HIERRO</w:t>
            </w:r>
          </w:p>
        </w:tc>
        <w:tc>
          <w:tcPr>
            <w:tcW w:type="dxa" w:w="2409"/>
            <w:tcBorders>
              <w:top w:color="000000" w:space="0" w:sz="4" w:val="single"/>
              <w:left w:color="000000" w:space="0" w:sz="4" w:val="single"/>
              <w:bottom w:color="000000" w:space="0" w:sz="4" w:val="single"/>
            </w:tcBorders>
            <w:shd w:fill="FFFFFF" w:val="clear"/>
            <w:tcMar>
              <w:top w:type="dxa" w:w="0"/>
              <w:left w:type="dxa" w:w="108"/>
              <w:bottom w:type="dxa" w:w="0"/>
              <w:right w:type="dxa" w:w="108"/>
            </w:tcMar>
          </w:tcPr>
          <w:p>
            <w:pPr>
              <w:pStyle w:val="style197"/>
              <w:spacing w:after="0" w:before="0"/>
              <w:jc w:val="both"/>
            </w:pPr>
            <w:r>
              <w:rPr>
                <w:rStyle w:val="style168"/>
                <w:rFonts w:ascii="Arial" w:cs="Arial" w:hAnsi="Arial"/>
                <w:color w:val="000000"/>
                <w:sz w:val="20"/>
                <w:szCs w:val="20"/>
              </w:rPr>
              <w:t>NO APLICA</w:t>
            </w:r>
          </w:p>
        </w:tc>
        <w:tc>
          <w:tcPr>
            <w:tcW w:type="dxa" w:w="5113"/>
            <w:tcBorders>
              <w:top w:color="000000" w:space="0" w:sz="4" w:val="single"/>
              <w:left w:color="000000" w:space="0" w:sz="4" w:val="single"/>
              <w:bottom w:color="000000" w:space="0" w:sz="4" w:val="single"/>
              <w:right w:color="000000" w:space="0" w:sz="4" w:val="single"/>
            </w:tcBorders>
            <w:shd w:fill="FFFFFF" w:val="clear"/>
            <w:tcMar>
              <w:top w:type="dxa" w:w="0"/>
              <w:left w:type="dxa" w:w="108"/>
              <w:bottom w:type="dxa" w:w="0"/>
              <w:right w:type="dxa" w:w="108"/>
            </w:tcMar>
          </w:tcPr>
          <w:p>
            <w:pPr>
              <w:pStyle w:val="style197"/>
              <w:spacing w:after="0" w:before="0"/>
              <w:jc w:val="both"/>
            </w:pPr>
            <w:r>
              <w:rPr>
                <w:rStyle w:val="style168"/>
                <w:rFonts w:ascii="Arial" w:cs="Arial" w:hAnsi="Arial"/>
                <w:color w:val="000000"/>
                <w:sz w:val="18"/>
                <w:szCs w:val="20"/>
              </w:rPr>
              <w:t xml:space="preserve">RESTOS DE DUCTOS, ESTANTES DE HIERRO, LAMPARAS DE HIERRO, ENTRE OTROS. Existen diverso estados de oxidación que van desde 2 hasta 6 </w:t>
            </w:r>
          </w:p>
        </w:tc>
      </w:tr>
      <w:tr>
        <w:trPr>
          <w:cantSplit w:val="false"/>
        </w:trPr>
        <w:tc>
          <w:tcPr>
            <w:tcW w:type="dxa" w:w="675"/>
            <w:tcBorders>
              <w:top w:color="000000" w:space="0" w:sz="4" w:val="single"/>
              <w:left w:color="000000" w:space="0" w:sz="4" w:val="single"/>
              <w:bottom w:color="000000" w:space="0" w:sz="4" w:val="single"/>
            </w:tcBorders>
            <w:shd w:fill="FFFFFF"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color w:val="000000"/>
                <w:sz w:val="20"/>
                <w:szCs w:val="20"/>
              </w:rPr>
              <w:t>14</w:t>
            </w:r>
          </w:p>
        </w:tc>
        <w:tc>
          <w:tcPr>
            <w:tcW w:type="dxa" w:w="3261"/>
            <w:tcBorders>
              <w:top w:color="000000" w:space="0" w:sz="4" w:val="single"/>
              <w:left w:color="000000" w:space="0" w:sz="4" w:val="single"/>
              <w:bottom w:color="000000" w:space="0" w:sz="4" w:val="single"/>
            </w:tcBorders>
            <w:shd w:fill="FFFFFF" w:val="clear"/>
            <w:tcMar>
              <w:top w:type="dxa" w:w="0"/>
              <w:left w:type="dxa" w:w="108"/>
              <w:bottom w:type="dxa" w:w="0"/>
              <w:right w:type="dxa" w:w="108"/>
            </w:tcMar>
          </w:tcPr>
          <w:p>
            <w:pPr>
              <w:pStyle w:val="style197"/>
              <w:spacing w:after="0" w:before="0"/>
              <w:jc w:val="both"/>
            </w:pPr>
            <w:r>
              <w:rPr>
                <w:rStyle w:val="style168"/>
                <w:rFonts w:ascii="Arial" w:cs="Arial" w:hAnsi="Arial"/>
                <w:color w:val="000000"/>
                <w:sz w:val="20"/>
                <w:szCs w:val="20"/>
              </w:rPr>
              <w:t>RESPUESTOS DE VENTANAS</w:t>
            </w:r>
          </w:p>
        </w:tc>
        <w:tc>
          <w:tcPr>
            <w:tcW w:type="dxa" w:w="2409"/>
            <w:tcBorders>
              <w:top w:color="000000" w:space="0" w:sz="4" w:val="single"/>
              <w:left w:color="000000" w:space="0" w:sz="4" w:val="single"/>
              <w:bottom w:color="000000" w:space="0" w:sz="4" w:val="single"/>
            </w:tcBorders>
            <w:shd w:fill="FFFFFF" w:val="clear"/>
            <w:tcMar>
              <w:top w:type="dxa" w:w="0"/>
              <w:left w:type="dxa" w:w="108"/>
              <w:bottom w:type="dxa" w:w="0"/>
              <w:right w:type="dxa" w:w="108"/>
            </w:tcMar>
          </w:tcPr>
          <w:p>
            <w:pPr>
              <w:pStyle w:val="style197"/>
              <w:spacing w:after="0" w:before="0"/>
              <w:jc w:val="both"/>
            </w:pPr>
            <w:r>
              <w:rPr>
                <w:rStyle w:val="style168"/>
                <w:rFonts w:ascii="Arial" w:cs="Arial" w:hAnsi="Arial"/>
                <w:color w:val="000000"/>
                <w:sz w:val="20"/>
                <w:szCs w:val="20"/>
              </w:rPr>
              <w:t>NO APLICA</w:t>
            </w:r>
          </w:p>
        </w:tc>
        <w:tc>
          <w:tcPr>
            <w:tcW w:type="dxa" w:w="5113"/>
            <w:tcBorders>
              <w:top w:color="000000" w:space="0" w:sz="4" w:val="single"/>
              <w:left w:color="000000" w:space="0" w:sz="4" w:val="single"/>
              <w:bottom w:color="000000" w:space="0" w:sz="4" w:val="single"/>
              <w:right w:color="000000" w:space="0" w:sz="4" w:val="single"/>
            </w:tcBorders>
            <w:shd w:fill="FFFFFF" w:val="clear"/>
            <w:tcMar>
              <w:top w:type="dxa" w:w="0"/>
              <w:left w:type="dxa" w:w="108"/>
              <w:bottom w:type="dxa" w:w="0"/>
              <w:right w:type="dxa" w:w="108"/>
            </w:tcMar>
          </w:tcPr>
          <w:p>
            <w:pPr>
              <w:pStyle w:val="style197"/>
              <w:spacing w:after="0" w:before="0"/>
              <w:jc w:val="both"/>
            </w:pPr>
            <w:r>
              <w:rPr>
                <w:rStyle w:val="style168"/>
                <w:rFonts w:ascii="Arial" w:cs="Arial" w:hAnsi="Arial"/>
                <w:color w:val="000000"/>
                <w:sz w:val="18"/>
                <w:szCs w:val="20"/>
              </w:rPr>
              <w:t>VENTANAS SUSTITUIDAS, GRADOS DE OXIDACIÓN 4 Y 5</w:t>
            </w:r>
          </w:p>
        </w:tc>
      </w:tr>
      <w:tr>
        <w:trPr>
          <w:cantSplit w:val="false"/>
        </w:trPr>
        <w:tc>
          <w:tcPr>
            <w:tcW w:type="dxa" w:w="675"/>
            <w:tcBorders>
              <w:top w:color="000000" w:space="0" w:sz="4" w:val="single"/>
              <w:left w:color="000000" w:space="0" w:sz="4" w:val="single"/>
              <w:bottom w:color="000000" w:space="0" w:sz="4" w:val="single"/>
            </w:tcBorders>
            <w:shd w:fill="FFFFFF"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color w:val="000000"/>
                <w:sz w:val="20"/>
                <w:szCs w:val="20"/>
              </w:rPr>
              <w:t xml:space="preserve">15 </w:t>
            </w:r>
          </w:p>
        </w:tc>
        <w:tc>
          <w:tcPr>
            <w:tcW w:type="dxa" w:w="3261"/>
            <w:tcBorders>
              <w:top w:color="000000" w:space="0" w:sz="4" w:val="single"/>
              <w:left w:color="000000" w:space="0" w:sz="4" w:val="single"/>
              <w:bottom w:color="000000" w:space="0" w:sz="4" w:val="single"/>
            </w:tcBorders>
            <w:shd w:fill="FFFFFF" w:val="clear"/>
            <w:tcMar>
              <w:top w:type="dxa" w:w="0"/>
              <w:left w:type="dxa" w:w="108"/>
              <w:bottom w:type="dxa" w:w="0"/>
              <w:right w:type="dxa" w:w="108"/>
            </w:tcMar>
          </w:tcPr>
          <w:p>
            <w:pPr>
              <w:pStyle w:val="style197"/>
              <w:spacing w:after="0" w:before="0"/>
              <w:jc w:val="both"/>
            </w:pPr>
            <w:r>
              <w:rPr>
                <w:rStyle w:val="style168"/>
                <w:rFonts w:ascii="Arial" w:cs="Arial" w:hAnsi="Arial"/>
                <w:color w:val="000000"/>
                <w:sz w:val="20"/>
                <w:szCs w:val="20"/>
              </w:rPr>
              <w:t>CHASIS DE SEMBRADORA</w:t>
            </w:r>
          </w:p>
        </w:tc>
        <w:tc>
          <w:tcPr>
            <w:tcW w:type="dxa" w:w="2409"/>
            <w:tcBorders>
              <w:top w:color="000000" w:space="0" w:sz="4" w:val="single"/>
              <w:left w:color="000000" w:space="0" w:sz="4" w:val="single"/>
              <w:bottom w:color="000000" w:space="0" w:sz="4" w:val="single"/>
            </w:tcBorders>
            <w:shd w:fill="FFFFFF" w:val="clear"/>
            <w:tcMar>
              <w:top w:type="dxa" w:w="0"/>
              <w:left w:type="dxa" w:w="108"/>
              <w:bottom w:type="dxa" w:w="0"/>
              <w:right w:type="dxa" w:w="108"/>
            </w:tcMar>
          </w:tcPr>
          <w:p>
            <w:pPr>
              <w:pStyle w:val="style197"/>
              <w:spacing w:after="0" w:before="0"/>
              <w:jc w:val="both"/>
            </w:pPr>
            <w:r>
              <w:rPr>
                <w:rStyle w:val="style168"/>
                <w:rFonts w:ascii="Arial" w:cs="Arial" w:hAnsi="Arial"/>
                <w:color w:val="000000"/>
                <w:sz w:val="20"/>
                <w:szCs w:val="20"/>
              </w:rPr>
              <w:t>MARCA: IMPLEAGRICA MODELO : HLS</w:t>
            </w:r>
          </w:p>
        </w:tc>
        <w:tc>
          <w:tcPr>
            <w:tcW w:type="dxa" w:w="5113"/>
            <w:tcBorders>
              <w:top w:color="000000" w:space="0" w:sz="4" w:val="single"/>
              <w:left w:color="000000" w:space="0" w:sz="4" w:val="single"/>
              <w:bottom w:color="000000" w:space="0" w:sz="4" w:val="single"/>
              <w:right w:color="000000" w:space="0" w:sz="4" w:val="single"/>
            </w:tcBorders>
            <w:shd w:fill="FFFFFF" w:val="clear"/>
            <w:tcMar>
              <w:top w:type="dxa" w:w="0"/>
              <w:left w:type="dxa" w:w="108"/>
              <w:bottom w:type="dxa" w:w="0"/>
              <w:right w:type="dxa" w:w="108"/>
            </w:tcMar>
          </w:tcPr>
          <w:p>
            <w:pPr>
              <w:pStyle w:val="style197"/>
              <w:spacing w:after="0" w:before="0"/>
              <w:jc w:val="both"/>
            </w:pPr>
            <w:r>
              <w:rPr>
                <w:rStyle w:val="style168"/>
                <w:rFonts w:ascii="Arial" w:cs="Arial" w:hAnsi="Arial"/>
                <w:color w:val="000000"/>
                <w:sz w:val="18"/>
                <w:szCs w:val="20"/>
              </w:rPr>
              <w:t>SERIAL MOTOR: 1023, PESO APROXIMADO 300 KG. GRADO DE OXIDACIÓN 3.</w:t>
            </w:r>
          </w:p>
        </w:tc>
      </w:tr>
      <w:tr>
        <w:trPr>
          <w:cantSplit w:val="false"/>
        </w:trPr>
        <w:tc>
          <w:tcPr>
            <w:tcW w:type="dxa" w:w="675"/>
            <w:tcBorders>
              <w:top w:color="000000" w:space="0" w:sz="4" w:val="single"/>
              <w:left w:color="000000" w:space="0" w:sz="4" w:val="single"/>
              <w:bottom w:color="000000" w:space="0" w:sz="4" w:val="single"/>
            </w:tcBorders>
            <w:shd w:fill="FFFFFF" w:val="clear"/>
            <w:tcMar>
              <w:top w:type="dxa" w:w="0"/>
              <w:left w:type="dxa" w:w="108"/>
              <w:bottom w:type="dxa" w:w="0"/>
              <w:right w:type="dxa" w:w="108"/>
            </w:tcMar>
          </w:tcPr>
          <w:p>
            <w:pPr>
              <w:pStyle w:val="style197"/>
              <w:spacing w:after="0" w:before="0" w:line="360" w:lineRule="auto"/>
              <w:jc w:val="center"/>
            </w:pPr>
            <w:r>
              <w:rPr>
                <w:rStyle w:val="style168"/>
                <w:rFonts w:ascii="Arial" w:cs="Arial" w:hAnsi="Arial"/>
                <w:color w:val="000000"/>
                <w:sz w:val="20"/>
                <w:szCs w:val="20"/>
              </w:rPr>
              <w:t>16</w:t>
            </w:r>
          </w:p>
        </w:tc>
        <w:tc>
          <w:tcPr>
            <w:tcW w:type="dxa" w:w="3261"/>
            <w:tcBorders>
              <w:top w:color="000000" w:space="0" w:sz="4" w:val="single"/>
              <w:left w:color="000000" w:space="0" w:sz="4" w:val="single"/>
              <w:bottom w:color="000000" w:space="0" w:sz="4" w:val="single"/>
            </w:tcBorders>
            <w:shd w:fill="FFFFFF" w:val="clear"/>
            <w:tcMar>
              <w:top w:type="dxa" w:w="0"/>
              <w:left w:type="dxa" w:w="108"/>
              <w:bottom w:type="dxa" w:w="0"/>
              <w:right w:type="dxa" w:w="108"/>
            </w:tcMar>
          </w:tcPr>
          <w:p>
            <w:pPr>
              <w:pStyle w:val="style197"/>
              <w:spacing w:after="0" w:before="0"/>
              <w:jc w:val="both"/>
            </w:pPr>
            <w:r>
              <w:rPr>
                <w:rStyle w:val="style168"/>
                <w:rFonts w:ascii="Arial" w:cs="Arial" w:hAnsi="Arial"/>
                <w:color w:val="000000"/>
                <w:sz w:val="20"/>
                <w:szCs w:val="20"/>
              </w:rPr>
              <w:t>RESTOS DEL SINFÍN Y TOLVA DE COSECHADORA</w:t>
            </w:r>
          </w:p>
        </w:tc>
        <w:tc>
          <w:tcPr>
            <w:tcW w:type="dxa" w:w="2409"/>
            <w:tcBorders>
              <w:top w:color="000000" w:space="0" w:sz="4" w:val="single"/>
              <w:left w:color="000000" w:space="0" w:sz="4" w:val="single"/>
              <w:bottom w:color="000000" w:space="0" w:sz="4" w:val="single"/>
            </w:tcBorders>
            <w:shd w:fill="FFFFFF" w:val="clear"/>
            <w:tcMar>
              <w:top w:type="dxa" w:w="0"/>
              <w:left w:type="dxa" w:w="108"/>
              <w:bottom w:type="dxa" w:w="0"/>
              <w:right w:type="dxa" w:w="108"/>
            </w:tcMar>
          </w:tcPr>
          <w:p>
            <w:pPr>
              <w:pStyle w:val="style197"/>
              <w:spacing w:after="0" w:before="0"/>
              <w:jc w:val="both"/>
            </w:pPr>
            <w:r>
              <w:rPr>
                <w:rStyle w:val="style168"/>
                <w:rFonts w:ascii="Arial" w:cs="Arial" w:hAnsi="Arial"/>
                <w:color w:val="000000"/>
                <w:sz w:val="20"/>
                <w:szCs w:val="20"/>
              </w:rPr>
              <w:t>S/M, S/M, S/S</w:t>
            </w:r>
          </w:p>
        </w:tc>
        <w:tc>
          <w:tcPr>
            <w:tcW w:type="dxa" w:w="5113"/>
            <w:tcBorders>
              <w:top w:color="000000" w:space="0" w:sz="4" w:val="single"/>
              <w:left w:color="000000" w:space="0" w:sz="4" w:val="single"/>
              <w:bottom w:color="000000" w:space="0" w:sz="4" w:val="single"/>
              <w:right w:color="000000" w:space="0" w:sz="4" w:val="single"/>
            </w:tcBorders>
            <w:shd w:fill="FFFFFF" w:val="clear"/>
            <w:tcMar>
              <w:top w:type="dxa" w:w="0"/>
              <w:left w:type="dxa" w:w="108"/>
              <w:bottom w:type="dxa" w:w="0"/>
              <w:right w:type="dxa" w:w="108"/>
            </w:tcMar>
          </w:tcPr>
          <w:p>
            <w:pPr>
              <w:pStyle w:val="style197"/>
              <w:spacing w:after="0" w:before="0"/>
              <w:jc w:val="both"/>
            </w:pPr>
            <w:r>
              <w:rPr>
                <w:rStyle w:val="style168"/>
                <w:rFonts w:ascii="Arial" w:cs="Arial" w:hAnsi="Arial"/>
                <w:color w:val="000000"/>
                <w:sz w:val="18"/>
                <w:szCs w:val="20"/>
              </w:rPr>
              <w:t>PESO APROX. 400 KG. GRADO DE OXIDACIÓN 2.</w:t>
            </w:r>
          </w:p>
        </w:tc>
      </w:tr>
    </w:tbl>
    <w:p>
      <w:pPr>
        <w:sectPr>
          <w:headerReference r:id="rId56" w:type="default"/>
          <w:footerReference r:id="rId57" w:type="default"/>
          <w:type w:val="nextPage"/>
          <w:pgSz w:h="12240" w:orient="landscape" w:w="15840"/>
          <w:pgMar w:bottom="1701" w:footer="709" w:gutter="0" w:header="709" w:left="2268" w:right="1701" w:top="2268"/>
          <w:pgNumType w:fmt="decimal"/>
          <w:formProt w:val="false"/>
          <w:textDirection w:val="lrTb"/>
          <w:docGrid w:charSpace="0" w:linePitch="360" w:type="default"/>
        </w:sectPr>
        <w:pStyle w:val="style199"/>
        <w:autoSpaceDE w:val="false"/>
        <w:spacing w:line="360" w:lineRule="auto"/>
        <w:ind w:hanging="0" w:left="0" w:right="0"/>
        <w:jc w:val="both"/>
      </w:pPr>
      <w:r>
        <w:rPr>
          <w:rStyle w:val="style168"/>
          <w:rFonts w:ascii="Arial" w:cs="Arial" w:hAnsi="Arial"/>
          <w:color w:val="000000"/>
          <w:sz w:val="20"/>
          <w:szCs w:val="20"/>
        </w:rPr>
        <w:t>Fuente: Tirado (2011) adaptado por Mendoza (2015)</w:t>
      </w:r>
      <w:r>
        <w:rPr>
          <w:rStyle w:val="style168"/>
          <w:rFonts w:ascii="Arial" w:cs="Arial" w:hAnsi="Arial"/>
          <w:color w:val="000000"/>
        </w:rPr>
        <w:tab/>
      </w:r>
    </w:p>
    <w:p>
      <w:pPr>
        <w:pStyle w:val="style199"/>
        <w:autoSpaceDE w:val="false"/>
        <w:spacing w:line="360" w:lineRule="auto"/>
        <w:ind w:hanging="0" w:left="0" w:right="0"/>
        <w:jc w:val="both"/>
      </w:pPr>
      <w:r>
        <w:rPr>
          <w:rFonts w:ascii="Arial" w:cs="Arial" w:hAnsi="Arial"/>
          <w:b/>
          <w:bCs/>
          <w:i/>
          <w:color w:val="000000"/>
        </w:rPr>
        <w:t xml:space="preserve">Describir los procedimientos para la desincorporación de los </w:t>
      </w:r>
      <w:r>
        <w:rPr>
          <w:rFonts w:ascii="Arial" w:cs="Arial" w:hAnsi="Arial"/>
          <w:b/>
          <w:i/>
          <w:color w:val="000000"/>
          <w:lang w:val="es-VE"/>
        </w:rPr>
        <w:t>los bienes nacionales</w:t>
      </w:r>
      <w:r>
        <w:rPr>
          <w:rFonts w:ascii="Arial" w:cs="Arial" w:hAnsi="Arial"/>
          <w:b/>
          <w:bCs/>
          <w:i/>
          <w:color w:val="000000"/>
        </w:rPr>
        <w:t xml:space="preserve"> en Etapa de Deterioro, </w:t>
      </w:r>
      <w:r>
        <w:rPr>
          <w:rFonts w:ascii="Arial" w:cs="Arial" w:hAnsi="Arial"/>
          <w:b/>
          <w:i/>
          <w:color w:val="000000"/>
        </w:rPr>
        <w:t xml:space="preserve">Obsolescencia y  Corrosión </w:t>
      </w:r>
      <w:r>
        <w:rPr>
          <w:rFonts w:ascii="Arial" w:cs="Arial" w:hAnsi="Arial"/>
          <w:b/>
          <w:bCs/>
          <w:i/>
          <w:color w:val="000000"/>
        </w:rPr>
        <w:t>del Instituto Universitario de Tecnología de Estado Yaracuy a través de la enajenación, permuta o donación</w:t>
      </w:r>
      <w:r>
        <w:rPr>
          <w:rFonts w:ascii="Arial" w:cs="Arial" w:hAnsi="Arial"/>
          <w:bCs/>
          <w:color w:val="000000"/>
        </w:rPr>
        <w:t>.</w:t>
      </w:r>
    </w:p>
    <w:p>
      <w:pPr>
        <w:pStyle w:val="style199"/>
        <w:autoSpaceDE w:val="false"/>
        <w:spacing w:line="360" w:lineRule="auto"/>
        <w:ind w:hanging="0" w:left="360" w:right="0"/>
        <w:jc w:val="both"/>
      </w:pPr>
      <w:r>
        <w:rPr/>
      </w:r>
    </w:p>
    <w:p>
      <w:pPr>
        <w:pStyle w:val="style199"/>
        <w:autoSpaceDE w:val="false"/>
        <w:spacing w:line="360" w:lineRule="auto"/>
        <w:ind w:hanging="0" w:left="0" w:right="0"/>
        <w:jc w:val="both"/>
      </w:pPr>
      <w:r>
        <w:rPr>
          <w:rStyle w:val="style168"/>
          <w:rFonts w:ascii="Arial" w:cs="Arial" w:hAnsi="Arial"/>
          <w:color w:val="000000"/>
        </w:rPr>
        <w:tab/>
      </w:r>
      <w:r>
        <w:rPr>
          <w:rStyle w:val="style168"/>
          <w:rFonts w:ascii="Arial" w:cs="Arial" w:hAnsi="Arial"/>
          <w:color w:val="000000"/>
          <w:sz w:val="24"/>
        </w:rPr>
        <w:t xml:space="preserve">Con respecto a los procedimientos a seguir para realizar la desincorporación los Bienes Nacionales en etapa de Deterioro, Obsolescencia y Corrosión del IUTY  se toma en consideración lo que establece el </w:t>
      </w:r>
      <w:r>
        <w:rPr>
          <w:rFonts w:ascii="Arial" w:cs="Arial" w:hAnsi="Arial"/>
          <w:color w:val="000000"/>
          <w:sz w:val="24"/>
        </w:rPr>
        <w:t>Decreto con Rango, Valor y Fuerza de Ley Orgánica de Bienes Públicos</w:t>
      </w:r>
      <w:r>
        <w:rPr>
          <w:rStyle w:val="style168"/>
          <w:rFonts w:ascii="Arial" w:cs="Arial" w:hAnsi="Arial"/>
          <w:color w:val="000000"/>
          <w:sz w:val="24"/>
        </w:rPr>
        <w:t xml:space="preserve">  en los artículos 73 al 84  y  en segundo lugar lo establecidos en las providencias administrativas n º 002 y 003/2012, con respecto al l Manual de Normas y Procedimientos para el Registro y Control de Bienes Nacionales de los Institutos y Colegios Universitarios el mismo esta desactualizado por la entrada en vigencia de la Ley antes citada</w:t>
      </w:r>
      <w:r>
        <w:rPr>
          <w:rStyle w:val="style168"/>
          <w:rFonts w:ascii="Arial" w:cs="Arial" w:hAnsi="Arial"/>
          <w:color w:val="000000"/>
        </w:rPr>
        <w:t>.</w:t>
      </w:r>
    </w:p>
    <w:p>
      <w:pPr>
        <w:pStyle w:val="style196"/>
        <w:ind w:hanging="0" w:left="357" w:right="0"/>
        <w:jc w:val="both"/>
      </w:pPr>
      <w:r>
        <w:rPr/>
      </w:r>
    </w:p>
    <w:p>
      <w:pPr>
        <w:pStyle w:val="style196"/>
        <w:numPr>
          <w:ilvl w:val="0"/>
          <w:numId w:val="2"/>
        </w:numPr>
        <w:spacing w:line="360" w:lineRule="auto"/>
        <w:jc w:val="both"/>
      </w:pPr>
      <w:r>
        <w:rPr>
          <w:rFonts w:ascii="Arial" w:cs="Arial" w:hAnsi="Arial"/>
          <w:color w:val="000000"/>
          <w:sz w:val="24"/>
          <w:szCs w:val="24"/>
        </w:rPr>
        <w:t>Para la   Desincorporación y Enajenación de Bienes los entes y organismos del sector público están el  Obligación de enajenar,  por lo tanto los órganos y entes del Sector Público deberán enajenar los bienes públicos de su propiedad que no fueren necesarios para el cumplimiento de sus finalidades y los que hubiesen sido desincorporados por obsolescencia o deterioro, conforme a los términos establecidos Ley.</w:t>
      </w:r>
    </w:p>
    <w:p>
      <w:pPr>
        <w:pStyle w:val="style196"/>
        <w:ind w:hanging="0" w:left="357" w:right="0"/>
        <w:jc w:val="both"/>
      </w:pPr>
      <w:r>
        <w:rPr>
          <w:rFonts w:ascii="Arial" w:cs="Arial" w:hAnsi="Arial"/>
          <w:color w:val="000000"/>
          <w:sz w:val="24"/>
          <w:szCs w:val="24"/>
        </w:rPr>
      </w:r>
    </w:p>
    <w:p>
      <w:pPr>
        <w:pStyle w:val="style196"/>
        <w:numPr>
          <w:ilvl w:val="0"/>
          <w:numId w:val="2"/>
        </w:numPr>
        <w:spacing w:line="360" w:lineRule="auto"/>
        <w:jc w:val="both"/>
      </w:pPr>
      <w:r>
        <w:rPr>
          <w:rFonts w:ascii="Arial" w:cs="Arial" w:hAnsi="Arial"/>
          <w:color w:val="000000"/>
          <w:sz w:val="24"/>
          <w:szCs w:val="24"/>
        </w:rPr>
        <w:t xml:space="preserve">Esto no es  aplicables a los bienes y productos adquiridos, fabricados u obtenidos por el Sector Público con destino a la venta, donación o al suministro. </w:t>
      </w:r>
    </w:p>
    <w:p>
      <w:pPr>
        <w:pStyle w:val="style196"/>
        <w:ind w:hanging="0" w:left="357" w:right="0"/>
        <w:jc w:val="both"/>
      </w:pPr>
      <w:r>
        <w:rPr>
          <w:rFonts w:ascii="Arial" w:cs="Arial" w:hAnsi="Arial"/>
          <w:color w:val="000000"/>
          <w:sz w:val="24"/>
          <w:szCs w:val="24"/>
        </w:rPr>
      </w:r>
    </w:p>
    <w:p>
      <w:pPr>
        <w:pStyle w:val="style196"/>
        <w:numPr>
          <w:ilvl w:val="0"/>
          <w:numId w:val="2"/>
        </w:numPr>
        <w:spacing w:line="360" w:lineRule="auto"/>
        <w:jc w:val="both"/>
      </w:pPr>
      <w:r>
        <w:rPr>
          <w:rFonts w:ascii="Arial" w:cs="Arial" w:hAnsi="Arial"/>
          <w:color w:val="000000"/>
          <w:sz w:val="24"/>
          <w:szCs w:val="24"/>
        </w:rPr>
        <w:t>Por tal motivo  se considera Pérdida, deterioro u obsolescencia de bienes lo señalado a continuación: cuando un Bien Público sufra pérdida o deterioro que imposibilite de manera permanente su utilidad, deberá ser desincorporado del inventario de Bienes Públicos del respectivo ente u organismo, previa autorización de la Comisión de Enajenación de Bienes Públicos. Igualmente este   procedimiento se aplicará en los casos de bienes que no sean susceptibles de reparación, a los cuales se les dará la condición de obsolescencia y los que resultaren inservibles por haber sido modificados o alterados para recuperar o poner en funcionamiento otros bienes.</w:t>
      </w:r>
    </w:p>
    <w:p>
      <w:pPr>
        <w:pStyle w:val="style196"/>
        <w:ind w:hanging="0" w:left="357" w:right="0"/>
        <w:jc w:val="both"/>
      </w:pPr>
      <w:r>
        <w:rPr>
          <w:rFonts w:ascii="Arial" w:cs="Arial" w:hAnsi="Arial"/>
          <w:color w:val="000000"/>
          <w:sz w:val="24"/>
          <w:szCs w:val="24"/>
        </w:rPr>
      </w:r>
    </w:p>
    <w:p>
      <w:pPr>
        <w:pStyle w:val="style196"/>
        <w:numPr>
          <w:ilvl w:val="0"/>
          <w:numId w:val="2"/>
        </w:numPr>
        <w:spacing w:line="360" w:lineRule="auto"/>
        <w:jc w:val="both"/>
      </w:pPr>
      <w:r>
        <w:rPr>
          <w:rFonts w:ascii="Arial" w:cs="Arial" w:hAnsi="Arial"/>
          <w:color w:val="000000"/>
          <w:sz w:val="24"/>
          <w:szCs w:val="24"/>
          <w:shd w:fill="FFFFFF" w:val="clear"/>
        </w:rPr>
        <w:t>La enajenación de los bienes regulados por el Decreto Ley Orgánica de Bienes Públicos, podrá efectuarse a través de las siguientes modalidades: Venta, Permuta, Aporte del bien al capital social de sociedades mercantiles del Estado,  Donación y otros tipos de operaciones legalmente permitidas</w:t>
      </w:r>
      <w:r>
        <w:rPr>
          <w:rFonts w:ascii="Arial" w:cs="Arial" w:hAnsi="Arial"/>
          <w:color w:val="000000"/>
          <w:sz w:val="24"/>
          <w:szCs w:val="24"/>
        </w:rPr>
        <w:t>:</w:t>
      </w:r>
    </w:p>
    <w:p>
      <w:pPr>
        <w:pStyle w:val="style196"/>
        <w:ind w:hanging="0" w:left="357" w:right="0"/>
        <w:jc w:val="both"/>
      </w:pPr>
      <w:r>
        <w:rPr>
          <w:rFonts w:ascii="Arial" w:cs="Arial" w:eastAsia="Arial" w:hAnsi="Arial"/>
          <w:color w:val="000000"/>
          <w:sz w:val="24"/>
          <w:szCs w:val="24"/>
        </w:rPr>
        <w:t xml:space="preserve">  </w:t>
      </w:r>
    </w:p>
    <w:p>
      <w:pPr>
        <w:pStyle w:val="style196"/>
        <w:numPr>
          <w:ilvl w:val="0"/>
          <w:numId w:val="2"/>
        </w:numPr>
        <w:spacing w:line="360" w:lineRule="auto"/>
        <w:jc w:val="both"/>
      </w:pPr>
      <w:r>
        <w:rPr>
          <w:rFonts w:ascii="Arial" w:cs="Arial" w:hAnsi="Arial"/>
          <w:color w:val="000000"/>
          <w:sz w:val="24"/>
          <w:szCs w:val="24"/>
        </w:rPr>
        <w:t>La enajenación de Bienes Públicos deberá realizarse conforme a las normas y procedimientos que establezcan la presente Ley, su Reglamento y las disposiciones que a tal efecto dicte la Superintendencia de Bienes Públicos.</w:t>
      </w:r>
    </w:p>
    <w:p>
      <w:pPr>
        <w:pStyle w:val="style196"/>
        <w:ind w:hanging="0" w:left="357" w:right="0"/>
        <w:jc w:val="both"/>
      </w:pPr>
      <w:r>
        <w:rPr>
          <w:rFonts w:ascii="Arial" w:cs="Arial" w:hAnsi="Arial"/>
          <w:color w:val="000000"/>
          <w:sz w:val="24"/>
          <w:szCs w:val="24"/>
        </w:rPr>
      </w:r>
    </w:p>
    <w:p>
      <w:pPr>
        <w:pStyle w:val="style196"/>
        <w:numPr>
          <w:ilvl w:val="0"/>
          <w:numId w:val="2"/>
        </w:numPr>
        <w:spacing w:line="360" w:lineRule="auto"/>
        <w:jc w:val="both"/>
      </w:pPr>
      <w:r>
        <w:rPr>
          <w:rFonts w:ascii="Arial" w:cs="Arial" w:hAnsi="Arial"/>
          <w:color w:val="000000"/>
          <w:sz w:val="24"/>
          <w:szCs w:val="24"/>
        </w:rPr>
        <w:t xml:space="preserve">Para realizar la desincorporación o enajenación se debe contar con  los   Peritos  que   realizaran los avalúos de los Bienes Públicos, de reconocida capacidad e idoneidad técnica, de acuerdo con su profesión y conocimientos prácticos en la materia objeto del avalúo y debidamente inscritos en el Registro de Peritos de la Superintendencia de Bienes Públicos. </w:t>
      </w:r>
    </w:p>
    <w:p>
      <w:pPr>
        <w:pStyle w:val="style196"/>
        <w:ind w:hanging="0" w:left="357" w:right="0"/>
        <w:jc w:val="both"/>
      </w:pPr>
      <w:r>
        <w:rPr>
          <w:rFonts w:ascii="Arial" w:cs="Arial" w:hAnsi="Arial"/>
          <w:color w:val="000000"/>
          <w:sz w:val="24"/>
          <w:szCs w:val="24"/>
        </w:rPr>
      </w:r>
    </w:p>
    <w:p>
      <w:pPr>
        <w:pStyle w:val="style196"/>
        <w:numPr>
          <w:ilvl w:val="0"/>
          <w:numId w:val="2"/>
        </w:numPr>
        <w:spacing w:line="360" w:lineRule="auto"/>
        <w:jc w:val="both"/>
      </w:pPr>
      <w:r>
        <w:rPr>
          <w:rFonts w:ascii="Arial" w:cs="Arial" w:hAnsi="Arial"/>
          <w:color w:val="000000"/>
          <w:sz w:val="24"/>
          <w:szCs w:val="24"/>
        </w:rPr>
        <w:t xml:space="preserve">Sobre la base de la Fijación del precio para la enajenación de los bienes propiedad del Sector Público Nacional, será determinado por la Comisión de Enajenación de Bienes Públicos, con base en los avalúos presentados y cualquier otro criterio válido a juicio de la comisión. </w:t>
      </w:r>
    </w:p>
    <w:p>
      <w:pPr>
        <w:pStyle w:val="style196"/>
        <w:ind w:hanging="0" w:left="357" w:right="0"/>
        <w:jc w:val="both"/>
      </w:pPr>
      <w:r>
        <w:rPr>
          <w:rFonts w:ascii="Arial" w:cs="Arial" w:hAnsi="Arial"/>
          <w:color w:val="000000"/>
          <w:sz w:val="24"/>
          <w:szCs w:val="24"/>
        </w:rPr>
      </w:r>
    </w:p>
    <w:p>
      <w:pPr>
        <w:pStyle w:val="style196"/>
        <w:numPr>
          <w:ilvl w:val="0"/>
          <w:numId w:val="2"/>
        </w:numPr>
        <w:spacing w:line="360" w:lineRule="auto"/>
        <w:jc w:val="both"/>
      </w:pPr>
      <w:r>
        <w:rPr>
          <w:rFonts w:ascii="Arial" w:cs="Arial" w:hAnsi="Arial"/>
          <w:color w:val="000000"/>
          <w:sz w:val="24"/>
          <w:szCs w:val="24"/>
        </w:rPr>
        <w:t xml:space="preserve">Asimismo, la  enajenación de Bienes Públicos bajo la modalidad de venta o permuta, se hará mediante proceso de Oferta Pública y preferentemente por lotes, pudiéndose realizar enajenaciones por unidades en razón de las características particulares de los bienes, avaladas a través de acto motivado suscrito por la máxima autoridad del órgano y ente del Sector Público, la creación y conformación del  respectivo Comité de Licitaciones, el cual deberá ser publicado en Gaceta oficial y Notificado a la Superintendencia de Bienes Públicos. </w:t>
      </w:r>
    </w:p>
    <w:p>
      <w:pPr>
        <w:pStyle w:val="style196"/>
        <w:ind w:hanging="0" w:left="357" w:right="0"/>
        <w:jc w:val="both"/>
      </w:pPr>
      <w:r>
        <w:rPr>
          <w:rFonts w:ascii="Arial" w:cs="Arial" w:hAnsi="Arial"/>
          <w:color w:val="000000"/>
          <w:sz w:val="24"/>
          <w:szCs w:val="24"/>
        </w:rPr>
      </w:r>
    </w:p>
    <w:p>
      <w:pPr>
        <w:pStyle w:val="style196"/>
        <w:numPr>
          <w:ilvl w:val="0"/>
          <w:numId w:val="2"/>
        </w:numPr>
        <w:spacing w:line="360" w:lineRule="auto"/>
        <w:jc w:val="both"/>
      </w:pPr>
      <w:r>
        <w:rPr>
          <w:rFonts w:ascii="Arial" w:cs="Arial" w:hAnsi="Arial"/>
          <w:color w:val="000000"/>
          <w:sz w:val="24"/>
          <w:szCs w:val="20"/>
          <w:shd w:fill="FFFFFF" w:val="clear"/>
        </w:rPr>
        <w:t>El comité estará integrado por un número impar de miembros principales y sus respectivos suplentes, de calificada competencia profesional y reconocida honestidad, designados de forma temporal o permanente, preferentemente entre los empleados o funcionarios del órgano o ente enajenante, quienes serán solidariamente responsables con la máxima autoridad por las recomendaciones que presenten y sean aprobadas. Igualmente se designará un secretario con derecho a voz, mas no a voto</w:t>
      </w:r>
    </w:p>
    <w:p>
      <w:pPr>
        <w:pStyle w:val="style196"/>
        <w:ind w:hanging="0" w:left="357" w:right="0"/>
        <w:jc w:val="both"/>
      </w:pPr>
      <w:r>
        <w:rPr>
          <w:rFonts w:ascii="Arial" w:cs="Arial" w:hAnsi="Arial"/>
          <w:color w:val="000000"/>
          <w:sz w:val="24"/>
          <w:szCs w:val="20"/>
          <w:shd w:fill="FFFFFF" w:val="clear"/>
        </w:rPr>
      </w:r>
    </w:p>
    <w:p>
      <w:pPr>
        <w:pStyle w:val="style0"/>
        <w:numPr>
          <w:ilvl w:val="0"/>
          <w:numId w:val="2"/>
        </w:numPr>
        <w:shd w:fill="FFFFFF" w:val="clear"/>
        <w:spacing w:after="0" w:before="0" w:line="360" w:lineRule="auto"/>
        <w:jc w:val="both"/>
      </w:pPr>
      <w:r>
        <w:rPr>
          <w:rFonts w:ascii="Arial" w:cs="Arial" w:hAnsi="Arial"/>
          <w:color w:val="000000"/>
          <w:sz w:val="24"/>
          <w:szCs w:val="24"/>
        </w:rPr>
        <w:t>En el Comité de Licitaciones deberá estar conformado por:  áreas jurídica, técnica y económica financiera, están entre sus atribuciones las siguientes:</w:t>
      </w:r>
    </w:p>
    <w:p>
      <w:pPr>
        <w:pStyle w:val="style0"/>
        <w:numPr>
          <w:ilvl w:val="0"/>
          <w:numId w:val="29"/>
        </w:numPr>
        <w:shd w:fill="FFFFFF" w:val="clear"/>
        <w:spacing w:after="0" w:before="0" w:line="360" w:lineRule="auto"/>
        <w:jc w:val="both"/>
      </w:pPr>
      <w:r>
        <w:rPr>
          <w:rFonts w:ascii="Arial" w:cs="Arial" w:hAnsi="Arial"/>
          <w:color w:val="000000"/>
          <w:sz w:val="24"/>
          <w:szCs w:val="24"/>
        </w:rPr>
        <w:t>Recibir, abrir, analizar, directa o indirectamente a través de un grupo evaluador interdisciplinario, los documentos relativos a la calificación de los oferentes; examinar, evaluar y comparar las ofertas recibidas, a cuyo efecto podrá designar grupos de evaluación interdisciplinarios o recomendar la contratación de asesoría externa especializada.</w:t>
      </w:r>
    </w:p>
    <w:p>
      <w:pPr>
        <w:pStyle w:val="style0"/>
        <w:numPr>
          <w:ilvl w:val="0"/>
          <w:numId w:val="29"/>
        </w:numPr>
        <w:shd w:fill="FFFFFF" w:val="clear"/>
        <w:spacing w:after="0" w:before="0" w:line="360" w:lineRule="auto"/>
        <w:jc w:val="both"/>
      </w:pPr>
      <w:r>
        <w:rPr>
          <w:rFonts w:ascii="Arial" w:cs="Arial" w:hAnsi="Arial"/>
          <w:color w:val="000000"/>
          <w:sz w:val="24"/>
          <w:szCs w:val="24"/>
        </w:rPr>
        <w:t>Solicitar a la máxima autoridad del órgano o ente enajenante, la designación del sustituto, cuando se produzca la falta absoluta de algún miembro principal o suplente del comité.</w:t>
      </w:r>
    </w:p>
    <w:p>
      <w:pPr>
        <w:pStyle w:val="style0"/>
        <w:numPr>
          <w:ilvl w:val="0"/>
          <w:numId w:val="29"/>
        </w:numPr>
        <w:shd w:fill="FFFFFF" w:val="clear"/>
        <w:spacing w:after="0" w:before="0" w:line="360" w:lineRule="auto"/>
        <w:jc w:val="both"/>
      </w:pPr>
      <w:r>
        <w:rPr>
          <w:rFonts w:ascii="Arial" w:cs="Arial" w:hAnsi="Arial"/>
          <w:color w:val="000000"/>
          <w:sz w:val="24"/>
          <w:szCs w:val="24"/>
        </w:rPr>
        <w:t>Velar porque los procedimientos de enajenación se realicen de conformidad con lo establecido en la legislación que rige la materia y con la normativa interna del órgano o ente enajenante. 5.- Considerar y emitir recomendación sobre el régimen legal aplicable, parámetros, ponderaciones y criterios de selección de oferentes y evaluación de ofertas.</w:t>
      </w:r>
    </w:p>
    <w:p>
      <w:pPr>
        <w:pStyle w:val="style0"/>
        <w:shd w:fill="FFFFFF" w:val="clear"/>
        <w:spacing w:after="0" w:before="0" w:line="240" w:lineRule="auto"/>
        <w:ind w:hanging="0" w:left="720" w:right="0"/>
        <w:jc w:val="both"/>
      </w:pPr>
      <w:r>
        <w:rPr>
          <w:rFonts w:ascii="Arial" w:cs="Arial" w:hAnsi="Arial"/>
          <w:color w:val="000000"/>
          <w:sz w:val="24"/>
          <w:szCs w:val="24"/>
        </w:rPr>
      </w:r>
    </w:p>
    <w:p>
      <w:pPr>
        <w:pStyle w:val="style0"/>
        <w:numPr>
          <w:ilvl w:val="0"/>
          <w:numId w:val="29"/>
        </w:numPr>
        <w:shd w:fill="FFFFFF" w:val="clear"/>
        <w:spacing w:after="0" w:before="0" w:line="360" w:lineRule="auto"/>
        <w:jc w:val="both"/>
      </w:pPr>
      <w:r>
        <w:rPr>
          <w:rFonts w:ascii="Arial" w:cs="Arial" w:hAnsi="Arial"/>
          <w:color w:val="000000"/>
          <w:sz w:val="24"/>
          <w:szCs w:val="24"/>
        </w:rPr>
        <w:t>Determinar, visto el informe del grupo evaluador, las ofertas que en forma integral resulten más favorables a los intereses del órgano o ente enajenante; todo ello de conformidad con los requisitos establecidos en el pliego de condiciones, emitiendo la recomendación consiguiente.</w:t>
      </w:r>
    </w:p>
    <w:p>
      <w:pPr>
        <w:pStyle w:val="style0"/>
        <w:shd w:fill="FFFFFF" w:val="clear"/>
        <w:spacing w:after="0" w:before="0" w:line="240" w:lineRule="auto"/>
        <w:ind w:hanging="0" w:left="357" w:right="0"/>
        <w:jc w:val="both"/>
      </w:pPr>
      <w:r>
        <w:rPr>
          <w:rFonts w:ascii="Arial" w:cs="Arial" w:hAnsi="Arial"/>
          <w:color w:val="000000"/>
          <w:sz w:val="24"/>
          <w:szCs w:val="24"/>
        </w:rPr>
      </w:r>
    </w:p>
    <w:p>
      <w:pPr>
        <w:pStyle w:val="style0"/>
        <w:numPr>
          <w:ilvl w:val="0"/>
          <w:numId w:val="2"/>
        </w:numPr>
        <w:shd w:fill="FFFFFF" w:val="clear"/>
        <w:spacing w:after="0" w:before="0" w:line="360" w:lineRule="auto"/>
        <w:jc w:val="both"/>
      </w:pPr>
      <w:r>
        <w:rPr>
          <w:rFonts w:ascii="Arial" w:cs="Arial" w:hAnsi="Arial"/>
          <w:color w:val="000000"/>
          <w:sz w:val="24"/>
          <w:szCs w:val="24"/>
        </w:rPr>
        <w:t>En cuanto a los procesos de enajenación de Bienes Públicos por oferta pública deberán tener lugar en un plazo no menor a 20 días hábiles y no mayor a 45 días hábiles, contados estos a partir de la fecha que registre el acto administrativo que aprueba la enajenación.</w:t>
      </w:r>
    </w:p>
    <w:p>
      <w:pPr>
        <w:pStyle w:val="style0"/>
        <w:shd w:fill="FFFFFF" w:val="clear"/>
        <w:spacing w:after="0" w:before="0" w:line="240" w:lineRule="auto"/>
        <w:ind w:hanging="0" w:left="357" w:right="0"/>
        <w:jc w:val="both"/>
      </w:pPr>
      <w:r>
        <w:rPr>
          <w:rFonts w:ascii="Arial" w:cs="Arial" w:hAnsi="Arial"/>
          <w:color w:val="000000"/>
          <w:sz w:val="24"/>
          <w:szCs w:val="24"/>
        </w:rPr>
      </w:r>
    </w:p>
    <w:p>
      <w:pPr>
        <w:pStyle w:val="style0"/>
        <w:numPr>
          <w:ilvl w:val="0"/>
          <w:numId w:val="2"/>
        </w:numPr>
        <w:shd w:fill="FFFFFF" w:val="clear"/>
        <w:spacing w:after="0" w:before="0" w:line="360" w:lineRule="auto"/>
        <w:jc w:val="both"/>
      </w:pPr>
      <w:r>
        <w:rPr>
          <w:rFonts w:ascii="Arial" w:cs="Arial" w:hAnsi="Arial"/>
          <w:color w:val="000000"/>
          <w:sz w:val="24"/>
          <w:szCs w:val="24"/>
        </w:rPr>
        <w:t>Dentro de este  lapso se estimarán las fechas y plazos para la publicación de los avisos, visitas guiadas y retiro del pliego de condiciones; aclaratorias y modificaciones, si las hubiere; recepción y apertura de ofertas y declaratoria de la Buena Pro, entre otros.</w:t>
      </w:r>
    </w:p>
    <w:p>
      <w:pPr>
        <w:pStyle w:val="style0"/>
        <w:shd w:fill="FFFFFF" w:val="clear"/>
        <w:spacing w:after="0" w:before="0" w:line="240" w:lineRule="auto"/>
        <w:ind w:hanging="0" w:left="357" w:right="0"/>
        <w:jc w:val="both"/>
      </w:pPr>
      <w:r>
        <w:rPr>
          <w:rFonts w:ascii="Arial" w:cs="Arial" w:hAnsi="Arial"/>
          <w:color w:val="000000"/>
          <w:sz w:val="24"/>
          <w:szCs w:val="24"/>
        </w:rPr>
      </w:r>
    </w:p>
    <w:p>
      <w:pPr>
        <w:pStyle w:val="style0"/>
        <w:numPr>
          <w:ilvl w:val="0"/>
          <w:numId w:val="2"/>
        </w:numPr>
        <w:shd w:fill="FFFFFF" w:val="clear"/>
        <w:spacing w:after="0" w:before="0" w:line="360" w:lineRule="auto"/>
        <w:jc w:val="both"/>
      </w:pPr>
      <w:r>
        <w:rPr>
          <w:rFonts w:ascii="Arial" w:cs="Arial" w:hAnsi="Arial"/>
          <w:color w:val="000000"/>
          <w:sz w:val="24"/>
          <w:szCs w:val="24"/>
        </w:rPr>
        <w:t>Para los procesos de enajenación de Bienes Públicos por Oferta Pública, el Comité de Licitaciones del órgano o ente que enajenará el bien publicará un aviso en dos diarios de comprobada circulación nacional, en el cual se indiquen: Las características del bien, el precio base fijado y las condiciones establecidas para la enajenación, el acto administrativo mediante el cual la Comisión de Enajenación de Bienes Públicos aprobó el acto, cuando corresponda y las fechas y plazos previstos para la realización de los distintos actos que tendrán lugar con motivo del proceso.</w:t>
      </w:r>
    </w:p>
    <w:p>
      <w:pPr>
        <w:pStyle w:val="style0"/>
        <w:shd w:fill="FFFFFF" w:val="clear"/>
        <w:spacing w:after="0" w:before="0" w:line="240" w:lineRule="auto"/>
        <w:ind w:hanging="0" w:left="357" w:right="0"/>
        <w:jc w:val="both"/>
      </w:pPr>
      <w:r>
        <w:rPr>
          <w:rFonts w:ascii="Arial" w:cs="Arial" w:hAnsi="Arial"/>
          <w:color w:val="000000"/>
          <w:sz w:val="24"/>
          <w:szCs w:val="24"/>
        </w:rPr>
      </w:r>
    </w:p>
    <w:p>
      <w:pPr>
        <w:pStyle w:val="style0"/>
        <w:numPr>
          <w:ilvl w:val="0"/>
          <w:numId w:val="2"/>
        </w:numPr>
        <w:shd w:fill="FFFFFF" w:val="clear"/>
        <w:spacing w:after="0" w:before="0" w:line="360" w:lineRule="auto"/>
        <w:jc w:val="both"/>
      </w:pPr>
      <w:r>
        <w:rPr>
          <w:rFonts w:ascii="Arial" w:cs="Arial" w:hAnsi="Arial"/>
          <w:color w:val="000000"/>
          <w:sz w:val="24"/>
          <w:szCs w:val="24"/>
        </w:rPr>
        <w:t>Una de las publicaciones podrá ser sustituida por una publicación en un medio digital, a tenor de lo dispuesto en la ley que regula la materia sobre mensajes de datos y firmas electrónicas.</w:t>
      </w:r>
    </w:p>
    <w:p>
      <w:pPr>
        <w:pStyle w:val="style0"/>
        <w:shd w:fill="FFFFFF" w:val="clear"/>
        <w:spacing w:after="0" w:before="0" w:line="240" w:lineRule="auto"/>
        <w:ind w:hanging="0" w:left="357" w:right="0"/>
        <w:jc w:val="both"/>
      </w:pPr>
      <w:r>
        <w:rPr>
          <w:rFonts w:ascii="Arial" w:cs="Arial" w:hAnsi="Arial"/>
          <w:color w:val="000000"/>
          <w:sz w:val="24"/>
          <w:szCs w:val="24"/>
        </w:rPr>
      </w:r>
    </w:p>
    <w:p>
      <w:pPr>
        <w:pStyle w:val="style0"/>
        <w:numPr>
          <w:ilvl w:val="0"/>
          <w:numId w:val="2"/>
        </w:numPr>
        <w:shd w:fill="FFFFFF" w:val="clear"/>
        <w:spacing w:after="0" w:before="0" w:line="360" w:lineRule="auto"/>
        <w:jc w:val="both"/>
      </w:pPr>
      <w:r>
        <w:rPr>
          <w:rFonts w:ascii="Arial" w:cs="Arial" w:hAnsi="Arial"/>
          <w:color w:val="000000"/>
          <w:sz w:val="24"/>
          <w:szCs w:val="24"/>
        </w:rPr>
        <w:t>En el aviso deberá indicarse además, el lugar, el día, la hora y el plazo para la presentación de Las ofertas, el cual se fijará tomando en cuenta la complejidad del acto y no podrá ser inferior a 3 días hábiles contados a partir de la fecha de publicación del aviso.</w:t>
      </w:r>
    </w:p>
    <w:p>
      <w:pPr>
        <w:pStyle w:val="style0"/>
        <w:shd w:fill="FFFFFF" w:val="clear"/>
        <w:spacing w:after="0" w:before="0" w:line="240" w:lineRule="auto"/>
        <w:ind w:hanging="0" w:left="357" w:right="0"/>
        <w:jc w:val="both"/>
      </w:pPr>
      <w:r>
        <w:rPr>
          <w:rFonts w:ascii="Arial" w:cs="Arial" w:hAnsi="Arial"/>
          <w:color w:val="000000"/>
          <w:sz w:val="24"/>
          <w:szCs w:val="24"/>
        </w:rPr>
      </w:r>
    </w:p>
    <w:p>
      <w:pPr>
        <w:pStyle w:val="style196"/>
        <w:numPr>
          <w:ilvl w:val="0"/>
          <w:numId w:val="2"/>
        </w:numPr>
        <w:spacing w:line="360" w:lineRule="auto"/>
        <w:jc w:val="both"/>
      </w:pPr>
      <w:r>
        <w:rPr>
          <w:rFonts w:ascii="Arial" w:cs="Arial" w:hAnsi="Arial"/>
          <w:color w:val="000000"/>
          <w:sz w:val="24"/>
          <w:szCs w:val="24"/>
        </w:rPr>
        <w:t>Si no se recibieren un mínimo de dos (02) ofertas dentro del plazo que se hubiere señalado, o las mismas no fueren válidas o satisfactorias a juicio del Comité de Licitaciones, podrá procederse a la publicación de un segundo aviso conforme a lo antes indicado.</w:t>
      </w:r>
    </w:p>
    <w:p>
      <w:pPr>
        <w:pStyle w:val="style196"/>
        <w:ind w:hanging="0" w:left="357" w:right="0"/>
        <w:jc w:val="both"/>
      </w:pPr>
      <w:r>
        <w:rPr>
          <w:rFonts w:ascii="Arial" w:cs="Arial" w:hAnsi="Arial"/>
          <w:color w:val="000000"/>
          <w:sz w:val="24"/>
          <w:szCs w:val="24"/>
        </w:rPr>
      </w:r>
    </w:p>
    <w:p>
      <w:pPr>
        <w:pStyle w:val="style196"/>
        <w:numPr>
          <w:ilvl w:val="0"/>
          <w:numId w:val="2"/>
        </w:numPr>
        <w:spacing w:line="360" w:lineRule="auto"/>
        <w:jc w:val="both"/>
      </w:pPr>
      <w:r>
        <w:rPr>
          <w:rFonts w:ascii="Arial" w:cs="Arial" w:hAnsi="Arial"/>
          <w:color w:val="000000"/>
          <w:sz w:val="24"/>
          <w:szCs w:val="24"/>
        </w:rPr>
        <w:t xml:space="preserve">Los bienes se adjudicarán en propiedad a quien formule, a juicio del Comité de Licitación del ente u organismo la oferta más ventajosa, previo cumplimiento de las condiciones establecidas en los respectivos pliegos natatorios. </w:t>
      </w:r>
    </w:p>
    <w:p>
      <w:pPr>
        <w:pStyle w:val="style196"/>
        <w:ind w:hanging="0" w:left="357" w:right="0"/>
        <w:jc w:val="both"/>
      </w:pPr>
      <w:r>
        <w:rPr>
          <w:rFonts w:ascii="Arial" w:cs="Arial" w:hAnsi="Arial"/>
          <w:color w:val="000000"/>
          <w:sz w:val="24"/>
          <w:szCs w:val="24"/>
        </w:rPr>
      </w:r>
    </w:p>
    <w:p>
      <w:pPr>
        <w:pStyle w:val="style196"/>
        <w:numPr>
          <w:ilvl w:val="0"/>
          <w:numId w:val="2"/>
        </w:numPr>
        <w:spacing w:line="360" w:lineRule="auto"/>
        <w:jc w:val="both"/>
      </w:pPr>
      <w:r>
        <w:rPr>
          <w:rFonts w:ascii="Arial" w:cs="Arial" w:hAnsi="Arial"/>
          <w:color w:val="000000"/>
          <w:sz w:val="24"/>
          <w:szCs w:val="24"/>
        </w:rPr>
        <w:t xml:space="preserve">Si en las oportunidades fijadas no se recibieran ofertas en tiempo hábil o estas no fueren satisfactorias, el Comité de Licitaciones podrá autorizar la enajenación del bien por un precio distinto al ya fijado, debiéndose iniciar un nuevo proceso licitatorio. </w:t>
      </w:r>
    </w:p>
    <w:p>
      <w:pPr>
        <w:pStyle w:val="style196"/>
        <w:ind w:hanging="0" w:left="357" w:right="0"/>
        <w:jc w:val="both"/>
      </w:pPr>
      <w:r>
        <w:rPr>
          <w:rFonts w:ascii="Arial" w:cs="Arial" w:hAnsi="Arial"/>
          <w:color w:val="000000"/>
          <w:sz w:val="24"/>
          <w:szCs w:val="24"/>
        </w:rPr>
      </w:r>
    </w:p>
    <w:p>
      <w:pPr>
        <w:pStyle w:val="style196"/>
        <w:numPr>
          <w:ilvl w:val="0"/>
          <w:numId w:val="2"/>
        </w:numPr>
        <w:spacing w:line="360" w:lineRule="auto"/>
        <w:jc w:val="both"/>
      </w:pPr>
      <w:r>
        <w:rPr>
          <w:rFonts w:ascii="Arial" w:cs="Arial" w:hAnsi="Arial"/>
          <w:color w:val="000000"/>
          <w:sz w:val="24"/>
          <w:szCs w:val="24"/>
        </w:rPr>
        <w:t>En el proceso Licitatorio de enajenación de Bienes Públicos no  podrán participar, las personas que hayan sido declaradas en estado de atraso o quiebra o condenadas por delitos contra la propiedad o contra el Patrimonio Público, ni los deudores morosos de obligaciones fiscales o con instituciones financieras públicas.</w:t>
      </w:r>
    </w:p>
    <w:p>
      <w:pPr>
        <w:pStyle w:val="style196"/>
        <w:ind w:hanging="0" w:left="357" w:right="0"/>
        <w:jc w:val="both"/>
      </w:pPr>
      <w:r>
        <w:rPr>
          <w:rFonts w:ascii="Arial" w:cs="Arial" w:eastAsia="Arial" w:hAnsi="Arial"/>
          <w:color w:val="000000"/>
          <w:sz w:val="24"/>
          <w:szCs w:val="24"/>
        </w:rPr>
        <w:t xml:space="preserve"> </w:t>
      </w:r>
    </w:p>
    <w:p>
      <w:pPr>
        <w:pStyle w:val="style196"/>
        <w:numPr>
          <w:ilvl w:val="0"/>
          <w:numId w:val="2"/>
        </w:numPr>
        <w:spacing w:line="360" w:lineRule="auto"/>
        <w:jc w:val="both"/>
      </w:pPr>
      <w:r>
        <w:rPr>
          <w:rFonts w:ascii="Arial" w:cs="Arial" w:hAnsi="Arial"/>
          <w:color w:val="000000"/>
          <w:sz w:val="24"/>
          <w:szCs w:val="24"/>
        </w:rPr>
        <w:t>La Adjudicación directa de los bienes quedan exceptuadas del procedimiento de oferta pública las siguientes operaciones:</w:t>
      </w:r>
    </w:p>
    <w:p>
      <w:pPr>
        <w:pStyle w:val="style196"/>
        <w:numPr>
          <w:ilvl w:val="0"/>
          <w:numId w:val="7"/>
        </w:numPr>
        <w:spacing w:line="360" w:lineRule="auto"/>
        <w:jc w:val="both"/>
      </w:pPr>
      <w:r>
        <w:rPr>
          <w:rFonts w:ascii="Arial" w:cs="Arial" w:hAnsi="Arial"/>
          <w:color w:val="000000"/>
          <w:sz w:val="24"/>
          <w:szCs w:val="24"/>
        </w:rPr>
        <w:t xml:space="preserve">Las de venta o permuta de bienes cuyo adquiriente sea otro ente u órgano del Sector Público. </w:t>
      </w:r>
    </w:p>
    <w:p>
      <w:pPr>
        <w:pStyle w:val="style196"/>
        <w:ind w:hanging="0" w:left="720" w:right="0"/>
        <w:jc w:val="both"/>
      </w:pPr>
      <w:r>
        <w:rPr>
          <w:rFonts w:ascii="Arial" w:cs="Arial" w:hAnsi="Arial"/>
          <w:color w:val="000000"/>
          <w:sz w:val="24"/>
          <w:szCs w:val="24"/>
        </w:rPr>
      </w:r>
    </w:p>
    <w:p>
      <w:pPr>
        <w:pStyle w:val="style196"/>
        <w:numPr>
          <w:ilvl w:val="0"/>
          <w:numId w:val="7"/>
        </w:numPr>
        <w:spacing w:line="360" w:lineRule="auto"/>
        <w:jc w:val="both"/>
      </w:pPr>
      <w:r>
        <w:rPr>
          <w:rFonts w:ascii="Arial" w:cs="Arial" w:hAnsi="Arial"/>
          <w:color w:val="000000"/>
          <w:sz w:val="24"/>
          <w:szCs w:val="24"/>
        </w:rPr>
        <w:t xml:space="preserve">Las de venta de bienes cuyos adquirientes sean los trabajadores del ente u órgano enajenante, siempre que la enajenación de dichos bienes se realice mediante concurso en igualdad de condiciones entre todos los interesados. 3. Las relativas a la venta o permuta de bienes en producción, cuando el proceso licitatorio pudiere afectar el proceso productivo del bien; </w:t>
      </w:r>
    </w:p>
    <w:p>
      <w:pPr>
        <w:pStyle w:val="style196"/>
        <w:ind w:hanging="0" w:left="720" w:right="0"/>
        <w:jc w:val="both"/>
      </w:pPr>
      <w:r>
        <w:rPr>
          <w:rFonts w:ascii="Arial" w:cs="Arial" w:hAnsi="Arial"/>
          <w:color w:val="000000"/>
          <w:sz w:val="24"/>
          <w:szCs w:val="24"/>
        </w:rPr>
      </w:r>
    </w:p>
    <w:p>
      <w:pPr>
        <w:pStyle w:val="style196"/>
        <w:numPr>
          <w:ilvl w:val="0"/>
          <w:numId w:val="7"/>
        </w:numPr>
        <w:spacing w:line="360" w:lineRule="auto"/>
        <w:jc w:val="both"/>
      </w:pPr>
      <w:r>
        <w:rPr>
          <w:rFonts w:ascii="Arial" w:cs="Arial" w:hAnsi="Arial"/>
          <w:color w:val="000000"/>
          <w:sz w:val="24"/>
          <w:szCs w:val="24"/>
        </w:rPr>
        <w:t xml:space="preserve">Las de venta o permuta de bienes de cualquier tipo cuando mediante un proceso amplio de oferta pública, se determine la existencia de un solo oferente; </w:t>
      </w:r>
    </w:p>
    <w:p>
      <w:pPr>
        <w:pStyle w:val="style196"/>
        <w:ind w:hanging="0" w:left="720" w:right="0"/>
        <w:jc w:val="both"/>
      </w:pPr>
      <w:r>
        <w:rPr>
          <w:rFonts w:ascii="Arial" w:cs="Arial" w:hAnsi="Arial"/>
          <w:color w:val="000000"/>
          <w:sz w:val="24"/>
          <w:szCs w:val="24"/>
        </w:rPr>
      </w:r>
    </w:p>
    <w:p>
      <w:pPr>
        <w:pStyle w:val="style196"/>
        <w:numPr>
          <w:ilvl w:val="0"/>
          <w:numId w:val="7"/>
        </w:numPr>
        <w:spacing w:line="360" w:lineRule="auto"/>
        <w:jc w:val="both"/>
      </w:pPr>
      <w:r>
        <w:rPr>
          <w:rFonts w:ascii="Arial" w:cs="Arial" w:hAnsi="Arial"/>
          <w:color w:val="000000"/>
          <w:sz w:val="24"/>
          <w:szCs w:val="24"/>
        </w:rPr>
        <w:t xml:space="preserve">La venta o permuta de derechos litigiosos. En cualquier caso la adjudicación directa de Bienes Públicos deberá contar con la autorización expresa de la Comisión de Enajenación de Bienes Públicos </w:t>
      </w:r>
    </w:p>
    <w:p>
      <w:pPr>
        <w:pStyle w:val="style196"/>
        <w:ind w:hanging="0" w:left="357" w:right="0"/>
        <w:jc w:val="both"/>
      </w:pPr>
      <w:r>
        <w:rPr>
          <w:rFonts w:ascii="Arial" w:cs="Arial" w:hAnsi="Arial"/>
          <w:color w:val="000000"/>
          <w:sz w:val="24"/>
          <w:szCs w:val="24"/>
        </w:rPr>
      </w:r>
    </w:p>
    <w:p>
      <w:pPr>
        <w:pStyle w:val="style196"/>
        <w:numPr>
          <w:ilvl w:val="0"/>
          <w:numId w:val="2"/>
        </w:numPr>
        <w:spacing w:line="360" w:lineRule="auto"/>
        <w:jc w:val="both"/>
      </w:pPr>
      <w:r>
        <w:rPr>
          <w:rFonts w:ascii="Arial" w:cs="Arial" w:hAnsi="Arial"/>
          <w:color w:val="000000"/>
          <w:sz w:val="24"/>
          <w:szCs w:val="24"/>
        </w:rPr>
        <w:t>En  la enajenación de los bienes propiedad del Sector Público Nacional regulados por la ley, deberá contar con la autorización previa de la Comisión de Enajenación de Bienes Públicos, sin que sea necesaria la autorización.</w:t>
      </w:r>
    </w:p>
    <w:p>
      <w:pPr>
        <w:pStyle w:val="style196"/>
        <w:ind w:hanging="0" w:left="357" w:right="0"/>
        <w:jc w:val="both"/>
      </w:pPr>
      <w:r>
        <w:rPr>
          <w:rFonts w:ascii="Arial" w:cs="Arial" w:hAnsi="Arial"/>
          <w:color w:val="000000"/>
          <w:sz w:val="24"/>
          <w:szCs w:val="24"/>
        </w:rPr>
      </w:r>
    </w:p>
    <w:p>
      <w:pPr>
        <w:pStyle w:val="style0"/>
        <w:numPr>
          <w:ilvl w:val="0"/>
          <w:numId w:val="2"/>
        </w:numPr>
        <w:shd w:fill="FFFFFF" w:val="clear"/>
        <w:spacing w:after="0" w:before="0" w:line="360" w:lineRule="auto"/>
        <w:jc w:val="both"/>
      </w:pPr>
      <w:r>
        <w:rPr>
          <w:rFonts w:ascii="Arial" w:cs="Arial" w:hAnsi="Arial"/>
          <w:color w:val="000000"/>
          <w:sz w:val="24"/>
          <w:szCs w:val="24"/>
        </w:rPr>
        <w:t>Con respecto a la enajenación de títulos representativos de capital propiedad de la República en sociedades mercantiles, requiere de la autorización del Presidente de la República en Consejo de Ministros.</w:t>
      </w:r>
    </w:p>
    <w:p>
      <w:pPr>
        <w:pStyle w:val="style0"/>
        <w:shd w:fill="FFFFFF" w:val="clear"/>
        <w:spacing w:after="0" w:before="0" w:line="240" w:lineRule="auto"/>
        <w:ind w:hanging="0" w:left="357" w:right="0"/>
        <w:jc w:val="both"/>
      </w:pPr>
      <w:r>
        <w:rPr>
          <w:rFonts w:ascii="Arial" w:cs="Arial" w:hAnsi="Arial"/>
          <w:color w:val="000000"/>
          <w:sz w:val="24"/>
          <w:szCs w:val="24"/>
        </w:rPr>
      </w:r>
    </w:p>
    <w:p>
      <w:pPr>
        <w:pStyle w:val="style0"/>
        <w:numPr>
          <w:ilvl w:val="0"/>
          <w:numId w:val="2"/>
        </w:numPr>
        <w:shd w:fill="FFFFFF" w:val="clear"/>
        <w:spacing w:after="0" w:before="0" w:line="360" w:lineRule="auto"/>
        <w:jc w:val="both"/>
      </w:pPr>
      <w:r>
        <w:rPr>
          <w:rFonts w:ascii="Arial" w:cs="Arial" w:hAnsi="Arial"/>
          <w:color w:val="000000"/>
          <w:sz w:val="24"/>
          <w:szCs w:val="24"/>
        </w:rPr>
        <w:t>De tal forma cuando los títulos objeto de venta se coticen en Bolsa, su enajenación se hará de conformidad con las reglas de la respectiva institución bursátil. Los títulos que no se coticen en Bolsa, se enajenarán mediante subasta pública, a menos que el Presidente de la República, en Consejo de Ministros, a propuesta del ministro con competencia en materia de finanzas, acuerde su adjudicación directa.</w:t>
      </w:r>
    </w:p>
    <w:p>
      <w:pPr>
        <w:pStyle w:val="style0"/>
        <w:shd w:fill="FFFFFF" w:val="clear"/>
        <w:spacing w:after="0" w:before="0" w:line="240" w:lineRule="auto"/>
        <w:ind w:hanging="0" w:left="357" w:right="0"/>
        <w:jc w:val="both"/>
      </w:pPr>
      <w:r>
        <w:rPr>
          <w:rFonts w:ascii="Arial" w:cs="Arial" w:hAnsi="Arial"/>
          <w:color w:val="000000"/>
          <w:sz w:val="24"/>
          <w:szCs w:val="24"/>
        </w:rPr>
      </w:r>
    </w:p>
    <w:p>
      <w:pPr>
        <w:pStyle w:val="style0"/>
        <w:numPr>
          <w:ilvl w:val="0"/>
          <w:numId w:val="2"/>
        </w:numPr>
        <w:shd w:fill="FFFFFF" w:val="clear"/>
        <w:spacing w:after="0" w:before="0" w:line="360" w:lineRule="auto"/>
        <w:jc w:val="both"/>
      </w:pPr>
      <w:r>
        <w:rPr>
          <w:rFonts w:ascii="Arial" w:cs="Arial" w:hAnsi="Arial"/>
          <w:color w:val="000000"/>
          <w:sz w:val="24"/>
          <w:szCs w:val="24"/>
        </w:rPr>
        <w:t xml:space="preserve">Asimismo los derechos correspondientes a la propiedad intelectual o industrial de la República se enajenarán mediante subasta pública, a menos que el Presidente de la República, en Consejo de Ministros, </w:t>
      </w:r>
      <w:r>
        <w:rPr>
          <w:rFonts w:ascii="Arial" w:cs="Arial" w:hAnsi="Arial"/>
          <w:color w:val="000000"/>
          <w:sz w:val="24"/>
          <w:szCs w:val="24"/>
          <w:shd w:fill="F2F2F2" w:val="clear"/>
        </w:rPr>
        <w:t>acuerde la adjudicación directa por razones estratégicas,</w:t>
      </w:r>
      <w:r>
        <w:rPr>
          <w:rFonts w:ascii="Arial" w:cs="Arial" w:hAnsi="Arial"/>
          <w:color w:val="000000"/>
          <w:sz w:val="24"/>
          <w:szCs w:val="24"/>
        </w:rPr>
        <w:t xml:space="preserve"> de soberanía o de interés nacional, determinadas por el Presidente de la República, o en atención a los acuerdos internacionales suscritos válidamente por la República Bolivariana de Venezuela</w:t>
      </w:r>
    </w:p>
    <w:p>
      <w:pPr>
        <w:pStyle w:val="style0"/>
        <w:shd w:fill="FFFFFF" w:val="clear"/>
        <w:spacing w:after="0" w:before="0" w:line="240" w:lineRule="auto"/>
        <w:ind w:hanging="0" w:left="357" w:right="0"/>
        <w:jc w:val="both"/>
      </w:pPr>
      <w:r>
        <w:rPr>
          <w:rFonts w:ascii="Arial" w:cs="Arial" w:hAnsi="Arial"/>
          <w:color w:val="000000"/>
          <w:sz w:val="24"/>
          <w:szCs w:val="24"/>
        </w:rPr>
      </w:r>
    </w:p>
    <w:p>
      <w:pPr>
        <w:pStyle w:val="style196"/>
        <w:numPr>
          <w:ilvl w:val="0"/>
          <w:numId w:val="2"/>
        </w:numPr>
        <w:spacing w:line="360" w:lineRule="auto"/>
        <w:jc w:val="both"/>
      </w:pPr>
      <w:r>
        <w:rPr>
          <w:rFonts w:ascii="Arial" w:cs="Arial" w:hAnsi="Arial"/>
          <w:color w:val="000000"/>
          <w:sz w:val="24"/>
          <w:szCs w:val="24"/>
        </w:rPr>
        <w:t>Todo ente del  sector público está en la Obligación de notificar a la Superintendencia de Bienes Públicos  sobre la enajenación de sus bienes, sin menoscabo de su autonomía constitucional.</w:t>
      </w:r>
    </w:p>
    <w:p>
      <w:pPr>
        <w:pStyle w:val="style196"/>
        <w:spacing w:line="360" w:lineRule="auto"/>
        <w:jc w:val="both"/>
      </w:pPr>
      <w:r>
        <w:rPr>
          <w:rFonts w:ascii="Arial" w:cs="Arial" w:hAnsi="Arial"/>
          <w:color w:val="000000"/>
          <w:sz w:val="24"/>
          <w:szCs w:val="24"/>
        </w:rPr>
      </w:r>
    </w:p>
    <w:p>
      <w:pPr>
        <w:pStyle w:val="style0"/>
        <w:shd w:fill="FFFFFF" w:val="clear"/>
        <w:spacing w:line="360" w:lineRule="auto"/>
        <w:jc w:val="both"/>
      </w:pPr>
      <w:r>
        <w:rPr>
          <w:rFonts w:ascii="Arial" w:cs="Arial" w:hAnsi="Arial"/>
          <w:color w:val="000000"/>
          <w:sz w:val="24"/>
          <w:szCs w:val="24"/>
        </w:rPr>
        <w:t>.</w:t>
      </w:r>
      <w:r>
        <w:rPr>
          <w:rFonts w:ascii="Arial" w:cs="Arial" w:hAnsi="Arial"/>
          <w:b/>
          <w:color w:val="000000"/>
          <w:sz w:val="24"/>
          <w:szCs w:val="24"/>
        </w:rPr>
        <w:tab/>
      </w:r>
      <w:r>
        <w:rPr>
          <w:rFonts w:ascii="Arial" w:cs="Arial" w:hAnsi="Arial"/>
          <w:color w:val="000000"/>
          <w:sz w:val="24"/>
          <w:szCs w:val="24"/>
        </w:rPr>
        <w:t>Con respecto a Providencia Administrativa n º 002-2012 la Superintendente Nacional de Bienes Públicos publicó en gaceta oficial G.O. n º 40.042 de fecha  02/11/2012, señala  a legitimar que, previa autorización de la Comisión de Enajenación de Bienes Públicos, corresponde a la Superintendencia de Bienes Públicos (SUDEBIP), ordenar el remate, venta, donación o destrucción de los bienes propiedad de la República cuya administración le corresponda.</w:t>
      </w:r>
    </w:p>
    <w:p>
      <w:pPr>
        <w:pStyle w:val="style197"/>
        <w:shd w:fill="FFFFFF" w:val="clear"/>
        <w:spacing w:after="0" w:before="0" w:line="360" w:lineRule="auto"/>
        <w:jc w:val="both"/>
      </w:pPr>
      <w:r>
        <w:rPr>
          <w:rFonts w:ascii="Arial" w:cs="Arial" w:hAnsi="Arial"/>
          <w:color w:val="000000"/>
        </w:rPr>
        <w:tab/>
        <w:t xml:space="preserve">Por cuanto, la enajenación  de los Bienes Públicos bajo la modalidad de venta o permuta, salvo las excepciones de Ley, deberá realizarse mediante un proceso de Oferta Pública  a cargo del Comité de Licitaciones del órgano o ente que enajenará el bien. </w:t>
      </w:r>
    </w:p>
    <w:p>
      <w:pPr>
        <w:pStyle w:val="style197"/>
        <w:shd w:fill="FFFFFF" w:val="clear"/>
        <w:spacing w:after="0" w:before="0" w:line="360" w:lineRule="auto"/>
        <w:jc w:val="both"/>
      </w:pPr>
      <w:r>
        <w:rPr>
          <w:rFonts w:ascii="Arial" w:cs="Arial" w:hAnsi="Arial"/>
          <w:color w:val="000000"/>
        </w:rPr>
      </w:r>
    </w:p>
    <w:p>
      <w:pPr>
        <w:pStyle w:val="style197"/>
        <w:shd w:fill="FFFFFF" w:val="clear"/>
        <w:spacing w:after="0" w:before="0" w:line="360" w:lineRule="auto"/>
        <w:jc w:val="both"/>
      </w:pPr>
      <w:r>
        <w:rPr>
          <w:rFonts w:ascii="Arial" w:cs="Arial" w:hAnsi="Arial"/>
          <w:color w:val="000000"/>
        </w:rPr>
        <w:tab/>
        <w:t>En tal sentido, en la citada Providencia han sido nombrados los miembros principales con los respectivos suplentes que integrarán la Comisión de Licitaciones de la SUDEBIP, quedando compuesta de la siguiente manera:</w:t>
      </w:r>
    </w:p>
    <w:p>
      <w:pPr>
        <w:pStyle w:val="style0"/>
        <w:spacing w:after="0" w:before="0" w:line="240" w:lineRule="auto"/>
        <w:jc w:val="center"/>
      </w:pPr>
      <w:r>
        <w:rPr>
          <w:rFonts w:ascii="Arial" w:cs="Arial" w:hAnsi="Arial"/>
          <w:color w:val="000000"/>
        </w:rPr>
        <w:t>CUADRO 29</w:t>
      </w:r>
    </w:p>
    <w:p>
      <w:pPr>
        <w:pStyle w:val="style197"/>
        <w:shd w:fill="FFFFFF" w:val="clear"/>
        <w:spacing w:after="0" w:before="0" w:line="360" w:lineRule="auto"/>
        <w:jc w:val="both"/>
      </w:pPr>
      <w:r>
        <w:rPr>
          <w:rFonts w:ascii="Arial" w:cs="Arial" w:hAnsi="Arial"/>
          <w:color w:val="000000"/>
        </w:rPr>
      </w:r>
    </w:p>
    <w:tbl>
      <w:tblPr>
        <w:jc w:val="left"/>
        <w:tblInd w:type="dxa" w:w="-15"/>
        <w:tblBorders>
          <w:top w:color="000000" w:space="0" w:sz="4" w:val="single"/>
          <w:left w:color="000000" w:space="0" w:sz="4" w:val="single"/>
          <w:bottom w:color="000000" w:space="0" w:sz="4" w:val="single"/>
        </w:tblBorders>
      </w:tblPr>
      <w:tblGrid>
        <w:gridCol w:w="4063"/>
        <w:gridCol w:w="4238"/>
      </w:tblGrid>
      <w:tr>
        <w:trPr>
          <w:cantSplit w:val="false"/>
        </w:trPr>
        <w:tc>
          <w:tcPr>
            <w:tcW w:type="dxa" w:w="4063"/>
            <w:tcBorders>
              <w:top w:color="000000" w:space="0" w:sz="4" w:val="single"/>
              <w:left w:color="000000" w:space="0" w:sz="4" w:val="single"/>
              <w:bottom w:color="000000" w:space="0" w:sz="4" w:val="single"/>
            </w:tcBorders>
            <w:shd w:fill="BFBFBF" w:val="clear"/>
            <w:tcMar>
              <w:top w:type="dxa" w:w="0"/>
              <w:left w:type="dxa" w:w="0"/>
              <w:bottom w:type="dxa" w:w="0"/>
              <w:right w:type="dxa" w:w="0"/>
            </w:tcMar>
          </w:tcPr>
          <w:p>
            <w:pPr>
              <w:pStyle w:val="style197"/>
              <w:spacing w:after="0" w:before="0" w:line="360" w:lineRule="auto"/>
              <w:jc w:val="center"/>
            </w:pPr>
            <w:r>
              <w:rPr>
                <w:rFonts w:ascii="Arial" w:cs="Arial" w:hAnsi="Arial"/>
                <w:b/>
                <w:bCs/>
                <w:color w:val="000000"/>
              </w:rPr>
              <w:t>Miembro Principal</w:t>
            </w:r>
          </w:p>
        </w:tc>
        <w:tc>
          <w:tcPr>
            <w:tcW w:type="dxa" w:w="4238"/>
            <w:tcBorders>
              <w:top w:color="000000" w:space="0" w:sz="4" w:val="single"/>
              <w:left w:color="000000" w:space="0" w:sz="4" w:val="single"/>
              <w:bottom w:color="000000" w:space="0" w:sz="4" w:val="single"/>
              <w:right w:color="000000" w:space="0" w:sz="4" w:val="single"/>
            </w:tcBorders>
            <w:shd w:fill="BFBFBF" w:val="clear"/>
            <w:tcMar>
              <w:top w:type="dxa" w:w="0"/>
              <w:left w:type="dxa" w:w="0"/>
              <w:bottom w:type="dxa" w:w="0"/>
              <w:right w:type="dxa" w:w="0"/>
            </w:tcMar>
          </w:tcPr>
          <w:p>
            <w:pPr>
              <w:pStyle w:val="style197"/>
              <w:spacing w:after="0" w:before="0" w:line="360" w:lineRule="auto"/>
              <w:jc w:val="center"/>
            </w:pPr>
            <w:r>
              <w:rPr>
                <w:rFonts w:ascii="Arial" w:cs="Arial" w:hAnsi="Arial"/>
                <w:b/>
                <w:bCs/>
                <w:color w:val="000000"/>
              </w:rPr>
              <w:t>Miembro Suplente</w:t>
            </w:r>
          </w:p>
        </w:tc>
      </w:tr>
      <w:tr>
        <w:trPr>
          <w:cantSplit w:val="false"/>
        </w:trPr>
        <w:tc>
          <w:tcPr>
            <w:tcW w:type="dxa" w:w="4063"/>
            <w:tcBorders>
              <w:top w:color="000000" w:space="0" w:sz="4" w:val="single"/>
              <w:left w:color="000000" w:space="0" w:sz="4" w:val="single"/>
              <w:bottom w:color="000000" w:space="0" w:sz="4" w:val="single"/>
            </w:tcBorders>
            <w:shd w:fill="FFFFFF" w:val="clear"/>
            <w:tcMar>
              <w:top w:type="dxa" w:w="0"/>
              <w:left w:type="dxa" w:w="0"/>
              <w:bottom w:type="dxa" w:w="0"/>
              <w:right w:type="dxa" w:w="0"/>
            </w:tcMar>
          </w:tcPr>
          <w:p>
            <w:pPr>
              <w:pStyle w:val="style197"/>
              <w:spacing w:after="0" w:before="0" w:line="360" w:lineRule="auto"/>
              <w:jc w:val="center"/>
            </w:pPr>
            <w:r>
              <w:rPr>
                <w:rFonts w:ascii="Arial" w:cs="Arial" w:hAnsi="Arial"/>
                <w:color w:val="000000"/>
              </w:rPr>
              <w:t>María Elena Peñaloza</w:t>
            </w:r>
          </w:p>
          <w:p>
            <w:pPr>
              <w:pStyle w:val="style197"/>
              <w:spacing w:after="0" w:before="0" w:line="360" w:lineRule="auto"/>
              <w:jc w:val="center"/>
            </w:pPr>
            <w:r>
              <w:rPr>
                <w:rFonts w:ascii="Arial" w:cs="Arial" w:hAnsi="Arial"/>
                <w:color w:val="000000"/>
              </w:rPr>
              <w:t>C.I. Nº 6.506.098</w:t>
            </w:r>
          </w:p>
        </w:tc>
        <w:tc>
          <w:tcPr>
            <w:tcW w:type="dxa" w:w="4238"/>
            <w:tcBorders>
              <w:top w:color="000000" w:space="0" w:sz="4" w:val="single"/>
              <w:left w:color="000000" w:space="0" w:sz="4" w:val="single"/>
              <w:bottom w:color="000000" w:space="0" w:sz="4" w:val="single"/>
              <w:right w:color="000000" w:space="0" w:sz="4" w:val="single"/>
            </w:tcBorders>
            <w:shd w:fill="FFFFFF" w:val="clear"/>
            <w:tcMar>
              <w:top w:type="dxa" w:w="0"/>
              <w:left w:type="dxa" w:w="0"/>
              <w:bottom w:type="dxa" w:w="0"/>
              <w:right w:type="dxa" w:w="0"/>
            </w:tcMar>
          </w:tcPr>
          <w:p>
            <w:pPr>
              <w:pStyle w:val="style197"/>
              <w:spacing w:after="0" w:before="0" w:line="360" w:lineRule="auto"/>
              <w:jc w:val="center"/>
            </w:pPr>
            <w:r>
              <w:rPr>
                <w:rFonts w:ascii="Arial" w:cs="Arial" w:hAnsi="Arial"/>
                <w:color w:val="000000"/>
                <w:lang w:val="en-US"/>
              </w:rPr>
              <w:t>Kelvin Fariñas</w:t>
            </w:r>
          </w:p>
          <w:p>
            <w:pPr>
              <w:pStyle w:val="style197"/>
              <w:spacing w:after="0" w:before="0" w:line="360" w:lineRule="auto"/>
              <w:jc w:val="center"/>
            </w:pPr>
            <w:r>
              <w:rPr>
                <w:rFonts w:ascii="Arial" w:cs="Arial" w:hAnsi="Arial"/>
                <w:color w:val="000000"/>
                <w:lang w:val="en-US"/>
              </w:rPr>
              <w:t>C.I. Nº 13.941.755</w:t>
            </w:r>
          </w:p>
        </w:tc>
      </w:tr>
      <w:tr>
        <w:trPr>
          <w:cantSplit w:val="false"/>
        </w:trPr>
        <w:tc>
          <w:tcPr>
            <w:tcW w:type="dxa" w:w="4063"/>
            <w:tcBorders>
              <w:top w:color="000000" w:space="0" w:sz="4" w:val="single"/>
              <w:left w:color="000000" w:space="0" w:sz="4" w:val="single"/>
              <w:bottom w:color="000000" w:space="0" w:sz="4" w:val="single"/>
            </w:tcBorders>
            <w:shd w:fill="FFFFFF" w:val="clear"/>
            <w:tcMar>
              <w:top w:type="dxa" w:w="0"/>
              <w:left w:type="dxa" w:w="0"/>
              <w:bottom w:type="dxa" w:w="0"/>
              <w:right w:type="dxa" w:w="0"/>
            </w:tcMar>
          </w:tcPr>
          <w:p>
            <w:pPr>
              <w:pStyle w:val="style197"/>
              <w:spacing w:after="0" w:before="0" w:line="360" w:lineRule="auto"/>
              <w:jc w:val="center"/>
            </w:pPr>
            <w:r>
              <w:rPr>
                <w:rFonts w:ascii="Arial" w:cs="Arial" w:hAnsi="Arial"/>
                <w:color w:val="000000"/>
                <w:lang w:val="en-US"/>
              </w:rPr>
              <w:t>Marvin Sánchez</w:t>
            </w:r>
          </w:p>
          <w:p>
            <w:pPr>
              <w:pStyle w:val="style197"/>
              <w:spacing w:after="0" w:before="0" w:line="360" w:lineRule="auto"/>
              <w:jc w:val="center"/>
            </w:pPr>
            <w:r>
              <w:rPr>
                <w:rFonts w:ascii="Arial" w:cs="Arial" w:hAnsi="Arial"/>
                <w:color w:val="000000"/>
                <w:lang w:val="en-US"/>
              </w:rPr>
              <w:t>C.I. Nº 13.532.008</w:t>
            </w:r>
          </w:p>
        </w:tc>
        <w:tc>
          <w:tcPr>
            <w:tcW w:type="dxa" w:w="4238"/>
            <w:tcBorders>
              <w:top w:color="000000" w:space="0" w:sz="4" w:val="single"/>
              <w:left w:color="000000" w:space="0" w:sz="4" w:val="single"/>
              <w:bottom w:color="000000" w:space="0" w:sz="4" w:val="single"/>
              <w:right w:color="000000" w:space="0" w:sz="4" w:val="single"/>
            </w:tcBorders>
            <w:shd w:fill="FFFFFF" w:val="clear"/>
            <w:tcMar>
              <w:top w:type="dxa" w:w="0"/>
              <w:left w:type="dxa" w:w="0"/>
              <w:bottom w:type="dxa" w:w="0"/>
              <w:right w:type="dxa" w:w="0"/>
            </w:tcMar>
          </w:tcPr>
          <w:p>
            <w:pPr>
              <w:pStyle w:val="style197"/>
              <w:spacing w:after="0" w:before="0" w:line="360" w:lineRule="auto"/>
              <w:jc w:val="center"/>
            </w:pPr>
            <w:r>
              <w:rPr>
                <w:rFonts w:ascii="Arial" w:cs="Arial" w:hAnsi="Arial"/>
                <w:color w:val="000000"/>
              </w:rPr>
              <w:t>Yasmelina Colmenares</w:t>
            </w:r>
          </w:p>
          <w:p>
            <w:pPr>
              <w:pStyle w:val="style197"/>
              <w:spacing w:after="0" w:before="0" w:line="360" w:lineRule="auto"/>
              <w:jc w:val="center"/>
            </w:pPr>
            <w:r>
              <w:rPr>
                <w:rFonts w:ascii="Arial" w:cs="Arial" w:hAnsi="Arial"/>
                <w:color w:val="000000"/>
              </w:rPr>
              <w:t>C.I. Nº 16.381.686</w:t>
            </w:r>
          </w:p>
        </w:tc>
      </w:tr>
      <w:tr>
        <w:trPr>
          <w:cantSplit w:val="false"/>
        </w:trPr>
        <w:tc>
          <w:tcPr>
            <w:tcW w:type="dxa" w:w="4063"/>
            <w:tcBorders>
              <w:top w:color="000000" w:space="0" w:sz="4" w:val="single"/>
              <w:left w:color="000000" w:space="0" w:sz="4" w:val="single"/>
              <w:bottom w:color="000000" w:space="0" w:sz="4" w:val="single"/>
            </w:tcBorders>
            <w:shd w:fill="FFFFFF" w:val="clear"/>
            <w:tcMar>
              <w:top w:type="dxa" w:w="0"/>
              <w:left w:type="dxa" w:w="0"/>
              <w:bottom w:type="dxa" w:w="0"/>
              <w:right w:type="dxa" w:w="0"/>
            </w:tcMar>
          </w:tcPr>
          <w:p>
            <w:pPr>
              <w:pStyle w:val="style197"/>
              <w:spacing w:after="0" w:before="0" w:line="360" w:lineRule="auto"/>
              <w:jc w:val="center"/>
            </w:pPr>
            <w:r>
              <w:rPr>
                <w:rFonts w:ascii="Arial" w:cs="Arial" w:hAnsi="Arial"/>
                <w:color w:val="000000"/>
                <w:lang w:val="en-US"/>
              </w:rPr>
              <w:t>Judith Marautti</w:t>
            </w:r>
          </w:p>
          <w:p>
            <w:pPr>
              <w:pStyle w:val="style197"/>
              <w:spacing w:after="0" w:before="0" w:line="360" w:lineRule="auto"/>
              <w:jc w:val="center"/>
            </w:pPr>
            <w:r>
              <w:rPr>
                <w:rFonts w:ascii="Arial" w:cs="Arial" w:hAnsi="Arial"/>
                <w:color w:val="000000"/>
                <w:lang w:val="en-US"/>
              </w:rPr>
              <w:t>C.I. Nº 14.427.416</w:t>
            </w:r>
          </w:p>
        </w:tc>
        <w:tc>
          <w:tcPr>
            <w:tcW w:type="dxa" w:w="4238"/>
            <w:tcBorders>
              <w:top w:color="000000" w:space="0" w:sz="4" w:val="single"/>
              <w:left w:color="000000" w:space="0" w:sz="4" w:val="single"/>
              <w:bottom w:color="000000" w:space="0" w:sz="4" w:val="single"/>
              <w:right w:color="000000" w:space="0" w:sz="4" w:val="single"/>
            </w:tcBorders>
            <w:shd w:fill="FFFFFF" w:val="clear"/>
            <w:tcMar>
              <w:top w:type="dxa" w:w="0"/>
              <w:left w:type="dxa" w:w="0"/>
              <w:bottom w:type="dxa" w:w="0"/>
              <w:right w:type="dxa" w:w="0"/>
            </w:tcMar>
          </w:tcPr>
          <w:p>
            <w:pPr>
              <w:pStyle w:val="style197"/>
              <w:spacing w:after="0" w:before="0" w:line="360" w:lineRule="auto"/>
              <w:jc w:val="center"/>
            </w:pPr>
            <w:r>
              <w:rPr>
                <w:rFonts w:ascii="Arial" w:cs="Arial" w:hAnsi="Arial"/>
                <w:color w:val="000000"/>
              </w:rPr>
              <w:t>María Magallanes</w:t>
            </w:r>
          </w:p>
          <w:p>
            <w:pPr>
              <w:pStyle w:val="style197"/>
              <w:spacing w:after="0" w:before="0" w:line="360" w:lineRule="auto"/>
              <w:jc w:val="center"/>
            </w:pPr>
            <w:r>
              <w:rPr>
                <w:rFonts w:ascii="Arial" w:cs="Arial" w:hAnsi="Arial"/>
                <w:color w:val="000000"/>
              </w:rPr>
              <w:t>C.I. Nº 7.992.864</w:t>
            </w:r>
          </w:p>
        </w:tc>
      </w:tr>
    </w:tbl>
    <w:p>
      <w:pPr>
        <w:pStyle w:val="style197"/>
        <w:shd w:fill="FFFFFF" w:val="clear"/>
        <w:spacing w:after="0" w:before="0" w:line="360" w:lineRule="auto"/>
        <w:jc w:val="both"/>
      </w:pPr>
      <w:r>
        <w:rPr>
          <w:rFonts w:ascii="Arial" w:cs="Arial" w:hAnsi="Arial"/>
          <w:color w:val="000000"/>
        </w:rPr>
      </w:r>
    </w:p>
    <w:p>
      <w:pPr>
        <w:pStyle w:val="style197"/>
        <w:shd w:fill="FFFFFF" w:val="clear"/>
        <w:spacing w:after="0" w:before="0" w:line="360" w:lineRule="auto"/>
        <w:jc w:val="both"/>
      </w:pPr>
      <w:r>
        <w:rPr>
          <w:rFonts w:ascii="Arial" w:cs="Arial" w:hAnsi="Arial"/>
          <w:color w:val="000000"/>
        </w:rPr>
        <w:tab/>
        <w:t xml:space="preserve">También, en la referida  Gaceta Nº 40.054, fue publicada la </w:t>
      </w:r>
      <w:hyperlink r:id="rId58">
        <w:r>
          <w:rPr>
            <w:rStyle w:val="style148"/>
            <w:rStyle w:val="style148"/>
            <w:rFonts w:ascii="Arial" w:cs="Arial" w:hAnsi="Arial"/>
            <w:color w:val="000000"/>
            <w:u w:val="none"/>
          </w:rPr>
          <w:t>Providencia N° 003-2012</w:t>
        </w:r>
      </w:hyperlink>
      <w:r>
        <w:rPr>
          <w:rFonts w:ascii="Arial" w:cs="Arial" w:hAnsi="Arial"/>
          <w:color w:val="000000"/>
        </w:rPr>
        <w:t xml:space="preserve">, donde la Superintendencia de Bienes Público cita que de acuerdo a las atribuciones que le confiere el artículo 21, numeral 5 y 6  </w:t>
      </w:r>
      <w:r>
        <w:rPr>
          <w:rStyle w:val="style168"/>
          <w:rFonts w:ascii="Arial" w:cs="Arial" w:hAnsi="Arial"/>
          <w:color w:val="000000"/>
        </w:rPr>
        <w:t xml:space="preserve">del </w:t>
      </w:r>
      <w:r>
        <w:rPr>
          <w:rFonts w:ascii="Arial" w:cs="Arial" w:hAnsi="Arial"/>
          <w:color w:val="000000"/>
        </w:rPr>
        <w:t xml:space="preserve">Decreto con Rango, Valor y Fuerza de Ley Orgánica de Bienes Públicos y en concordancia con los artículo 78 y 83 de la referida Ley, contiene que:  para la enajenación de los Bienes propiedad del Sector Público Nacional regulados por la </w:t>
      </w:r>
      <w:hyperlink r:id="rId59">
        <w:r>
          <w:rPr>
            <w:rStyle w:val="style148"/>
            <w:rStyle w:val="style148"/>
            <w:rFonts w:ascii="Arial" w:cs="Arial" w:hAnsi="Arial"/>
            <w:color w:val="000000"/>
            <w:u w:val="none"/>
          </w:rPr>
          <w:t>Ley Orgánica de Bienes Públicos</w:t>
        </w:r>
      </w:hyperlink>
      <w:r>
        <w:rPr>
          <w:rFonts w:ascii="Arial" w:cs="Arial" w:hAnsi="Arial"/>
          <w:color w:val="000000"/>
        </w:rPr>
        <w:t>, este deberá contar  con la autorización previa de la Comisión de Enajenación de Bienes Públicos, debido a que esta Comisión será la que determinará el precio que servirá de base para la enajenación de dichos bienes.</w:t>
      </w:r>
    </w:p>
    <w:p>
      <w:pPr>
        <w:pStyle w:val="style197"/>
        <w:shd w:fill="FFFFFF" w:val="clear"/>
        <w:spacing w:after="0" w:before="0" w:line="360" w:lineRule="auto"/>
        <w:jc w:val="both"/>
      </w:pPr>
      <w:r>
        <w:rPr>
          <w:rFonts w:ascii="Arial" w:cs="Arial" w:hAnsi="Arial"/>
          <w:color w:val="000000"/>
        </w:rPr>
      </w:r>
    </w:p>
    <w:p>
      <w:pPr>
        <w:pStyle w:val="style197"/>
        <w:shd w:fill="FFFFFF" w:val="clear"/>
        <w:spacing w:after="0" w:before="0" w:line="360" w:lineRule="auto"/>
        <w:jc w:val="both"/>
      </w:pPr>
      <w:r>
        <w:rPr>
          <w:rFonts w:ascii="Arial" w:cs="Arial" w:hAnsi="Arial"/>
          <w:color w:val="000000"/>
        </w:rPr>
        <w:tab/>
        <w:t>De igual manera la providencia  nos señala en su artículo 3, que aquellas solicitudes que surjan con motivo de enajenación de Bienes Públicos, y sean remitidas a la SUDEBIP para la apreciación de la Comisión de Enajenación de Bienes Públicos, deberán estar acompañadas de los siguientes requisitos:</w:t>
      </w:r>
    </w:p>
    <w:p>
      <w:pPr>
        <w:pStyle w:val="style197"/>
        <w:shd w:fill="FFFFFF" w:val="clear"/>
        <w:spacing w:after="0" w:before="0" w:line="360" w:lineRule="auto"/>
        <w:jc w:val="both"/>
      </w:pPr>
      <w:r>
        <w:rPr>
          <w:rFonts w:ascii="Arial" w:cs="Arial" w:hAnsi="Arial"/>
          <w:b/>
          <w:bCs/>
          <w:color w:val="000000"/>
        </w:rPr>
      </w:r>
    </w:p>
    <w:p>
      <w:pPr>
        <w:pStyle w:val="style0"/>
        <w:spacing w:after="0" w:before="0" w:line="240" w:lineRule="auto"/>
      </w:pPr>
      <w:r>
        <w:rPr>
          <w:rFonts w:ascii="Arial" w:cs="Arial" w:hAnsi="Arial"/>
          <w:b/>
          <w:bCs/>
          <w:color w:val="000000"/>
        </w:rPr>
        <w:t>Recaudos Generales:</w:t>
      </w:r>
    </w:p>
    <w:p>
      <w:pPr>
        <w:pStyle w:val="style197"/>
        <w:shd w:fill="FFFFFF" w:val="clear"/>
        <w:spacing w:after="0" w:before="0" w:line="360" w:lineRule="auto"/>
        <w:jc w:val="both"/>
      </w:pPr>
      <w:r>
        <w:rPr>
          <w:rFonts w:ascii="Arial" w:cs="Arial" w:hAnsi="Arial"/>
          <w:b/>
          <w:bCs/>
          <w:color w:val="000000"/>
        </w:rPr>
      </w:r>
    </w:p>
    <w:p>
      <w:pPr>
        <w:pStyle w:val="style0"/>
        <w:numPr>
          <w:ilvl w:val="0"/>
          <w:numId w:val="24"/>
        </w:numPr>
        <w:shd w:fill="FFFFFF" w:val="clear"/>
        <w:spacing w:after="0" w:before="0" w:line="360" w:lineRule="auto"/>
        <w:ind w:hanging="357" w:left="714" w:right="0"/>
        <w:jc w:val="both"/>
      </w:pPr>
      <w:r>
        <w:rPr>
          <w:rFonts w:ascii="Arial" w:cs="Arial" w:hAnsi="Arial"/>
          <w:color w:val="000000"/>
          <w:sz w:val="24"/>
          <w:szCs w:val="24"/>
        </w:rPr>
        <w:t>Original de la solicitud de autorización de enajenación, con exposición de motivos e identificación de los bienes, debidamente firmada y sellada por la autoridad competente.</w:t>
      </w:r>
    </w:p>
    <w:p>
      <w:pPr>
        <w:pStyle w:val="style0"/>
        <w:shd w:fill="FFFFFF" w:val="clear"/>
        <w:spacing w:after="0" w:before="0" w:line="240" w:lineRule="auto"/>
        <w:ind w:hanging="0" w:left="714" w:right="0"/>
        <w:jc w:val="both"/>
      </w:pPr>
      <w:r>
        <w:rPr>
          <w:rFonts w:ascii="Arial" w:cs="Arial" w:hAnsi="Arial"/>
          <w:color w:val="000000"/>
          <w:sz w:val="24"/>
          <w:szCs w:val="24"/>
        </w:rPr>
      </w:r>
    </w:p>
    <w:p>
      <w:pPr>
        <w:pStyle w:val="style0"/>
        <w:numPr>
          <w:ilvl w:val="0"/>
          <w:numId w:val="24"/>
        </w:numPr>
        <w:shd w:fill="FFFFFF" w:val="clear"/>
        <w:spacing w:after="0" w:before="0" w:line="360" w:lineRule="auto"/>
        <w:ind w:hanging="357" w:left="714" w:right="0"/>
        <w:jc w:val="both"/>
      </w:pPr>
      <w:r>
        <w:rPr>
          <w:rFonts w:ascii="Arial" w:cs="Arial" w:hAnsi="Arial"/>
          <w:color w:val="000000"/>
          <w:sz w:val="24"/>
          <w:szCs w:val="24"/>
        </w:rPr>
        <w:t>Original o copia del acto administrativo que aprueba la enajenación de los bienes, debidamente firmado y sellado por la autoridad con competencia en materia de enajenación de bienes.</w:t>
      </w:r>
    </w:p>
    <w:p>
      <w:pPr>
        <w:pStyle w:val="style0"/>
        <w:shd w:fill="FFFFFF" w:val="clear"/>
        <w:spacing w:after="0" w:before="0" w:line="240" w:lineRule="auto"/>
        <w:ind w:hanging="0" w:left="714" w:right="0"/>
        <w:jc w:val="both"/>
      </w:pPr>
      <w:r>
        <w:rPr>
          <w:rFonts w:ascii="Arial" w:cs="Arial" w:hAnsi="Arial"/>
          <w:color w:val="000000"/>
          <w:sz w:val="24"/>
          <w:szCs w:val="24"/>
        </w:rPr>
      </w:r>
    </w:p>
    <w:p>
      <w:pPr>
        <w:pStyle w:val="style0"/>
        <w:numPr>
          <w:ilvl w:val="0"/>
          <w:numId w:val="24"/>
        </w:numPr>
        <w:shd w:fill="FFFFFF" w:val="clear"/>
        <w:spacing w:after="0" w:before="0" w:line="360" w:lineRule="auto"/>
        <w:ind w:hanging="357" w:left="714" w:right="0"/>
        <w:jc w:val="both"/>
      </w:pPr>
      <w:r>
        <w:rPr>
          <w:rFonts w:ascii="Arial" w:cs="Arial" w:hAnsi="Arial"/>
          <w:color w:val="000000"/>
          <w:sz w:val="24"/>
          <w:szCs w:val="24"/>
        </w:rPr>
        <w:t>Copia simple del documento en el cual consten las facultades de quien autoriza la enajenación.</w:t>
      </w:r>
    </w:p>
    <w:p>
      <w:pPr>
        <w:pStyle w:val="style0"/>
        <w:shd w:fill="FFFFFF" w:val="clear"/>
        <w:spacing w:after="0" w:before="0" w:line="240" w:lineRule="auto"/>
        <w:ind w:hanging="0" w:left="714" w:right="0"/>
        <w:jc w:val="both"/>
      </w:pPr>
      <w:r>
        <w:rPr>
          <w:rFonts w:ascii="Arial" w:cs="Arial" w:hAnsi="Arial"/>
          <w:color w:val="000000"/>
          <w:sz w:val="24"/>
          <w:szCs w:val="24"/>
        </w:rPr>
      </w:r>
    </w:p>
    <w:p>
      <w:pPr>
        <w:pStyle w:val="style0"/>
        <w:numPr>
          <w:ilvl w:val="0"/>
          <w:numId w:val="24"/>
        </w:numPr>
        <w:shd w:fill="FFFFFF" w:val="clear"/>
        <w:spacing w:after="0" w:before="0" w:line="360" w:lineRule="auto"/>
        <w:ind w:hanging="357" w:left="714" w:right="0"/>
        <w:jc w:val="both"/>
      </w:pPr>
      <w:r>
        <w:rPr>
          <w:rFonts w:ascii="Arial" w:cs="Arial" w:hAnsi="Arial"/>
          <w:color w:val="000000"/>
          <w:sz w:val="24"/>
          <w:szCs w:val="24"/>
        </w:rPr>
        <w:t>Dos (02) avalúos en original con vigencia menor a seis (06) meses, material fotográfico y Declaración Jurada de los profesionales que los realizan o valor contable de los bienes para las solicitudes por donación, transferencia o bote por inservibilidad.</w:t>
      </w:r>
    </w:p>
    <w:p>
      <w:pPr>
        <w:pStyle w:val="style0"/>
        <w:shd w:fill="FFFFFF" w:val="clear"/>
        <w:spacing w:after="0" w:before="0" w:line="240" w:lineRule="auto"/>
        <w:ind w:hanging="0" w:left="714" w:right="0"/>
        <w:jc w:val="both"/>
      </w:pPr>
      <w:r>
        <w:rPr>
          <w:rFonts w:ascii="Arial" w:cs="Arial" w:hAnsi="Arial"/>
          <w:color w:val="000000"/>
          <w:sz w:val="24"/>
          <w:szCs w:val="24"/>
        </w:rPr>
      </w:r>
    </w:p>
    <w:p>
      <w:pPr>
        <w:pStyle w:val="style0"/>
        <w:numPr>
          <w:ilvl w:val="0"/>
          <w:numId w:val="24"/>
        </w:numPr>
        <w:shd w:fill="FFFFFF" w:val="clear"/>
        <w:spacing w:after="0" w:before="0" w:line="360" w:lineRule="auto"/>
        <w:ind w:hanging="357" w:left="714" w:right="0"/>
        <w:jc w:val="both"/>
      </w:pPr>
      <w:r>
        <w:rPr>
          <w:rFonts w:ascii="Arial" w:cs="Arial" w:hAnsi="Arial"/>
          <w:color w:val="000000"/>
          <w:sz w:val="24"/>
          <w:szCs w:val="24"/>
        </w:rPr>
        <w:t>Copia simple de las cédulas de identidad de los profesionales que realizan los avalúos.</w:t>
      </w:r>
    </w:p>
    <w:p>
      <w:pPr>
        <w:pStyle w:val="style0"/>
        <w:shd w:fill="FFFFFF" w:val="clear"/>
        <w:spacing w:after="0" w:before="0" w:line="240" w:lineRule="auto"/>
        <w:ind w:hanging="0" w:left="714" w:right="0"/>
        <w:jc w:val="both"/>
      </w:pPr>
      <w:r>
        <w:rPr>
          <w:rFonts w:ascii="Arial" w:cs="Arial" w:hAnsi="Arial"/>
          <w:color w:val="000000"/>
          <w:sz w:val="24"/>
          <w:szCs w:val="24"/>
        </w:rPr>
      </w:r>
    </w:p>
    <w:p>
      <w:pPr>
        <w:pStyle w:val="style0"/>
        <w:numPr>
          <w:ilvl w:val="0"/>
          <w:numId w:val="24"/>
        </w:numPr>
        <w:shd w:fill="FFFFFF" w:val="clear"/>
        <w:spacing w:after="0" w:before="0" w:line="360" w:lineRule="auto"/>
        <w:ind w:hanging="357" w:left="714" w:right="0"/>
        <w:jc w:val="both"/>
      </w:pPr>
      <w:r>
        <w:rPr>
          <w:rFonts w:ascii="Arial" w:cs="Arial" w:hAnsi="Arial"/>
          <w:color w:val="000000"/>
          <w:sz w:val="24"/>
          <w:szCs w:val="24"/>
        </w:rPr>
        <w:t>Relación detallada de los bienes a enajenar con indicación de su ubicación, componentes, marca y cualquier otro elemento que permita su identificación.</w:t>
      </w:r>
    </w:p>
    <w:p>
      <w:pPr>
        <w:pStyle w:val="style0"/>
        <w:shd w:fill="FFFFFF" w:val="clear"/>
        <w:spacing w:after="0" w:before="0" w:line="240" w:lineRule="auto"/>
        <w:ind w:hanging="0" w:left="714" w:right="0"/>
        <w:jc w:val="both"/>
      </w:pPr>
      <w:r>
        <w:rPr>
          <w:rFonts w:ascii="Arial" w:cs="Arial" w:hAnsi="Arial"/>
          <w:color w:val="000000"/>
          <w:sz w:val="24"/>
          <w:szCs w:val="24"/>
        </w:rPr>
      </w:r>
    </w:p>
    <w:p>
      <w:pPr>
        <w:pStyle w:val="style0"/>
        <w:numPr>
          <w:ilvl w:val="0"/>
          <w:numId w:val="24"/>
        </w:numPr>
        <w:shd w:fill="FFFFFF" w:val="clear"/>
        <w:spacing w:after="0" w:before="0" w:line="360" w:lineRule="auto"/>
        <w:jc w:val="both"/>
      </w:pPr>
      <w:r>
        <w:rPr>
          <w:rFonts w:ascii="Arial" w:cs="Arial" w:hAnsi="Arial"/>
          <w:color w:val="000000"/>
          <w:sz w:val="24"/>
          <w:szCs w:val="24"/>
        </w:rPr>
        <w:t>Los demás que sean requeridos a juicio de la SUDEBIP.</w:t>
      </w:r>
    </w:p>
    <w:p>
      <w:pPr>
        <w:pStyle w:val="style0"/>
        <w:shd w:fill="FFFFFF" w:val="clear"/>
        <w:spacing w:line="360" w:lineRule="auto"/>
        <w:ind w:hanging="0" w:left="720" w:right="0"/>
        <w:jc w:val="both"/>
      </w:pPr>
      <w:r>
        <w:rPr>
          <w:rFonts w:ascii="Arial" w:cs="Arial" w:hAnsi="Arial"/>
          <w:color w:val="000000"/>
          <w:sz w:val="24"/>
          <w:szCs w:val="24"/>
        </w:rPr>
      </w:r>
    </w:p>
    <w:p>
      <w:pPr>
        <w:pStyle w:val="style197"/>
        <w:shd w:fill="FFFFFF" w:val="clear"/>
        <w:spacing w:after="0" w:before="0" w:line="360" w:lineRule="auto"/>
        <w:jc w:val="both"/>
      </w:pPr>
      <w:r>
        <w:rPr>
          <w:rFonts w:ascii="Arial" w:cs="Arial" w:hAnsi="Arial"/>
          <w:b/>
          <w:bCs/>
          <w:color w:val="000000"/>
        </w:rPr>
        <w:t>Para Permuta:</w:t>
      </w:r>
    </w:p>
    <w:p>
      <w:pPr>
        <w:pStyle w:val="style197"/>
        <w:shd w:fill="FFFFFF" w:val="clear"/>
        <w:spacing w:after="0" w:before="0" w:line="360" w:lineRule="auto"/>
        <w:jc w:val="both"/>
      </w:pPr>
      <w:r>
        <w:rPr>
          <w:rFonts w:ascii="Arial" w:cs="Arial" w:hAnsi="Arial"/>
          <w:color w:val="000000"/>
        </w:rPr>
      </w:r>
    </w:p>
    <w:p>
      <w:pPr>
        <w:pStyle w:val="style197"/>
        <w:shd w:fill="FFFFFF" w:val="clear"/>
        <w:spacing w:after="0" w:before="0" w:line="360" w:lineRule="auto"/>
        <w:jc w:val="both"/>
      </w:pPr>
      <w:r>
        <w:rPr>
          <w:rFonts w:ascii="Arial" w:cs="Arial" w:hAnsi="Arial"/>
          <w:color w:val="000000"/>
        </w:rPr>
        <w:tab/>
        <w:t>Aparte de de los requisitos señalados en los puntos a, b, c, d, e, f y g, deberán acompañar su solicitud con él:</w:t>
      </w:r>
    </w:p>
    <w:p>
      <w:pPr>
        <w:pStyle w:val="style197"/>
        <w:shd w:fill="FFFFFF" w:val="clear"/>
        <w:spacing w:after="0" w:before="0"/>
        <w:jc w:val="both"/>
      </w:pPr>
      <w:r>
        <w:rPr>
          <w:rFonts w:ascii="Arial" w:cs="Arial" w:hAnsi="Arial"/>
          <w:color w:val="000000"/>
        </w:rPr>
      </w:r>
    </w:p>
    <w:p>
      <w:pPr>
        <w:pStyle w:val="style0"/>
        <w:numPr>
          <w:ilvl w:val="0"/>
          <w:numId w:val="44"/>
        </w:numPr>
        <w:shd w:fill="FFFFFF" w:val="clear"/>
        <w:spacing w:after="0" w:before="0" w:line="360" w:lineRule="auto"/>
        <w:jc w:val="both"/>
      </w:pPr>
      <w:r>
        <w:rPr>
          <w:rFonts w:ascii="Arial" w:cs="Arial" w:hAnsi="Arial"/>
          <w:color w:val="000000"/>
          <w:sz w:val="24"/>
          <w:szCs w:val="24"/>
        </w:rPr>
        <w:t>Listado de necesidades o bienes que recibirá el órgano o ente público.</w:t>
      </w:r>
    </w:p>
    <w:p>
      <w:pPr>
        <w:pStyle w:val="style0"/>
        <w:shd w:fill="FFFFFF" w:val="clear"/>
        <w:spacing w:after="0" w:before="0" w:line="240" w:lineRule="auto"/>
        <w:ind w:hanging="0" w:left="720" w:right="0"/>
        <w:jc w:val="both"/>
      </w:pPr>
      <w:r>
        <w:rPr>
          <w:rFonts w:ascii="Arial" w:cs="Arial" w:hAnsi="Arial"/>
          <w:color w:val="000000"/>
          <w:sz w:val="24"/>
          <w:szCs w:val="24"/>
        </w:rPr>
      </w:r>
    </w:p>
    <w:p>
      <w:pPr>
        <w:pStyle w:val="style0"/>
        <w:numPr>
          <w:ilvl w:val="0"/>
          <w:numId w:val="44"/>
        </w:numPr>
        <w:shd w:fill="FFFFFF" w:val="clear"/>
        <w:spacing w:after="0" w:before="0" w:line="360" w:lineRule="auto"/>
        <w:jc w:val="both"/>
      </w:pPr>
      <w:r>
        <w:rPr>
          <w:rFonts w:ascii="Arial" w:cs="Arial" w:hAnsi="Arial"/>
          <w:color w:val="000000"/>
          <w:sz w:val="24"/>
          <w:szCs w:val="24"/>
        </w:rPr>
        <w:t>Original de la oferta en detalle realizada por el beneficiario de la permuta, con vigencia menor a seis (06) meses y copia simple de la cédula de identidad de quien la suscribe.</w:t>
      </w:r>
    </w:p>
    <w:p>
      <w:pPr>
        <w:pStyle w:val="style0"/>
        <w:shd w:fill="FFFFFF" w:val="clear"/>
        <w:spacing w:after="0" w:before="0" w:line="360" w:lineRule="auto"/>
        <w:ind w:hanging="0" w:left="360" w:right="0"/>
        <w:jc w:val="both"/>
      </w:pPr>
      <w:r>
        <w:rPr>
          <w:rFonts w:ascii="Arial" w:cs="Arial" w:hAnsi="Arial"/>
          <w:color w:val="000000"/>
          <w:sz w:val="24"/>
          <w:szCs w:val="24"/>
        </w:rPr>
      </w:r>
    </w:p>
    <w:p>
      <w:pPr>
        <w:pStyle w:val="style0"/>
        <w:shd w:fill="FFFFFF" w:val="clear"/>
        <w:spacing w:line="360" w:lineRule="auto"/>
        <w:jc w:val="both"/>
      </w:pPr>
      <w:r>
        <w:rPr>
          <w:rFonts w:ascii="Arial" w:cs="Arial" w:hAnsi="Arial"/>
          <w:b/>
          <w:bCs/>
          <w:color w:val="000000"/>
          <w:sz w:val="24"/>
          <w:szCs w:val="24"/>
        </w:rPr>
        <w:t>Para Dación en Pago:</w:t>
      </w:r>
    </w:p>
    <w:p>
      <w:pPr>
        <w:pStyle w:val="style197"/>
        <w:shd w:fill="FFFFFF" w:val="clear"/>
        <w:spacing w:after="0" w:before="0" w:line="360" w:lineRule="auto"/>
        <w:jc w:val="both"/>
      </w:pPr>
      <w:r>
        <w:rPr>
          <w:rFonts w:ascii="Arial" w:cs="Arial" w:hAnsi="Arial"/>
          <w:color w:val="000000"/>
        </w:rPr>
        <w:tab/>
        <w:t>De igual forma  con los requisitos indicados en los literales a al g, se deberá contar con él:</w:t>
      </w:r>
    </w:p>
    <w:p>
      <w:pPr>
        <w:pStyle w:val="style197"/>
        <w:shd w:fill="FFFFFF" w:val="clear"/>
        <w:spacing w:after="0" w:before="0"/>
        <w:jc w:val="both"/>
      </w:pPr>
      <w:r>
        <w:rPr>
          <w:rFonts w:ascii="Arial" w:cs="Arial" w:hAnsi="Arial"/>
          <w:color w:val="000000"/>
        </w:rPr>
      </w:r>
    </w:p>
    <w:p>
      <w:pPr>
        <w:pStyle w:val="style0"/>
        <w:numPr>
          <w:ilvl w:val="0"/>
          <w:numId w:val="57"/>
        </w:numPr>
        <w:shd w:fill="FFFFFF" w:val="clear"/>
        <w:spacing w:after="0" w:before="0" w:line="360" w:lineRule="auto"/>
        <w:ind w:hanging="283" w:left="709" w:right="0"/>
        <w:jc w:val="both"/>
      </w:pPr>
      <w:r>
        <w:rPr>
          <w:rFonts w:ascii="Arial" w:cs="Arial" w:hAnsi="Arial"/>
          <w:color w:val="000000"/>
          <w:sz w:val="24"/>
          <w:szCs w:val="24"/>
        </w:rPr>
        <w:t>Original del documento de aceptación del bien público, en donde se haga constar el valor, los términos y las condiciones en que será recibido el mismo y copia simple de la cédula de identidad de quien lo suscribe.</w:t>
      </w:r>
    </w:p>
    <w:p>
      <w:pPr>
        <w:pStyle w:val="style197"/>
        <w:shd w:fill="FFFFFF" w:val="clear"/>
        <w:spacing w:after="0" w:before="0" w:line="360" w:lineRule="auto"/>
        <w:jc w:val="both"/>
      </w:pPr>
      <w:r>
        <w:rPr>
          <w:rFonts w:ascii="Arial" w:cs="Arial" w:hAnsi="Arial"/>
          <w:b/>
          <w:bCs/>
          <w:color w:val="000000"/>
        </w:rPr>
      </w:r>
    </w:p>
    <w:p>
      <w:pPr>
        <w:pStyle w:val="style197"/>
        <w:shd w:fill="FFFFFF" w:val="clear"/>
        <w:spacing w:after="0" w:before="0" w:line="360" w:lineRule="auto"/>
        <w:jc w:val="both"/>
      </w:pPr>
      <w:r>
        <w:rPr>
          <w:rFonts w:ascii="Arial" w:cs="Arial" w:hAnsi="Arial"/>
          <w:b/>
          <w:bCs/>
          <w:color w:val="000000"/>
        </w:rPr>
        <w:t>Para los casos de Donación</w:t>
      </w:r>
      <w:r>
        <w:rPr>
          <w:rFonts w:ascii="Arial" w:cs="Arial" w:hAnsi="Arial"/>
          <w:color w:val="000000"/>
        </w:rPr>
        <w:t>:</w:t>
      </w:r>
    </w:p>
    <w:p>
      <w:pPr>
        <w:pStyle w:val="style197"/>
        <w:shd w:fill="FFFFFF" w:val="clear"/>
        <w:spacing w:after="0" w:before="0" w:line="360" w:lineRule="auto"/>
        <w:jc w:val="both"/>
      </w:pPr>
      <w:r>
        <w:rPr>
          <w:rFonts w:ascii="Arial" w:cs="Arial" w:hAnsi="Arial"/>
          <w:color w:val="000000"/>
        </w:rPr>
        <w:tab/>
        <w:t>De la misma manera que en los anteriores puntos los recaudos generales arriba indicados del a, b, c, d, e, f y g, se deberá acompañar la solicitud con:</w:t>
      </w:r>
    </w:p>
    <w:p>
      <w:pPr>
        <w:pStyle w:val="style197"/>
        <w:shd w:fill="FFFFFF" w:val="clear"/>
        <w:spacing w:after="0" w:before="0" w:line="360" w:lineRule="auto"/>
        <w:jc w:val="both"/>
      </w:pPr>
      <w:r>
        <w:rPr>
          <w:rFonts w:ascii="Arial" w:cs="Arial" w:hAnsi="Arial"/>
          <w:color w:val="000000"/>
        </w:rPr>
      </w:r>
    </w:p>
    <w:p>
      <w:pPr>
        <w:pStyle w:val="style0"/>
        <w:numPr>
          <w:ilvl w:val="0"/>
          <w:numId w:val="57"/>
        </w:numPr>
        <w:shd w:fill="FFFFFF" w:val="clear"/>
        <w:spacing w:after="0" w:before="0" w:line="360" w:lineRule="auto"/>
        <w:jc w:val="both"/>
      </w:pPr>
      <w:r>
        <w:rPr>
          <w:rFonts w:ascii="Arial" w:cs="Arial" w:hAnsi="Arial"/>
          <w:color w:val="000000"/>
          <w:sz w:val="24"/>
          <w:szCs w:val="24"/>
        </w:rPr>
        <w:t>La carta de solicitud del beneficiario en original, y copia simple de la cédula de identidad de quien la suscribe.</w:t>
      </w:r>
    </w:p>
    <w:p>
      <w:pPr>
        <w:pStyle w:val="style0"/>
        <w:shd w:fill="FFFFFF" w:val="clear"/>
        <w:spacing w:after="0" w:before="0" w:line="360" w:lineRule="auto"/>
        <w:ind w:hanging="0" w:left="1068" w:right="0"/>
        <w:jc w:val="both"/>
      </w:pPr>
      <w:r>
        <w:rPr>
          <w:rFonts w:ascii="Arial" w:cs="Arial" w:hAnsi="Arial"/>
          <w:color w:val="000000"/>
          <w:sz w:val="24"/>
          <w:szCs w:val="24"/>
        </w:rPr>
      </w:r>
    </w:p>
    <w:p>
      <w:pPr>
        <w:pStyle w:val="style0"/>
        <w:numPr>
          <w:ilvl w:val="0"/>
          <w:numId w:val="57"/>
        </w:numPr>
        <w:shd w:fill="FFFFFF" w:val="clear"/>
        <w:spacing w:after="0" w:before="0" w:line="360" w:lineRule="auto"/>
        <w:jc w:val="both"/>
      </w:pPr>
      <w:r>
        <w:rPr>
          <w:rFonts w:ascii="Arial" w:cs="Arial" w:hAnsi="Arial"/>
          <w:color w:val="000000"/>
          <w:sz w:val="24"/>
          <w:szCs w:val="24"/>
        </w:rPr>
        <w:t>Una copia simple del documento constitutivo del beneficiario para las personas jurídicas de carácter privado.</w:t>
      </w:r>
    </w:p>
    <w:p>
      <w:pPr>
        <w:pStyle w:val="style196"/>
        <w:spacing w:line="360" w:lineRule="auto"/>
        <w:jc w:val="both"/>
      </w:pPr>
      <w:r>
        <w:rPr>
          <w:rFonts w:ascii="Arial" w:cs="Arial" w:eastAsia="Arial" w:hAnsi="Arial"/>
          <w:color w:val="000000"/>
          <w:sz w:val="24"/>
          <w:szCs w:val="24"/>
        </w:rPr>
        <w:t xml:space="preserve"> </w:t>
      </w:r>
    </w:p>
    <w:p>
      <w:pPr>
        <w:pStyle w:val="style0"/>
        <w:autoSpaceDE w:val="false"/>
        <w:spacing w:line="360" w:lineRule="auto"/>
        <w:jc w:val="both"/>
      </w:pPr>
      <w:r>
        <w:rPr>
          <w:rFonts w:ascii="Arial" w:cs="Arial" w:eastAsia="Arial" w:hAnsi="Arial"/>
          <w:b/>
          <w:i/>
          <w:color w:val="000000"/>
          <w:sz w:val="24"/>
          <w:szCs w:val="24"/>
          <w:lang w:val="es-VE"/>
        </w:rPr>
        <w:t xml:space="preserve">   </w:t>
      </w:r>
    </w:p>
    <w:p>
      <w:pPr>
        <w:pStyle w:val="style0"/>
        <w:pageBreakBefore/>
        <w:autoSpaceDE w:val="false"/>
        <w:spacing w:line="360" w:lineRule="auto"/>
        <w:jc w:val="both"/>
      </w:pPr>
      <w:r>
        <w:rPr>
          <w:rFonts w:ascii="Arial" w:cs="Arial" w:eastAsia="Arial" w:hAnsi="Arial"/>
          <w:b/>
          <w:i/>
          <w:color w:val="000000"/>
          <w:sz w:val="24"/>
          <w:szCs w:val="24"/>
          <w:lang w:val="es-VE"/>
        </w:rPr>
        <w:t xml:space="preserve"> </w:t>
      </w:r>
    </w:p>
    <w:p>
      <w:pPr>
        <w:pStyle w:val="style0"/>
        <w:spacing w:line="360" w:lineRule="auto"/>
        <w:jc w:val="center"/>
      </w:pPr>
      <w:r>
        <w:rPr>
          <w:rFonts w:ascii="Arial" w:cs="Arial" w:hAnsi="Arial"/>
          <w:b/>
          <w:color w:val="000000"/>
          <w:sz w:val="24"/>
          <w:szCs w:val="24"/>
        </w:rPr>
        <w:t>CAPÍTULO V</w:t>
      </w:r>
    </w:p>
    <w:p>
      <w:pPr>
        <w:pStyle w:val="style0"/>
        <w:spacing w:line="360" w:lineRule="auto"/>
        <w:jc w:val="center"/>
      </w:pPr>
      <w:r>
        <w:rPr>
          <w:rFonts w:ascii="Arial" w:cs="Arial" w:hAnsi="Arial"/>
          <w:b/>
          <w:color w:val="000000"/>
          <w:sz w:val="24"/>
          <w:szCs w:val="24"/>
        </w:rPr>
        <w:t>PROPUESTA</w:t>
      </w:r>
    </w:p>
    <w:p>
      <w:pPr>
        <w:pStyle w:val="style199"/>
        <w:autoSpaceDE w:val="false"/>
        <w:spacing w:line="360" w:lineRule="auto"/>
        <w:ind w:hanging="0" w:left="360" w:right="0"/>
        <w:jc w:val="both"/>
      </w:pPr>
      <w:r>
        <w:rPr>
          <w:rFonts w:ascii="Arial" w:cs="Arial" w:hAnsi="Arial"/>
          <w:b/>
          <w:color w:val="000000"/>
          <w:sz w:val="24"/>
          <w:szCs w:val="24"/>
          <w:lang w:val="es-VE"/>
        </w:rPr>
      </w:r>
    </w:p>
    <w:p>
      <w:pPr>
        <w:pStyle w:val="style199"/>
        <w:autoSpaceDE w:val="false"/>
        <w:spacing w:line="360" w:lineRule="auto"/>
        <w:ind w:hanging="0" w:left="360" w:right="0"/>
        <w:jc w:val="both"/>
      </w:pPr>
      <w:r>
        <w:rPr>
          <w:rFonts w:ascii="Arial" w:cs="Arial" w:hAnsi="Arial"/>
          <w:b/>
          <w:color w:val="000000"/>
          <w:sz w:val="24"/>
          <w:szCs w:val="24"/>
          <w:lang w:val="es-VE"/>
        </w:rPr>
        <w:t>Estrategias Financieras – Operacionales  para la gestión de la desincorporación de los bienes nacionales en estado de corrosión, obsoletos y en deterioro   del Instituto Universitario de Tecnología de Estado  Yaracuy</w:t>
      </w:r>
    </w:p>
    <w:p>
      <w:pPr>
        <w:pStyle w:val="style199"/>
        <w:autoSpaceDE w:val="false"/>
        <w:spacing w:line="360" w:lineRule="auto"/>
        <w:ind w:hanging="0" w:left="360" w:right="0"/>
        <w:jc w:val="center"/>
      </w:pPr>
      <w:r>
        <w:rPr>
          <w:rFonts w:ascii="Arial" w:cs="Arial" w:hAnsi="Arial"/>
          <w:b/>
          <w:color w:val="000000"/>
          <w:sz w:val="24"/>
          <w:szCs w:val="24"/>
          <w:lang w:val="es-VE"/>
        </w:rPr>
      </w:r>
    </w:p>
    <w:p>
      <w:pPr>
        <w:pStyle w:val="style0"/>
        <w:shd w:fill="FFFFFF" w:val="clear"/>
        <w:spacing w:after="135" w:before="135" w:line="360" w:lineRule="auto"/>
        <w:jc w:val="both"/>
      </w:pPr>
      <w:r>
        <w:rPr>
          <w:rFonts w:ascii="Arial" w:cs="Arial" w:hAnsi="Arial"/>
          <w:b/>
          <w:bCs/>
          <w:i/>
          <w:color w:val="000000"/>
          <w:sz w:val="24"/>
          <w:szCs w:val="24"/>
          <w:lang w:eastAsia="es-VE"/>
        </w:rPr>
        <w:t>Introducción a la propuesta</w:t>
      </w:r>
    </w:p>
    <w:p>
      <w:pPr>
        <w:pStyle w:val="style0"/>
        <w:shd w:fill="FFFFFF" w:val="clear"/>
        <w:spacing w:after="135" w:before="135" w:line="360" w:lineRule="auto"/>
        <w:jc w:val="both"/>
      </w:pPr>
      <w:r>
        <w:rPr>
          <w:rFonts w:ascii="Arial" w:cs="Arial" w:hAnsi="Arial"/>
          <w:b/>
          <w:bCs/>
          <w:i/>
          <w:color w:val="000000"/>
          <w:sz w:val="24"/>
          <w:szCs w:val="24"/>
          <w:lang w:eastAsia="es-VE"/>
        </w:rPr>
      </w:r>
    </w:p>
    <w:p>
      <w:pPr>
        <w:pStyle w:val="style0"/>
        <w:shd w:fill="FFFFFF" w:val="clear"/>
        <w:spacing w:after="135" w:before="135" w:line="360" w:lineRule="auto"/>
        <w:jc w:val="both"/>
      </w:pPr>
      <w:r>
        <w:rPr>
          <w:rFonts w:ascii="Arial" w:cs="Arial" w:hAnsi="Arial"/>
          <w:color w:val="000000"/>
          <w:sz w:val="24"/>
          <w:szCs w:val="24"/>
        </w:rPr>
        <w:tab/>
        <w:t>El proceso de Planeación Financiera ha sido y seguirá siendo uno de los más importantes  para cualquier empresa e institución sin importar el tipo y tamaño, puesto que  es uno de los pasos para  trasladar a términos financieros   los planes estratégicos y operativos de la  empresa e institución a un espacio  de tiempo determinado que sirva para las tomas de decisiones tanto estratégica como financiera propiamente dichas.</w:t>
      </w:r>
    </w:p>
    <w:p>
      <w:pPr>
        <w:pStyle w:val="style0"/>
        <w:shd w:fill="FFFFFF" w:val="clear"/>
        <w:spacing w:after="135" w:before="135" w:line="360" w:lineRule="auto"/>
        <w:jc w:val="both"/>
      </w:pPr>
      <w:r>
        <w:rPr>
          <w:rFonts w:ascii="Arial" w:cs="Arial" w:eastAsia="Arial" w:hAnsi="Arial"/>
          <w:color w:val="000000"/>
          <w:sz w:val="24"/>
          <w:szCs w:val="24"/>
        </w:rPr>
        <w:t>”</w:t>
      </w:r>
    </w:p>
    <w:p>
      <w:pPr>
        <w:pStyle w:val="style0"/>
        <w:shd w:fill="FFFFFF" w:val="clear"/>
        <w:spacing w:after="135" w:before="135" w:line="360" w:lineRule="auto"/>
        <w:jc w:val="both"/>
      </w:pPr>
      <w:r>
        <w:rPr>
          <w:rFonts w:ascii="Arial" w:cs="Arial" w:hAnsi="Arial"/>
          <w:color w:val="000000"/>
          <w:sz w:val="24"/>
          <w:szCs w:val="24"/>
        </w:rPr>
        <w:tab/>
        <w:t>A través   de la planeación financiera  podemos apreciar el resultado del crecimiento proyectado, del riesgo que este implica, las cantidades de recursos o fondos que se requieren y los costos de capital pronosticados para saber, las condiciones de incertidumbre, como cambia el valor de la empresa dentro del escenario estratégico escogido. Además, de aquellos escenarios que pudiesen ser factibles y considerar cuales variables tienen un impacto relevante en dicho valor de la empresa.</w:t>
      </w:r>
    </w:p>
    <w:p>
      <w:pPr>
        <w:pStyle w:val="style206"/>
        <w:autoSpaceDE w:val="true"/>
        <w:spacing w:after="280" w:before="280" w:line="360" w:lineRule="auto"/>
        <w:jc w:val="both"/>
      </w:pPr>
      <w:r>
        <w:rPr/>
        <w:tab/>
        <w:t>Para  establecer la planificación financiera es recomendable estar al tanto sobre Planificación Estratégica en la Administración Pública la cual es la encargada de guiar la planificación operativa con el fin de cumplir con las misión de una institución u organismo, así como también los objetivos generales y las políticas institucionales para administrar de manera eficaz los recursos.</w:t>
      </w:r>
    </w:p>
    <w:p>
      <w:pPr>
        <w:pStyle w:val="style206"/>
        <w:autoSpaceDE w:val="true"/>
        <w:spacing w:after="280" w:before="280" w:line="360" w:lineRule="auto"/>
        <w:jc w:val="both"/>
      </w:pPr>
      <w:r>
        <w:rPr/>
        <w:tab/>
        <w:t>Para emplear una planeación estratégica se debe evaluar las razones, los factores: políticos, económicos, sociales y tecnológicos, del mismo modo las acciones a realizar, porque  la planeación estratégica ayuda a la administración pública a sistematizar y organizar la información existente sobre el entorno y sobre la propia institución que lo aplique.</w:t>
      </w:r>
    </w:p>
    <w:p>
      <w:pPr>
        <w:pStyle w:val="style206"/>
        <w:autoSpaceDE w:val="true"/>
        <w:spacing w:after="280" w:before="280" w:line="360" w:lineRule="auto"/>
        <w:jc w:val="both"/>
      </w:pPr>
      <w:r>
        <w:rPr/>
      </w:r>
    </w:p>
    <w:p>
      <w:pPr>
        <w:pStyle w:val="style206"/>
        <w:autoSpaceDE w:val="true"/>
        <w:spacing w:after="280" w:before="280" w:line="360" w:lineRule="auto"/>
        <w:jc w:val="both"/>
      </w:pPr>
      <w:r>
        <w:rPr/>
        <w:tab/>
        <w:t xml:space="preserve">Para luego comunicar a la dirección estratégica sobre   la construcción de las acciones que proporcionen las  tomas de decisiones aceptadas para alcanzar los objetivos propuestos lo que implica priorizar  los problemas a resolver, plantear las soluciones, determinar los responsables, además de la asignación de los  recursos para ejecutar las acciones y establecer la forma de medir los avances.  </w:t>
      </w:r>
    </w:p>
    <w:p>
      <w:pPr>
        <w:pStyle w:val="style206"/>
        <w:autoSpaceDE w:val="true"/>
        <w:spacing w:after="280" w:before="280" w:line="360" w:lineRule="auto"/>
        <w:jc w:val="both"/>
      </w:pPr>
      <w:r>
        <w:rPr>
          <w:rFonts w:eastAsia="Arial"/>
        </w:rPr>
        <w:t xml:space="preserve">   </w:t>
      </w:r>
    </w:p>
    <w:p>
      <w:pPr>
        <w:pStyle w:val="style206"/>
        <w:autoSpaceDE w:val="true"/>
        <w:spacing w:after="280" w:before="280" w:line="360" w:lineRule="auto"/>
        <w:jc w:val="both"/>
      </w:pPr>
      <w:r>
        <w:rPr/>
        <w:tab/>
        <w:t xml:space="preserve">    Hoy por hoy el gobierno nacional se ha propuesto como objetivo simplificar  los trámites administrativos y que los mismos se ejecute de forma transparente en la   Administración Pública.  De modo que los  trámites establecidos por la autoridad administrativa deben ser sencillos, debiendo eliminarse toda complejidad innecesaria es decir, los requisitos exigidos deberán ser racionales y proporcionales a los fines que se persigue cumplir con claridad y que estos no entorpezca ninguna acción, puesto que el gobierno nacional buscar facilitar la atención y la celeridades  las solicitudes y exigencias en cuanto  alguna  gestión o diligencia  que necesite la  población para que esta quede satisfecha con la respuesta dada de manera eficiente y eficaz.</w:t>
      </w:r>
    </w:p>
    <w:p>
      <w:pPr>
        <w:pStyle w:val="style206"/>
        <w:autoSpaceDE w:val="true"/>
        <w:spacing w:after="280" w:before="280" w:line="360" w:lineRule="auto"/>
        <w:jc w:val="both"/>
      </w:pPr>
      <w:r>
        <w:rPr/>
      </w:r>
    </w:p>
    <w:p>
      <w:pPr>
        <w:pStyle w:val="style206"/>
        <w:autoSpaceDE w:val="true"/>
        <w:spacing w:after="280" w:before="280" w:line="360" w:lineRule="auto"/>
        <w:jc w:val="both"/>
      </w:pPr>
      <w:r>
        <w:rPr/>
        <w:tab/>
        <w:t xml:space="preserve">Para proveer la satisfacción a la población y alcanzar los objetivos la misma debe responder las siguientes interrogantes: </w:t>
      </w:r>
    </w:p>
    <w:p>
      <w:pPr>
        <w:pStyle w:val="style206"/>
        <w:autoSpaceDE w:val="true"/>
        <w:spacing w:after="280" w:before="280" w:line="360" w:lineRule="auto"/>
        <w:jc w:val="both"/>
      </w:pPr>
      <w:r>
        <w:rPr/>
        <w:tab/>
      </w:r>
    </w:p>
    <w:p>
      <w:pPr>
        <w:pStyle w:val="style206"/>
        <w:autoSpaceDE w:val="true"/>
        <w:spacing w:after="280" w:before="280" w:line="360" w:lineRule="auto"/>
        <w:jc w:val="both"/>
      </w:pPr>
      <w:r>
        <w:rPr>
          <w:rStyle w:val="style168"/>
          <w:rFonts w:eastAsia="Arial"/>
          <w:bCs/>
        </w:rPr>
        <w:t>“</w:t>
      </w:r>
      <w:r>
        <w:rPr>
          <w:rStyle w:val="style168"/>
          <w:bCs/>
        </w:rPr>
        <w:t>qué se va a hacer, cómo, dónde,</w:t>
      </w:r>
      <w:r>
        <w:rPr>
          <w:rStyle w:val="style147"/>
          <w:rFonts w:cs="Arial"/>
          <w:bCs/>
        </w:rPr>
        <w:t xml:space="preserve"> </w:t>
      </w:r>
      <w:r>
        <w:rPr>
          <w:rStyle w:val="style168"/>
          <w:bCs/>
        </w:rPr>
        <w:t>quién, con quiénes, con</w:t>
      </w:r>
      <w:r>
        <w:rPr>
          <w:rStyle w:val="style168"/>
          <w:bCs/>
          <w:shd w:fill="F1F1F1" w:val="clear"/>
        </w:rPr>
        <w:t xml:space="preserve"> </w:t>
      </w:r>
      <w:r>
        <w:rPr>
          <w:rStyle w:val="style168"/>
          <w:bCs/>
        </w:rPr>
        <w:t>qué y cuándo se</w:t>
      </w:r>
      <w:r>
        <w:rPr>
          <w:rStyle w:val="style168"/>
          <w:bCs/>
          <w:shd w:fill="F1F1F1" w:val="clear"/>
        </w:rPr>
        <w:t xml:space="preserve"> </w:t>
      </w:r>
      <w:r>
        <w:rPr>
          <w:rStyle w:val="style168"/>
          <w:bCs/>
        </w:rPr>
        <w:t>va a hacer</w:t>
      </w:r>
      <w:r>
        <w:rPr>
          <w:rStyle w:val="style168"/>
          <w:bCs/>
          <w:shd w:fill="F1F1F1" w:val="clear"/>
        </w:rPr>
        <w:t>”.</w:t>
      </w:r>
    </w:p>
    <w:p>
      <w:pPr>
        <w:pStyle w:val="style199"/>
        <w:autoSpaceDE w:val="false"/>
        <w:spacing w:line="360" w:lineRule="auto"/>
        <w:ind w:hanging="0" w:left="0" w:right="0"/>
        <w:jc w:val="both"/>
      </w:pPr>
      <w:r>
        <w:rPr>
          <w:rStyle w:val="style168"/>
          <w:rFonts w:ascii="Arial" w:cs="Arial" w:hAnsi="Arial"/>
          <w:bCs/>
          <w:color w:val="000000"/>
          <w:sz w:val="24"/>
          <w:szCs w:val="24"/>
        </w:rPr>
        <w:tab/>
        <w:t xml:space="preserve">De acuerdo a estas interrogantes  antes señaladas se pretende  con esta  propuesta responder las interrogantes y  lograr desarrollar unas series de estrategia financieras - operacionales para </w:t>
      </w:r>
      <w:r>
        <w:rPr>
          <w:rFonts w:ascii="Arial" w:cs="Arial" w:hAnsi="Arial"/>
          <w:color w:val="000000"/>
          <w:sz w:val="24"/>
          <w:szCs w:val="24"/>
          <w:lang w:val="es-VE"/>
        </w:rPr>
        <w:t>gestionar  y optimizar los procesos para la desincorporación de los bienes nacionales en estado de corrosión, obsoletos y en deterioro   del Instituto Universitario de Tecnología de Estado  Yaracuy.</w:t>
      </w:r>
    </w:p>
    <w:p>
      <w:pPr>
        <w:pStyle w:val="style206"/>
        <w:autoSpaceDE w:val="true"/>
        <w:spacing w:after="280" w:before="280" w:line="360" w:lineRule="auto"/>
      </w:pPr>
      <w:r>
        <w:rPr>
          <w:rStyle w:val="style168"/>
          <w:rFonts w:eastAsia="Arial"/>
          <w:bCs/>
          <w:shd w:fill="F1F1F1" w:val="clear"/>
        </w:rPr>
        <w:t xml:space="preserve">  </w:t>
      </w:r>
      <w:r>
        <w:rPr>
          <w:b/>
          <w:i/>
          <w:lang w:eastAsia="es-VE"/>
        </w:rPr>
        <w:t>Objetivos Estratégicos</w:t>
      </w:r>
    </w:p>
    <w:p>
      <w:pPr>
        <w:pStyle w:val="style0"/>
        <w:shd w:fill="FFFFFF" w:val="clear"/>
        <w:spacing w:line="360" w:lineRule="auto"/>
        <w:jc w:val="both"/>
      </w:pPr>
      <w:r>
        <w:rPr>
          <w:rFonts w:ascii="Arial" w:cs="Arial" w:hAnsi="Arial"/>
          <w:b/>
          <w:i/>
          <w:color w:val="000000"/>
          <w:sz w:val="24"/>
          <w:szCs w:val="24"/>
          <w:lang w:eastAsia="es-VE"/>
        </w:rPr>
        <w:t xml:space="preserve">Objetivo General </w:t>
      </w:r>
    </w:p>
    <w:p>
      <w:pPr>
        <w:pStyle w:val="style0"/>
        <w:shd w:fill="FFFFFF" w:val="clear"/>
        <w:spacing w:line="360" w:lineRule="auto"/>
        <w:jc w:val="both"/>
      </w:pPr>
      <w:r>
        <w:rPr>
          <w:rFonts w:ascii="Arial" w:cs="Arial" w:hAnsi="Arial"/>
          <w:color w:val="000000"/>
          <w:sz w:val="24"/>
          <w:szCs w:val="24"/>
          <w:lang w:eastAsia="es-VE"/>
        </w:rPr>
        <w:tab/>
        <w:t xml:space="preserve">Elaborar  las estrategias financieras – operacionales </w:t>
      </w:r>
      <w:r>
        <w:rPr>
          <w:rFonts w:ascii="Arial" w:cs="Arial" w:hAnsi="Arial"/>
          <w:color w:val="000000"/>
          <w:sz w:val="24"/>
          <w:szCs w:val="24"/>
          <w:lang w:val="es-VE"/>
        </w:rPr>
        <w:t>para   gestionar la enajenación y la desincorporación de los bienes nacionales en estado de corrosión, obsoletos y en deterioro   del Instituto Universitario de Tecnología de Estado  Yaracuy</w:t>
      </w:r>
    </w:p>
    <w:p>
      <w:pPr>
        <w:pStyle w:val="style197"/>
        <w:spacing w:after="0" w:before="0"/>
        <w:jc w:val="both"/>
      </w:pPr>
      <w:r>
        <w:rPr>
          <w:rFonts w:ascii="Arial" w:cs="Arial" w:hAnsi="Arial"/>
          <w:b/>
          <w:i/>
          <w:color w:val="000000"/>
        </w:rPr>
      </w:r>
    </w:p>
    <w:p>
      <w:pPr>
        <w:pStyle w:val="style0"/>
        <w:spacing w:line="360" w:lineRule="auto"/>
        <w:jc w:val="both"/>
      </w:pPr>
      <w:r>
        <w:rPr>
          <w:rFonts w:ascii="Arial" w:cs="Arial" w:hAnsi="Arial"/>
          <w:b/>
          <w:i/>
          <w:color w:val="000000"/>
          <w:sz w:val="24"/>
          <w:szCs w:val="24"/>
        </w:rPr>
        <w:t>Objetivos específicos</w:t>
      </w:r>
    </w:p>
    <w:p>
      <w:pPr>
        <w:pStyle w:val="style0"/>
        <w:numPr>
          <w:ilvl w:val="0"/>
          <w:numId w:val="32"/>
        </w:numPr>
        <w:spacing w:after="0" w:before="0" w:line="360" w:lineRule="auto"/>
        <w:jc w:val="both"/>
      </w:pPr>
      <w:r>
        <w:rPr>
          <w:rFonts w:ascii="Arial" w:cs="Arial" w:hAnsi="Arial"/>
          <w:color w:val="000000"/>
          <w:sz w:val="24"/>
          <w:szCs w:val="24"/>
        </w:rPr>
        <w:t>Definir la Misión y Visión Objetivos y Política Generales del Instituto Universitario de Tecnología de Yaracuy</w:t>
      </w:r>
    </w:p>
    <w:p>
      <w:pPr>
        <w:pStyle w:val="style0"/>
        <w:numPr>
          <w:ilvl w:val="0"/>
          <w:numId w:val="32"/>
        </w:numPr>
        <w:spacing w:after="0" w:before="0" w:line="360" w:lineRule="auto"/>
        <w:jc w:val="both"/>
      </w:pPr>
      <w:r>
        <w:rPr>
          <w:rFonts w:ascii="Arial" w:cs="Arial" w:hAnsi="Arial"/>
          <w:color w:val="000000"/>
          <w:sz w:val="24"/>
          <w:szCs w:val="24"/>
        </w:rPr>
        <w:t>Describir los factores políticos, económicos, sociales y tecnológicos que interviene en las acciones en prosecución de los objetivos del Instituto Universitario de Tecnología de Yaracuy</w:t>
      </w:r>
    </w:p>
    <w:p>
      <w:pPr>
        <w:pStyle w:val="style0"/>
        <w:numPr>
          <w:ilvl w:val="0"/>
          <w:numId w:val="32"/>
        </w:numPr>
        <w:spacing w:after="0" w:before="0" w:line="360" w:lineRule="auto"/>
        <w:jc w:val="both"/>
      </w:pPr>
      <w:r>
        <w:rPr>
          <w:rFonts w:ascii="Arial" w:cs="Arial" w:eastAsia="Arial" w:hAnsi="Arial"/>
          <w:color w:val="000000"/>
          <w:sz w:val="24"/>
          <w:szCs w:val="24"/>
        </w:rPr>
        <w:t xml:space="preserve">  </w:t>
      </w:r>
      <w:r>
        <w:rPr>
          <w:rFonts w:ascii="Arial" w:cs="Arial" w:hAnsi="Arial"/>
          <w:color w:val="000000"/>
          <w:sz w:val="24"/>
          <w:szCs w:val="24"/>
        </w:rPr>
        <w:t>Definir la Misión y Visión de la Oficina de Bienes Públicos.</w:t>
      </w:r>
    </w:p>
    <w:p>
      <w:pPr>
        <w:pStyle w:val="style0"/>
        <w:numPr>
          <w:ilvl w:val="0"/>
          <w:numId w:val="32"/>
        </w:numPr>
        <w:spacing w:after="0" w:before="0" w:line="360" w:lineRule="auto"/>
        <w:jc w:val="both"/>
      </w:pPr>
      <w:r>
        <w:rPr>
          <w:rFonts w:ascii="Arial" w:cs="Arial" w:hAnsi="Arial"/>
          <w:color w:val="000000"/>
          <w:sz w:val="24"/>
          <w:szCs w:val="24"/>
        </w:rPr>
        <w:t>Describir la Funciones del Personal de Bienes Públicos.</w:t>
      </w:r>
    </w:p>
    <w:p>
      <w:pPr>
        <w:pStyle w:val="style0"/>
        <w:numPr>
          <w:ilvl w:val="0"/>
          <w:numId w:val="32"/>
        </w:numPr>
        <w:spacing w:after="0" w:before="0" w:line="360" w:lineRule="auto"/>
        <w:jc w:val="both"/>
      </w:pPr>
      <w:r>
        <w:rPr>
          <w:rFonts w:ascii="Arial" w:cs="Arial" w:hAnsi="Arial"/>
          <w:color w:val="000000"/>
          <w:sz w:val="24"/>
          <w:szCs w:val="24"/>
        </w:rPr>
        <w:t>Construir una matriz DOFA para determinar las necesidades de mejoras en los procesos de enajenación de los bienes de dominio público.</w:t>
      </w:r>
    </w:p>
    <w:p>
      <w:pPr>
        <w:pStyle w:val="style0"/>
        <w:numPr>
          <w:ilvl w:val="0"/>
          <w:numId w:val="32"/>
        </w:numPr>
        <w:spacing w:after="0" w:before="0" w:line="360" w:lineRule="auto"/>
        <w:jc w:val="both"/>
      </w:pPr>
      <w:r>
        <w:rPr>
          <w:rFonts w:ascii="Arial" w:cs="Arial" w:hAnsi="Arial"/>
          <w:color w:val="000000"/>
          <w:sz w:val="24"/>
          <w:szCs w:val="24"/>
        </w:rPr>
        <w:t>Establecer las acciones financieras y operacionales para la enajenación de los bienes nacionales en etapa de Obsolescencia, Deterioro, y Corrosión.</w:t>
      </w:r>
    </w:p>
    <w:p>
      <w:pPr>
        <w:pStyle w:val="style218"/>
        <w:spacing w:line="360" w:lineRule="auto"/>
        <w:jc w:val="both"/>
      </w:pPr>
      <w:r>
        <w:rPr>
          <w:rFonts w:ascii="Arial" w:cs="Arial" w:hAnsi="Arial"/>
          <w:color w:val="000000"/>
          <w:sz w:val="24"/>
          <w:szCs w:val="24"/>
          <w:lang w:val="es-ES"/>
        </w:rPr>
      </w:r>
    </w:p>
    <w:p>
      <w:pPr>
        <w:pStyle w:val="style0"/>
        <w:tabs>
          <w:tab w:leader="none" w:pos="8271" w:val="right"/>
        </w:tabs>
        <w:spacing w:line="360" w:lineRule="auto"/>
        <w:jc w:val="both"/>
      </w:pPr>
      <w:r>
        <w:rPr>
          <w:rFonts w:ascii="Arial" w:cs="Arial" w:hAnsi="Arial"/>
          <w:b/>
          <w:i/>
          <w:color w:val="000000"/>
          <w:sz w:val="24"/>
          <w:szCs w:val="24"/>
        </w:rPr>
        <w:t>Justificación de la propuesta.</w:t>
      </w:r>
    </w:p>
    <w:p>
      <w:pPr>
        <w:pStyle w:val="style0"/>
        <w:tabs>
          <w:tab w:leader="none" w:pos="8271" w:val="right"/>
        </w:tabs>
        <w:spacing w:line="240" w:lineRule="auto"/>
        <w:jc w:val="both"/>
      </w:pPr>
      <w:r>
        <w:rPr>
          <w:rFonts w:ascii="Arial" w:cs="Arial" w:hAnsi="Arial"/>
          <w:b/>
          <w:i/>
          <w:color w:val="000000"/>
          <w:sz w:val="24"/>
          <w:szCs w:val="24"/>
        </w:rPr>
      </w:r>
    </w:p>
    <w:p>
      <w:pPr>
        <w:pStyle w:val="style0"/>
        <w:spacing w:line="360" w:lineRule="auto"/>
        <w:jc w:val="both"/>
      </w:pPr>
      <w:r>
        <w:rPr>
          <w:rFonts w:ascii="Arial" w:cs="Arial" w:hAnsi="Arial"/>
          <w:b/>
          <w:color w:val="000000"/>
          <w:sz w:val="24"/>
          <w:szCs w:val="24"/>
        </w:rPr>
        <w:tab/>
      </w:r>
      <w:r>
        <w:rPr>
          <w:rFonts w:ascii="Arial" w:cs="Arial" w:hAnsi="Arial"/>
          <w:color w:val="000000"/>
          <w:sz w:val="24"/>
          <w:szCs w:val="24"/>
        </w:rPr>
        <w:t>Por la constante  preocupación y el grado de inquietud de la población universitaria en ver la concentración de las chatarras ocupando algunos espacios del IUTY, sub utilizado y esto  pueden ser aprovechado para ampliar el estacionamiento puesto que la matricula estudiantil ha crecido y muchos ellos  poseen vehículos y la mayor parte de los trabajadores, obrero y docente también posen vehículos el estacionamiento ya se hace pequeño.</w:t>
      </w:r>
    </w:p>
    <w:p>
      <w:pPr>
        <w:pStyle w:val="style0"/>
        <w:spacing w:line="360" w:lineRule="auto"/>
        <w:jc w:val="both"/>
      </w:pPr>
      <w:r>
        <w:rPr>
          <w:rFonts w:ascii="Arial" w:cs="Arial" w:hAnsi="Arial"/>
          <w:color w:val="000000"/>
          <w:sz w:val="24"/>
          <w:szCs w:val="24"/>
        </w:rPr>
        <w:tab/>
        <w:t xml:space="preserve">Otra de la opciones que puedan ser utilizado esos espacios puede ser  para la construcción del una nuevo Centro de Educación Inicial para los hijos de los trabajadores, obreros y docente de la Institución o para  la construcción de un comedor ambos se encuentra en el mismo lugar con espacios insuficientes pudiendo salir el IUTYCOS y ampliar en el espacio donde se encuentra el comedor.  </w:t>
      </w:r>
    </w:p>
    <w:p>
      <w:pPr>
        <w:pStyle w:val="style0"/>
        <w:spacing w:line="360" w:lineRule="auto"/>
        <w:jc w:val="both"/>
      </w:pPr>
      <w:r>
        <w:rPr>
          <w:rFonts w:ascii="Arial" w:cs="Arial" w:hAnsi="Arial"/>
          <w:color w:val="000000"/>
          <w:sz w:val="24"/>
          <w:szCs w:val="24"/>
        </w:rPr>
        <w:tab/>
        <w:t>Es importante acotar que  se recalca la construcción de la sede del IUTYCOS  debido  a que en el lugar donde se encuentra esta venerable a los malos olores de las aguas negras, ruidos sónicos expedidos por los estudiante que asisten al comedor y los producidos por las cava cuarto y lo que ocasiona los utensilios y cubiertos del comedor, además en la parte  lateral del IUTYCOS se encuentran las cavas cuarto donde se guarda todos los alimentos que serán utilizados para la elaboración de la comidas para los estudiantes,  la concentración de estos alimentos trae como consecuencias animales roedores, insectos y rastreros y estos animales  se escurren hacia donde se encuentra los niños.</w:t>
      </w:r>
    </w:p>
    <w:p>
      <w:pPr>
        <w:pStyle w:val="style0"/>
        <w:spacing w:line="360" w:lineRule="auto"/>
        <w:jc w:val="both"/>
      </w:pPr>
      <w:r>
        <w:rPr>
          <w:rFonts w:ascii="Arial" w:cs="Arial" w:hAnsi="Arial"/>
          <w:color w:val="000000"/>
          <w:sz w:val="24"/>
          <w:szCs w:val="24"/>
        </w:rPr>
        <w:tab/>
        <w:t xml:space="preserve"> Por lo antes expuesto, esto ha provocado señalamiento en contra de las autoridades de la institución por parte de la comunidad universitaria tildándolos como  incompetentes  por no gestionar   la desincorporación de las chatarras de la instalaciones del IUTY,  en esta investigación se observó que los últimos quince años  los directores que han y están ocupado los cargos de cuentadantes ellos sean propuesto como objetivo la desincorporación de las chatarras,  agotado todos  sus esfuerzos en la gestión ante los entes competentes para realizar la desincorporación del mismo realizando los procesos correspondientes y los mismos ha sido inútil, el último proceso cumplió con todos los requisitos exigidos excepto el del personal técnico -  especializado porque en la espera de la respuesta por el ente rector, el Gobierno Nacional emitió una nueva  Ley de Bienes Público, sufrió cambios para realizar el proceso y a su vez  deja  sin efecto la valoración realizada por el técnico, puesto que  el técnico ya no cumplía con uno de los requisitos exigido en la Ley declarando desierto el proceso o no procedente.</w:t>
      </w:r>
    </w:p>
    <w:p>
      <w:pPr>
        <w:pStyle w:val="style0"/>
        <w:spacing w:line="360" w:lineRule="auto"/>
        <w:jc w:val="both"/>
      </w:pPr>
      <w:r>
        <w:rPr>
          <w:rFonts w:ascii="Arial" w:cs="Arial" w:hAnsi="Arial"/>
          <w:color w:val="000000"/>
          <w:sz w:val="24"/>
          <w:szCs w:val="24"/>
        </w:rPr>
        <w:tab/>
        <w:t xml:space="preserve"> Enfrentando todo estos obstáculos para alcanzar el objetivo propuesto se hace necesario buscar la forma de establecer las estrategias financieras – operacionales  que permitan logar la desincorporación de los bienes nacionales en estado de Obsolescencia, deterioro y corrosión de los espacios del Instituto Universitario de Tecnología de Yaracuy.</w:t>
      </w:r>
    </w:p>
    <w:p>
      <w:pPr>
        <w:pStyle w:val="style0"/>
        <w:spacing w:line="360" w:lineRule="auto"/>
        <w:jc w:val="both"/>
      </w:pPr>
      <w:r>
        <w:rPr>
          <w:rFonts w:ascii="Arial" w:cs="Arial" w:hAnsi="Arial"/>
          <w:color w:val="000000"/>
          <w:sz w:val="24"/>
          <w:szCs w:val="24"/>
        </w:rPr>
        <w:tab/>
      </w:r>
    </w:p>
    <w:p>
      <w:pPr>
        <w:pStyle w:val="style0"/>
        <w:spacing w:line="360" w:lineRule="auto"/>
        <w:jc w:val="both"/>
      </w:pPr>
      <w:r>
        <w:rPr>
          <w:rFonts w:ascii="Arial" w:cs="Arial" w:hAnsi="Arial"/>
          <w:b/>
          <w:i/>
          <w:color w:val="000000"/>
          <w:sz w:val="24"/>
          <w:szCs w:val="24"/>
        </w:rPr>
        <w:t>Alcance de la propuesta</w:t>
      </w:r>
    </w:p>
    <w:p>
      <w:pPr>
        <w:pStyle w:val="style0"/>
        <w:spacing w:line="360" w:lineRule="auto"/>
        <w:jc w:val="both"/>
      </w:pPr>
      <w:r>
        <w:rPr>
          <w:rFonts w:ascii="Arial" w:cs="Arial" w:hAnsi="Arial"/>
          <w:b/>
          <w:i/>
          <w:color w:val="000000"/>
          <w:sz w:val="24"/>
          <w:szCs w:val="24"/>
        </w:rPr>
      </w:r>
    </w:p>
    <w:p>
      <w:pPr>
        <w:pStyle w:val="style0"/>
        <w:spacing w:line="360" w:lineRule="auto"/>
        <w:jc w:val="both"/>
      </w:pPr>
      <w:r>
        <w:rPr>
          <w:rFonts w:ascii="Arial" w:cs="Arial" w:hAnsi="Arial"/>
          <w:color w:val="000000"/>
          <w:sz w:val="24"/>
          <w:szCs w:val="24"/>
        </w:rPr>
        <w:tab/>
        <w:t>La propuesta involucra la  unidad  de Administración,  Oficina de Bienes Público, Consultoría  Jurídica -  Dirección – Ministerio del Poder Popular para la Educación Universitario, Ciencia y Tecnología. (MPPEUCT) y Superintendencia de Bienes Público, quienes son los encargados de Planificar, Organizar, coordinar, Controla y Ejecutar los procesos que se realice con respecto a la desincorporación de Bienes Nacional de los Institutos y Colegios Universitarios del País en esta oportunidad del Instituto Universitario de Tecnología de Yaracuy- (IUTY).</w:t>
      </w:r>
    </w:p>
    <w:p>
      <w:pPr>
        <w:pStyle w:val="style0"/>
        <w:spacing w:line="360" w:lineRule="auto"/>
        <w:jc w:val="both"/>
      </w:pPr>
      <w:r>
        <w:rPr>
          <w:rFonts w:ascii="Arial" w:cs="Arial" w:hAnsi="Arial"/>
          <w:color w:val="000000"/>
          <w:sz w:val="24"/>
          <w:szCs w:val="24"/>
        </w:rPr>
        <w:tab/>
        <w:t>En el caso de planificar y organizar le compete a Administración a través de las Oficina de Bienes Públicos, Contabilidad y Consultoría Jurídica.</w:t>
      </w:r>
    </w:p>
    <w:p>
      <w:pPr>
        <w:pStyle w:val="style0"/>
        <w:spacing w:line="360" w:lineRule="auto"/>
        <w:jc w:val="both"/>
      </w:pPr>
      <w:r>
        <w:rPr>
          <w:rFonts w:ascii="Arial" w:cs="Arial" w:hAnsi="Arial"/>
          <w:color w:val="000000"/>
          <w:sz w:val="24"/>
          <w:szCs w:val="24"/>
        </w:rPr>
        <w:tab/>
        <w:t>Por su parte la Dirección del IUTY administrada por  su cuentadante es el encargado  de coordinar y ejecutar los procesos  y quien controla los actos administrativo en los procesos de enajenación es Ministerio de Poder Popular para la Educación Universitaria, Ciencia y Tecnología (MPPEUCT)    y la autorización de ejecútese o la buena pro depende del y la Superintendencia de Bienes Públicos (SUDEBIP)</w:t>
      </w:r>
    </w:p>
    <w:p>
      <w:pPr>
        <w:pStyle w:val="style0"/>
        <w:pageBreakBefore/>
        <w:spacing w:line="360" w:lineRule="auto"/>
        <w:jc w:val="both"/>
      </w:pPr>
      <w:r>
        <w:rPr>
          <w:rFonts w:ascii="Arial" w:cs="Arial" w:hAnsi="Arial"/>
          <w:color w:val="000000"/>
        </w:rPr>
      </w:r>
    </w:p>
    <w:p>
      <w:pPr>
        <w:pStyle w:val="style0"/>
        <w:spacing w:line="360" w:lineRule="auto"/>
        <w:jc w:val="center"/>
      </w:pPr>
      <w:r>
        <w:rPr>
          <w:rFonts w:ascii="Arial" w:cs="Arial" w:hAnsi="Arial"/>
          <w:color w:val="000000"/>
          <w:sz w:val="24"/>
        </w:rPr>
        <w:t>Retroalimentación</w:t>
      </w:r>
    </w:p>
    <w:p>
      <w:pPr>
        <w:pStyle w:val="style0"/>
        <w:spacing w:line="360" w:lineRule="auto"/>
        <w:jc w:val="both"/>
      </w:pPr>
      <w:r>
        <w:rPr>
          <w:rFonts w:ascii="Arial" w:cs="Arial" w:hAnsi="Arial"/>
          <w:color w:val="000000"/>
          <w:lang w:eastAsia="es-VE" w:val="es-VE"/>
        </w:rPr>
        <w:pict>
          <v:shape id="shape_0" style="position:absolute;margin-left:113.7pt;margin-top:11.4pt;width:49.55pt;height:0.05pt" type="shapetype_32">
            <v:stroke color="black" endarrow="block" endarrowlength="medium" endarrowwidth="medium" joinstyle="miter" weight="9360"/>
            <v:fill detectmouseclick="t"/>
          </v:shape>
        </w:pict>
        <w:pict>
          <v:shape id="shape_0" style="position:absolute;margin-left:272.2pt;margin-top:11.45pt;width:36pt;height:0.05pt" type="shapetype_32">
            <v:stroke color="black" endarrow="block" endarrowlength="medium" endarrowwidth="medium" joinstyle="miter" weight="9360"/>
            <v:fill detectmouseclick="t"/>
          </v:shape>
        </w:pict>
        <w:pict>
          <v:shape id="shape_0" style="position:absolute;margin-left:272.2pt;margin-top:5.4pt;width:35.9pt;height:0pt" type="shapetype_32">
            <v:stroke color="black" endarrow="block" endarrowlength="medium" endarrowwidth="medium" joinstyle="miter" weight="9360"/>
            <v:fill detectmouseclick="t"/>
          </v:shape>
        </w:pict>
        <w:pict>
          <v:shape id="shape_0" style="position:absolute;margin-left:113.7pt;margin-top:5.4pt;width:49.45pt;height:0pt" type="shapetype_32">
            <v:stroke color="black" endarrow="block" endarrowlength="medium" endarrowwidth="medium" joinstyle="miter" weight="9360"/>
            <v:fill detectmouseclick="t"/>
          </v:shape>
        </w:pict>
        <w:pict>
          <v:shapetype id="shapetype_34" coordsize="21600,21600" o:spt="34" adj="10800" path="m,l@0,l@0,21600l21600,21600nfe">
            <v:stroke joinstyle="miter"/>
            <v:formulas>
              <v:f eqn="val #0"/>
            </v:formulas>
            <v:path gradientshapeok="t" o:connecttype="rect" textboxrect="0,0,21600,21600"/>
            <v:handles>
              <v:h position="@0,10800"/>
            </v:handles>
          </v:shapetype>
          <v:shape id="shape_0" style="position:absolute;margin-left:54.45pt;margin-top:22.35pt;width:114.25pt;height:48pt" type="shapetype_34">
            <v:stroke color="black" endarrow="block" endarrowlength="medium" endarrowwidth="medium" joinstyle="miter" weight="9360"/>
            <v:fill detectmouseclick="t"/>
          </v:shape>
        </w:pict>
        <w:pict>
          <v:shape id="shape_0" style="position:absolute;margin-left:-74.85pt;margin-top:-23.05pt;width:121.75pt;height:45.4pt" type="shapetype_34">
            <v:stroke color="black" endarrow="block" endarrowlength="medium" endarrowwidth="medium" joinstyle="miter" weight="9360"/>
            <v:fill detectmouseclick="t"/>
          </v:shape>
        </w:pict>
        <w:pict>
          <v:shape id="shape_0" style="position:absolute;margin-left:113.7pt;margin-top:17.85pt;width:49.55pt;height:0pt" type="shapetype_32">
            <v:stroke color="black" endarrow="block" endarrowlength="medium" endarrowwidth="medium" joinstyle="miter" weight="9360"/>
            <v:fill detectmouseclick="t"/>
          </v:shape>
        </w:pict>
      </w:r>
    </w:p>
    <w:p>
      <w:pPr>
        <w:pStyle w:val="style0"/>
        <w:spacing w:after="200" w:before="0"/>
      </w:pPr>
      <w:r>
        <w:rPr>
          <w:sz w:val="20"/>
        </w:rPr>
        <w:t>BIENES PÚBLICO</w:t>
      </w:r>
    </w:p>
    <w:p>
      <w:pPr>
        <w:pStyle w:val="style0"/>
        <w:spacing w:line="360" w:lineRule="auto"/>
        <w:jc w:val="both"/>
      </w:pPr>
      <w:r>
        <w:rPr>
          <w:color w:val="000000"/>
        </w:rPr>
      </w:r>
    </w:p>
    <w:p>
      <w:pPr>
        <w:pStyle w:val="style0"/>
        <w:spacing w:line="360" w:lineRule="auto"/>
        <w:jc w:val="both"/>
      </w:pPr>
      <w:r>
        <w:rPr>
          <w:color w:val="000000"/>
          <w:lang w:eastAsia="es-VE" w:val="es-VE"/>
        </w:rPr>
        <w:pict>
          <v:shape id="shape_0" style="position:absolute;margin-left:277.45pt;margin-top:13.5pt;width:30.75pt;height:0.05pt" type="shapetype_32">
            <v:stroke color="black" endarrow="block" endarrowlength="medium" endarrowwidth="medium" joinstyle="miter" weight="9360"/>
            <v:fill detectmouseclick="t"/>
          </v:shape>
        </w:pict>
        <w:pict>
          <v:shape id="shape_0" style="position:absolute;margin-left:275.95pt;margin-top:7.5pt;width:30.7pt;height:0.65pt" type="shapetype_32">
            <v:stroke color="black" endarrow="block" endarrowlength="medium" endarrowwidth="medium" joinstyle="miter" weight="9360"/>
            <v:fill detectmouseclick="t"/>
          </v:shape>
        </w:pict>
        <w:pict>
          <v:shape id="shape_0" style="position:absolute;margin-left:96.3pt;margin-top:13.5pt;width:72.4pt;height:61.25pt" type="shapetype_34">
            <v:stroke color="black" endarrow="block" endarrowlength="medium" endarrowwidth="medium" joinstyle="miter" weight="9360"/>
            <v:fill detectmouseclick="t"/>
          </v:shape>
        </w:pict>
        <w:pict>
          <v:shape id="shape_0" style="position:absolute;margin-left:83.7pt;margin-top:-25.05pt;width:73.45pt;height:50.25pt" type="shapetype_34">
            <v:stroke color="black" endarrow="block" endarrowlength="medium" endarrowwidth="medium" joinstyle="miter" weight="9360"/>
            <v:fill detectmouseclick="t"/>
          </v:shape>
        </w:pict>
      </w:r>
    </w:p>
    <w:p>
      <w:pPr>
        <w:pStyle w:val="style0"/>
        <w:spacing w:after="200" w:before="0"/>
        <w:jc w:val="center"/>
      </w:pPr>
      <w:r>
        <w:rPr>
          <w:sz w:val="14"/>
        </w:rPr>
        <w:t>CONSULTORIA JURIDICA</w:t>
      </w:r>
    </w:p>
    <w:p>
      <w:pPr>
        <w:pStyle w:val="style0"/>
        <w:spacing w:line="360" w:lineRule="auto"/>
        <w:jc w:val="both"/>
      </w:pPr>
      <w:r>
        <w:rPr>
          <w:color w:val="000000"/>
        </w:rPr>
      </w:r>
    </w:p>
    <w:p>
      <w:pPr>
        <w:pStyle w:val="style0"/>
        <w:spacing w:line="360" w:lineRule="auto"/>
        <w:jc w:val="both"/>
      </w:pPr>
      <w:r>
        <w:rPr>
          <w:color w:val="000000"/>
          <w:lang w:eastAsia="es-VE" w:val="es-VE"/>
        </w:rPr>
        <w:pict>
          <v:shape id="shape_0" style="position:absolute;margin-left:157.2pt;margin-top:28.15pt;width:149.4pt;height:2.25pt" type="shapetype_32">
            <v:stroke color="black" endarrow="block" endarrowlength="medium" endarrowwidth="medium" joinstyle="miter" startarrow="block" startarrowlength="medium" startarrowwidth="medium" weight="9360"/>
            <v:fill detectmouseclick="t"/>
          </v:shape>
        </w:pict>
      </w:r>
    </w:p>
    <w:p>
      <w:pPr>
        <w:pStyle w:val="style0"/>
        <w:spacing w:after="200" w:before="0"/>
        <w:jc w:val="center"/>
      </w:pPr>
      <w:r>
        <w:rPr>
          <w:sz w:val="20"/>
        </w:rPr>
        <w:t>SEDEBIP</w:t>
      </w:r>
    </w:p>
    <w:p>
      <w:pPr>
        <w:pStyle w:val="style0"/>
        <w:spacing w:line="360" w:lineRule="auto"/>
        <w:jc w:val="both"/>
      </w:pPr>
      <w:r>
        <w:rPr>
          <w:color w:val="000000"/>
        </w:rPr>
      </w:r>
    </w:p>
    <w:p>
      <w:pPr>
        <w:pStyle w:val="style199"/>
      </w:pPr>
      <w:r>
        <w:rPr>
          <w:rFonts w:ascii="Arial" w:cs="Arial" w:hAnsi="Arial"/>
          <w:color w:val="000000"/>
          <w:sz w:val="20"/>
          <w:szCs w:val="24"/>
        </w:rPr>
        <w:t>Fig. N°6   Unidades y  Dependencias  Involucradas en el Proceso de Enajenación</w:t>
      </w:r>
    </w:p>
    <w:p>
      <w:pPr>
        <w:pStyle w:val="style199"/>
        <w:ind w:hanging="0" w:left="709" w:right="0"/>
        <w:jc w:val="both"/>
      </w:pPr>
      <w:r>
        <w:rPr>
          <w:rFonts w:ascii="Arial" w:cs="Arial" w:hAnsi="Arial"/>
          <w:color w:val="000000"/>
          <w:sz w:val="20"/>
          <w:szCs w:val="24"/>
        </w:rPr>
        <w:t>Fuente: Mendoza (2015</w:t>
      </w:r>
      <w:r>
        <w:rPr>
          <w:color w:val="000000"/>
          <w:sz w:val="18"/>
        </w:rPr>
        <w:t>)</w:t>
      </w:r>
    </w:p>
    <w:p>
      <w:pPr>
        <w:pStyle w:val="style0"/>
        <w:autoSpaceDE w:val="false"/>
        <w:spacing w:line="360" w:lineRule="auto"/>
        <w:ind w:firstLine="567" w:left="0" w:right="0"/>
        <w:jc w:val="both"/>
      </w:pPr>
      <w:r>
        <w:rPr>
          <w:rFonts w:cs="Calibri"/>
          <w:b/>
          <w:color w:val="000000"/>
        </w:rPr>
        <w:t xml:space="preserve"> </w:t>
      </w:r>
    </w:p>
    <w:p>
      <w:pPr>
        <w:pStyle w:val="style0"/>
        <w:autoSpaceDE w:val="false"/>
        <w:spacing w:line="360" w:lineRule="auto"/>
        <w:jc w:val="both"/>
      </w:pPr>
      <w:r>
        <w:rPr>
          <w:rFonts w:ascii="Arial" w:cs="Arial" w:hAnsi="Arial"/>
          <w:i/>
          <w:color w:val="000000"/>
          <w:sz w:val="24"/>
          <w:szCs w:val="24"/>
          <w:lang w:val="es-VE"/>
        </w:rPr>
        <w:t>Factibilidad Técnica, Económica y Financiera  de las Estrategias Financieras -  operacionales  para la gestión de  reutilización de los Benes Nacionales en Estado Obsoletos,  Deterioro y Corrosión,   del Instituto Universitario de Tecnología de Estado  Yaracuy</w:t>
      </w:r>
    </w:p>
    <w:p>
      <w:pPr>
        <w:pStyle w:val="style197"/>
        <w:spacing w:after="0" w:before="0" w:line="360" w:lineRule="auto"/>
        <w:jc w:val="both"/>
      </w:pPr>
      <w:r>
        <w:rPr>
          <w:rFonts w:ascii="Arial" w:cs="Arial" w:hAnsi="Arial"/>
          <w:b/>
          <w:i/>
          <w:color w:val="000000"/>
        </w:rPr>
      </w:r>
    </w:p>
    <w:p>
      <w:pPr>
        <w:pStyle w:val="style0"/>
        <w:shd w:fill="FFFFFF" w:val="clear"/>
        <w:spacing w:line="360" w:lineRule="auto"/>
        <w:ind w:firstLine="567" w:left="0" w:right="0"/>
        <w:jc w:val="both"/>
      </w:pPr>
      <w:r>
        <w:rPr>
          <w:rFonts w:ascii="Arial" w:cs="Arial" w:hAnsi="Arial"/>
          <w:b/>
          <w:i/>
          <w:color w:val="000000"/>
          <w:sz w:val="24"/>
          <w:szCs w:val="24"/>
          <w:lang w:val="es-VE"/>
        </w:rPr>
        <w:tab/>
      </w:r>
      <w:r>
        <w:rPr>
          <w:rFonts w:ascii="Arial" w:cs="Arial" w:hAnsi="Arial"/>
          <w:color w:val="000000"/>
          <w:sz w:val="24"/>
          <w:szCs w:val="24"/>
          <w:lang w:val="es-VE"/>
        </w:rPr>
        <w:t>La  factibilidad  se centra en el análisis del rendimiento aquí se analizan las contribuciones específicas como: la eficiencia, la efectividad, la pertinencia y la sostenibilidad  de un estudio.</w:t>
      </w:r>
    </w:p>
    <w:p>
      <w:pPr>
        <w:pStyle w:val="style0"/>
        <w:shd w:fill="FFFFFF" w:val="clear"/>
        <w:spacing w:line="360" w:lineRule="auto"/>
        <w:ind w:firstLine="567" w:left="0" w:right="0"/>
        <w:jc w:val="both"/>
      </w:pPr>
      <w:r>
        <w:rPr>
          <w:rFonts w:ascii="Arial" w:cs="Arial" w:hAnsi="Arial"/>
          <w:color w:val="000000"/>
          <w:sz w:val="24"/>
          <w:szCs w:val="24"/>
          <w:lang w:val="es-VE"/>
        </w:rPr>
        <w:t xml:space="preserve">Por esta razón se analizarán si las Estrategias Financieras – Operacional cumplen con las condiciones especifica que permite asegurar el alcance de los objetivos,  así como también la viabilidad y sustentabilidad de la aplicación de la  misma en las estrategias financieras – operacionales  </w:t>
      </w:r>
      <w:r>
        <w:rPr>
          <w:rFonts w:ascii="Arial" w:cs="Arial" w:hAnsi="Arial"/>
          <w:bCs/>
          <w:color w:val="000000"/>
          <w:sz w:val="24"/>
          <w:szCs w:val="24"/>
        </w:rPr>
        <w:t>para la  reutilización</w:t>
      </w:r>
      <w:r>
        <w:rPr>
          <w:rFonts w:ascii="Arial" w:cs="Arial" w:hAnsi="Arial"/>
          <w:color w:val="000000"/>
          <w:sz w:val="24"/>
          <w:szCs w:val="24"/>
        </w:rPr>
        <w:t xml:space="preserve"> de Bienes Nacionales del Instituto Universitario de Tecnología de Yaracuy como Insumo para la Producción Automotriz y la Construcción Civil en Venezuela, </w:t>
      </w:r>
      <w:r>
        <w:rPr>
          <w:rFonts w:ascii="Arial" w:cs="Arial" w:hAnsi="Arial"/>
          <w:color w:val="000000"/>
          <w:sz w:val="24"/>
          <w:szCs w:val="24"/>
          <w:lang w:val="es-VE"/>
        </w:rPr>
        <w:t xml:space="preserve">  para lograr  este objetivo se evaluara las factibilidad   Operativa, Técnica y Financiera de la investigación. </w:t>
      </w:r>
    </w:p>
    <w:p>
      <w:pPr>
        <w:pStyle w:val="style0"/>
        <w:shd w:fill="FFFFFF" w:val="clear"/>
        <w:spacing w:line="360" w:lineRule="auto"/>
        <w:jc w:val="both"/>
      </w:pPr>
      <w:r>
        <w:rPr>
          <w:rFonts w:ascii="Arial" w:cs="Arial" w:hAnsi="Arial"/>
          <w:b/>
          <w:color w:val="000000"/>
          <w:sz w:val="24"/>
          <w:szCs w:val="24"/>
          <w:lang w:val="es-VE"/>
        </w:rPr>
        <w:t>Factibilidad Operativa</w:t>
      </w:r>
    </w:p>
    <w:p>
      <w:pPr>
        <w:pStyle w:val="style0"/>
        <w:shd w:fill="FFFFFF" w:val="clear"/>
        <w:spacing w:line="360" w:lineRule="auto"/>
        <w:ind w:firstLine="567" w:left="0" w:right="0"/>
        <w:jc w:val="both"/>
      </w:pPr>
      <w:r>
        <w:rPr>
          <w:rFonts w:ascii="Arial" w:cs="Arial" w:hAnsi="Arial"/>
          <w:color w:val="000000"/>
          <w:sz w:val="24"/>
          <w:szCs w:val="24"/>
          <w:lang w:val="es-VE"/>
        </w:rPr>
        <w:t>En esta fase, corresponde con todos los procesos y recursos  que interviene en la ejecución  para alcanzar la propuesta de elaborar la Estrategias Financieras  - Operacionales, tomando como  criterios:</w:t>
      </w:r>
    </w:p>
    <w:p>
      <w:pPr>
        <w:pStyle w:val="style0"/>
        <w:numPr>
          <w:ilvl w:val="0"/>
          <w:numId w:val="48"/>
        </w:numPr>
        <w:shd w:fill="FFFFFF" w:val="clear"/>
        <w:spacing w:after="0" w:before="0" w:line="360" w:lineRule="auto"/>
        <w:jc w:val="both"/>
      </w:pPr>
      <w:r>
        <w:rPr>
          <w:rFonts w:ascii="Arial" w:cs="Arial" w:hAnsi="Arial"/>
          <w:color w:val="000000"/>
          <w:sz w:val="24"/>
          <w:szCs w:val="24"/>
          <w:lang w:val="es-VE"/>
        </w:rPr>
        <w:t>El Recurso Humano que participara  en el desarrollo del proceso de Enajenación de los Bienes Nacionales en Estado de Obsolescencia, Deterioro y Corrosión.</w:t>
      </w:r>
    </w:p>
    <w:p>
      <w:pPr>
        <w:pStyle w:val="style0"/>
        <w:numPr>
          <w:ilvl w:val="0"/>
          <w:numId w:val="48"/>
        </w:numPr>
        <w:shd w:fill="FFFFFF" w:val="clear"/>
        <w:spacing w:after="0" w:before="0" w:line="360" w:lineRule="auto"/>
        <w:jc w:val="both"/>
      </w:pPr>
      <w:r>
        <w:rPr>
          <w:rFonts w:ascii="Arial" w:cs="Arial" w:hAnsi="Arial"/>
          <w:color w:val="000000"/>
          <w:sz w:val="24"/>
          <w:szCs w:val="24"/>
          <w:lang w:val="es-VE"/>
        </w:rPr>
        <w:t>Personal Especializado.</w:t>
      </w:r>
    </w:p>
    <w:p>
      <w:pPr>
        <w:pStyle w:val="style0"/>
        <w:numPr>
          <w:ilvl w:val="0"/>
          <w:numId w:val="32"/>
        </w:numPr>
        <w:shd w:fill="FFFFFF" w:val="clear"/>
        <w:spacing w:after="0" w:before="0" w:line="360" w:lineRule="auto"/>
        <w:jc w:val="both"/>
      </w:pPr>
      <w:r>
        <w:rPr>
          <w:rFonts w:ascii="Arial" w:cs="Arial" w:hAnsi="Arial"/>
          <w:color w:val="000000"/>
          <w:sz w:val="24"/>
          <w:szCs w:val="24"/>
          <w:lang w:val="es-VE"/>
        </w:rPr>
        <w:t>Capacidad Legal, administrativa y el área donde se desarrollará las actividades sobre el proceso.</w:t>
      </w:r>
    </w:p>
    <w:p>
      <w:pPr>
        <w:pStyle w:val="style0"/>
        <w:shd w:fill="FFFFFF" w:val="clear"/>
        <w:spacing w:line="360" w:lineRule="auto"/>
        <w:ind w:hanging="0" w:left="348" w:right="0"/>
        <w:jc w:val="both"/>
      </w:pPr>
      <w:r>
        <w:rPr>
          <w:rFonts w:ascii="Arial" w:cs="Arial" w:hAnsi="Arial"/>
          <w:color w:val="000000"/>
          <w:sz w:val="24"/>
          <w:szCs w:val="24"/>
          <w:lang w:val="es-VE"/>
        </w:rPr>
      </w:r>
    </w:p>
    <w:p>
      <w:pPr>
        <w:pStyle w:val="style0"/>
        <w:shd w:fill="FFFFFF" w:val="clear"/>
        <w:spacing w:line="360" w:lineRule="auto"/>
        <w:jc w:val="both"/>
      </w:pPr>
      <w:r>
        <w:rPr>
          <w:rFonts w:ascii="Arial" w:cs="Arial" w:hAnsi="Arial"/>
          <w:color w:val="000000"/>
          <w:sz w:val="24"/>
          <w:szCs w:val="24"/>
          <w:lang w:val="es-VE"/>
        </w:rPr>
        <w:tab/>
        <w:t xml:space="preserve">De acuerdo con lo antes citado  es conveniente aclarar que el Instituto Universitario de Tecnología de Yaracuy cuenta con el personal capacitado para realizar el proceso además en su estructura organizativa existe la Comisión de Contrataciones de Obras Públicas que es la responsable de Licitar cualquier proceso  (concurso abierto o cerrado) que se le delegue.  </w:t>
      </w:r>
    </w:p>
    <w:p>
      <w:pPr>
        <w:pStyle w:val="style0"/>
        <w:shd w:fill="FFFFFF" w:val="clear"/>
        <w:spacing w:line="360" w:lineRule="auto"/>
        <w:jc w:val="both"/>
      </w:pPr>
      <w:r>
        <w:rPr>
          <w:rFonts w:ascii="Arial" w:cs="Arial" w:hAnsi="Arial"/>
          <w:color w:val="000000"/>
          <w:sz w:val="24"/>
          <w:szCs w:val="24"/>
          <w:lang w:val="es-VE"/>
        </w:rPr>
        <w:tab/>
        <w:t xml:space="preserve">También dentro </w:t>
      </w:r>
      <w:r>
        <w:rPr>
          <w:rFonts w:ascii="Arial" w:cs="Arial" w:hAnsi="Arial"/>
          <w:color w:val="000000"/>
          <w:sz w:val="24"/>
          <w:szCs w:val="24"/>
        </w:rPr>
        <w:t xml:space="preserve"> la institución  funcionan las  Unidades de Consultoría Jurídica </w:t>
      </w:r>
      <w:r>
        <w:rPr>
          <w:rFonts w:ascii="Arial" w:cs="Arial" w:hAnsi="Arial"/>
          <w:color w:val="000000"/>
          <w:sz w:val="24"/>
          <w:szCs w:val="24"/>
          <w:lang w:val="es-VE"/>
        </w:rPr>
        <w:t xml:space="preserve">y Administrativa,  también cuenta  con los espacios físicos requeridos  para desarrollar un nuevo  proceso de Enajenación de Bienes que se encuentran en </w:t>
      </w:r>
      <w:r>
        <w:rPr>
          <w:rStyle w:val="style168"/>
          <w:rFonts w:ascii="Arial" w:cs="Arial" w:hAnsi="Arial"/>
          <w:color w:val="000000"/>
          <w:sz w:val="24"/>
          <w:szCs w:val="24"/>
        </w:rPr>
        <w:t>Etapa de Deterioro, Obsolescencia y Corrosión.</w:t>
      </w:r>
    </w:p>
    <w:p>
      <w:pPr>
        <w:pStyle w:val="style0"/>
        <w:shd w:fill="FFFFFF" w:val="clear"/>
        <w:spacing w:line="360" w:lineRule="auto"/>
        <w:jc w:val="both"/>
      </w:pPr>
      <w:r>
        <w:rPr>
          <w:rFonts w:ascii="Arial" w:cs="Arial" w:hAnsi="Arial"/>
          <w:b/>
          <w:color w:val="000000"/>
          <w:sz w:val="24"/>
          <w:szCs w:val="24"/>
        </w:rPr>
      </w:r>
    </w:p>
    <w:p>
      <w:pPr>
        <w:pStyle w:val="style0"/>
        <w:shd w:fill="FFFFFF" w:val="clear"/>
        <w:spacing w:line="360" w:lineRule="auto"/>
        <w:jc w:val="both"/>
      </w:pPr>
      <w:r>
        <w:rPr>
          <w:rFonts w:ascii="Arial" w:cs="Arial" w:hAnsi="Arial"/>
          <w:b/>
          <w:color w:val="000000"/>
          <w:sz w:val="24"/>
          <w:szCs w:val="24"/>
        </w:rPr>
      </w:r>
    </w:p>
    <w:p>
      <w:pPr>
        <w:pStyle w:val="style0"/>
        <w:shd w:fill="FFFFFF" w:val="clear"/>
        <w:spacing w:line="360" w:lineRule="auto"/>
        <w:jc w:val="both"/>
      </w:pPr>
      <w:r>
        <w:rPr>
          <w:rFonts w:ascii="Arial" w:cs="Arial" w:hAnsi="Arial"/>
          <w:b/>
          <w:color w:val="000000"/>
          <w:sz w:val="24"/>
          <w:szCs w:val="24"/>
        </w:rPr>
        <w:t>Factibilidad Técnica:</w:t>
      </w:r>
    </w:p>
    <w:p>
      <w:pPr>
        <w:pStyle w:val="style0"/>
        <w:spacing w:line="360" w:lineRule="auto"/>
        <w:ind w:hanging="0" w:left="360" w:right="0"/>
        <w:jc w:val="both"/>
      </w:pPr>
      <w:r>
        <w:rPr>
          <w:rFonts w:ascii="Arial" w:cs="Arial" w:hAnsi="Arial"/>
          <w:b/>
          <w:color w:val="000000"/>
          <w:sz w:val="24"/>
          <w:szCs w:val="24"/>
          <w:lang w:val="es-VE"/>
        </w:rPr>
        <w:tab/>
      </w:r>
      <w:r>
        <w:rPr>
          <w:rFonts w:ascii="Arial" w:cs="Arial" w:hAnsi="Arial"/>
          <w:color w:val="000000"/>
          <w:sz w:val="24"/>
          <w:szCs w:val="24"/>
          <w:lang w:val="es-VE"/>
        </w:rPr>
        <w:t xml:space="preserve">La factibilidad técnica estudia la posibilidad tecnología que posee una institución para gestionar un estudio o investigación </w:t>
      </w:r>
    </w:p>
    <w:p>
      <w:pPr>
        <w:pStyle w:val="style0"/>
        <w:shd w:fill="FFFFFF" w:val="clear"/>
        <w:spacing w:line="360" w:lineRule="auto"/>
        <w:jc w:val="both"/>
      </w:pPr>
      <w:r>
        <w:rPr>
          <w:rFonts w:ascii="Arial" w:cs="Arial" w:hAnsi="Arial"/>
          <w:color w:val="000000"/>
          <w:sz w:val="24"/>
          <w:szCs w:val="24"/>
        </w:rPr>
        <w:tab/>
      </w:r>
      <w:r>
        <w:rPr>
          <w:rFonts w:ascii="Arial" w:cs="Arial" w:hAnsi="Arial"/>
          <w:color w:val="000000"/>
          <w:sz w:val="24"/>
          <w:szCs w:val="24"/>
          <w:lang w:val="es-VE"/>
        </w:rPr>
        <w:t xml:space="preserve">En este momento de la investigación se presentaran las condiciones técnicas que presenta IUTY para el desarrollo de las Estrategias Financieras – Operacionales </w:t>
      </w:r>
      <w:r>
        <w:rPr>
          <w:rFonts w:ascii="Arial" w:cs="Arial" w:hAnsi="Arial"/>
          <w:bCs/>
          <w:color w:val="000000"/>
          <w:sz w:val="24"/>
          <w:szCs w:val="24"/>
        </w:rPr>
        <w:t>para la reutilización</w:t>
      </w:r>
      <w:r>
        <w:rPr>
          <w:rFonts w:ascii="Arial" w:cs="Arial" w:hAnsi="Arial"/>
          <w:color w:val="000000"/>
          <w:sz w:val="24"/>
          <w:szCs w:val="24"/>
        </w:rPr>
        <w:t xml:space="preserve"> de Bienes Nacionales del Instituto Universitario de Tecnología de Yaracuy como Insumo para la Producción Automotriz y la Construcción Civil en Venezuela</w:t>
      </w:r>
    </w:p>
    <w:p>
      <w:pPr>
        <w:pStyle w:val="style0"/>
        <w:shd w:fill="FFFFFF" w:val="clear"/>
        <w:spacing w:line="360" w:lineRule="auto"/>
        <w:ind w:firstLine="567" w:left="0" w:right="0"/>
        <w:jc w:val="both"/>
      </w:pPr>
      <w:r>
        <w:rPr>
          <w:rFonts w:ascii="Arial" w:cs="Arial" w:hAnsi="Arial"/>
          <w:color w:val="000000"/>
          <w:sz w:val="24"/>
          <w:szCs w:val="24"/>
          <w:lang w:val="es-VE"/>
        </w:rPr>
        <w:t>Estas condiciones técnicas estarán proporcionadas por la capacidad de la institución en cuanto a: Mobiliarios, E</w:t>
      </w:r>
      <w:r>
        <w:rPr>
          <w:rFonts w:ascii="Arial" w:cs="Arial" w:hAnsi="Arial"/>
          <w:color w:val="000000"/>
          <w:sz w:val="24"/>
          <w:szCs w:val="24"/>
        </w:rPr>
        <w:t xml:space="preserve">quipos Tecnológicos (software/hardware), </w:t>
      </w:r>
      <w:r>
        <w:rPr>
          <w:rFonts w:ascii="Arial" w:cs="Arial" w:hAnsi="Arial"/>
          <w:color w:val="000000"/>
          <w:sz w:val="24"/>
          <w:szCs w:val="24"/>
          <w:lang w:val="es-VE"/>
        </w:rPr>
        <w:t>mesas de trabajo, pizarra acrílica, equipo multimedia y video beam, además de contar con los documentos, soporte Técnicos y legal,  para cumplir con estas estrategias.</w:t>
      </w:r>
    </w:p>
    <w:p>
      <w:pPr>
        <w:pStyle w:val="style0"/>
        <w:shd w:fill="FFFFFF" w:val="clear"/>
        <w:spacing w:line="360" w:lineRule="auto"/>
        <w:jc w:val="both"/>
      </w:pPr>
      <w:r>
        <w:rPr>
          <w:rFonts w:ascii="Arial" w:cs="Arial" w:hAnsi="Arial"/>
          <w:b/>
          <w:color w:val="000000"/>
          <w:sz w:val="24"/>
          <w:szCs w:val="24"/>
        </w:rPr>
        <w:t>Factibilidad Económica</w:t>
      </w:r>
      <w:r>
        <w:rPr>
          <w:rFonts w:ascii="Arial" w:cs="Arial" w:hAnsi="Arial"/>
          <w:color w:val="000000"/>
          <w:sz w:val="24"/>
          <w:szCs w:val="24"/>
        </w:rPr>
        <w:t xml:space="preserve">: </w:t>
      </w:r>
    </w:p>
    <w:p>
      <w:pPr>
        <w:pStyle w:val="style0"/>
        <w:shd w:fill="FFFFFF" w:val="clear"/>
        <w:spacing w:line="360" w:lineRule="auto"/>
        <w:jc w:val="both"/>
      </w:pPr>
      <w:r>
        <w:rPr>
          <w:rFonts w:ascii="Arial" w:cs="Arial" w:hAnsi="Arial"/>
          <w:color w:val="000000"/>
          <w:sz w:val="24"/>
          <w:szCs w:val="24"/>
        </w:rPr>
        <w:tab/>
        <w:t>Aquí se refiere a los recursos económicos y financieros que son necesarios para desarrollar o llevar a cabo las actividades o procesos y/o para obtener los recursos básicos que deben considerarse son el costo del tiempo, el costo de la realización y el costo de adquirir nuevos recursos.</w:t>
      </w:r>
    </w:p>
    <w:p>
      <w:pPr>
        <w:pStyle w:val="style0"/>
        <w:shd w:fill="FFFFFF" w:val="clear"/>
        <w:spacing w:line="360" w:lineRule="auto"/>
        <w:jc w:val="both"/>
      </w:pPr>
      <w:r>
        <w:rPr>
          <w:rFonts w:ascii="Arial" w:cs="Arial" w:hAnsi="Arial"/>
          <w:color w:val="000000"/>
          <w:sz w:val="24"/>
          <w:szCs w:val="24"/>
        </w:rPr>
        <w:tab/>
        <w:t xml:space="preserve">Según las características de la propuesta  en relación a los recursos económicos y financiero  </w:t>
      </w:r>
      <w:r>
        <w:rPr>
          <w:rFonts w:ascii="Arial" w:cs="Arial" w:hAnsi="Arial"/>
          <w:color w:val="000000"/>
          <w:sz w:val="24"/>
          <w:szCs w:val="24"/>
          <w:lang w:val="es-VE"/>
        </w:rPr>
        <w:t xml:space="preserve">se tomará en cuenta la capacidad institucional y ver si </w:t>
      </w:r>
      <w:r>
        <w:rPr>
          <w:rFonts w:ascii="Arial" w:cs="Arial" w:hAnsi="Arial"/>
          <w:color w:val="000000"/>
          <w:sz w:val="24"/>
          <w:szCs w:val="24"/>
        </w:rPr>
        <w:t xml:space="preserve">estos se podrán  obtener de los recursos propios de la institución. </w:t>
      </w:r>
    </w:p>
    <w:p>
      <w:pPr>
        <w:pStyle w:val="style0"/>
        <w:shd w:fill="FFFFFF" w:val="clear"/>
        <w:spacing w:line="360" w:lineRule="auto"/>
        <w:jc w:val="both"/>
      </w:pPr>
      <w:r>
        <w:rPr>
          <w:rFonts w:ascii="Arial" w:cs="Arial" w:hAnsi="Arial"/>
          <w:color w:val="000000"/>
          <w:sz w:val="24"/>
          <w:szCs w:val="24"/>
        </w:rPr>
        <w:tab/>
        <w:t xml:space="preserve">Se considera sobre los Recursos Propio de la Institución porque </w:t>
      </w:r>
      <w:r>
        <w:rPr>
          <w:rFonts w:ascii="Arial" w:cs="Arial" w:hAnsi="Arial"/>
          <w:color w:val="000000"/>
          <w:sz w:val="24"/>
          <w:szCs w:val="24"/>
          <w:lang w:val="es-VE"/>
        </w:rPr>
        <w:t xml:space="preserve"> las asignaciones presupuestarias asignadas por el Ministerio del Poder Popular para la Educación Universitario, Ciencia y Tecnología  son para honrar los compromisos laborales y operativos de la misma y estos no se pueden desviar para ejecutar  nuevamente otro proceso en su defecto erogar otra cantidad de efectivo para la cancelación del personal capacitado (Perito). </w:t>
      </w:r>
    </w:p>
    <w:p>
      <w:pPr>
        <w:pStyle w:val="style0"/>
        <w:shd w:fill="FFFFFF" w:val="clear"/>
        <w:spacing w:line="240" w:lineRule="auto"/>
      </w:pPr>
      <w:r>
        <w:rPr>
          <w:rFonts w:ascii="Arial" w:cs="Arial" w:hAnsi="Arial"/>
          <w:color w:val="000000"/>
          <w:sz w:val="24"/>
          <w:szCs w:val="24"/>
          <w:lang w:val="es-VE"/>
        </w:rPr>
      </w:r>
    </w:p>
    <w:p>
      <w:pPr>
        <w:pStyle w:val="style0"/>
        <w:shd w:fill="FFFFFF" w:val="clear"/>
        <w:spacing w:line="360" w:lineRule="auto"/>
        <w:jc w:val="both"/>
      </w:pPr>
      <w:r>
        <w:rPr>
          <w:rFonts w:ascii="Arial" w:cs="Arial" w:hAnsi="Arial"/>
          <w:b/>
          <w:color w:val="000000"/>
          <w:sz w:val="24"/>
          <w:szCs w:val="24"/>
          <w:lang w:val="es-VE"/>
        </w:rPr>
        <w:t>Fase de Diseño</w:t>
      </w:r>
    </w:p>
    <w:p>
      <w:pPr>
        <w:pStyle w:val="style197"/>
        <w:spacing w:after="0" w:before="0" w:line="360" w:lineRule="auto"/>
        <w:jc w:val="both"/>
      </w:pPr>
      <w:r>
        <w:rPr>
          <w:rFonts w:ascii="Arial" w:cs="Arial" w:hAnsi="Arial"/>
          <w:color w:val="000000"/>
        </w:rPr>
        <w:tab/>
        <w:t xml:space="preserve">Estas estrategias surgen del diagnóstico situacional  realizado y se consideran eficaces para desarrollar el “qué hacer”, el “cómo hacer” para la debida elaboración de las estrategias Financieras – Operacionales </w:t>
      </w:r>
      <w:r>
        <w:rPr>
          <w:rFonts w:ascii="Arial" w:cs="Arial" w:hAnsi="Arial"/>
          <w:bCs/>
          <w:color w:val="000000"/>
        </w:rPr>
        <w:t>para la reutilización</w:t>
      </w:r>
      <w:r>
        <w:rPr>
          <w:rFonts w:ascii="Arial" w:cs="Arial" w:hAnsi="Arial"/>
          <w:color w:val="000000"/>
        </w:rPr>
        <w:t xml:space="preserve"> de Bienes Nacionales del Instituto Universitario de Tecnología de Yaracuy como Insumo para la Producción Automotriz y la Construcción Civil en Venezuela</w:t>
      </w:r>
    </w:p>
    <w:p>
      <w:pPr>
        <w:pStyle w:val="style197"/>
        <w:spacing w:after="0" w:before="0" w:line="360" w:lineRule="auto"/>
        <w:jc w:val="both"/>
      </w:pPr>
      <w:r>
        <w:rPr>
          <w:rFonts w:ascii="Arial" w:cs="Arial" w:hAnsi="Arial"/>
          <w:b/>
          <w:color w:val="000000"/>
        </w:rPr>
      </w:r>
    </w:p>
    <w:p>
      <w:pPr>
        <w:pStyle w:val="style197"/>
        <w:spacing w:after="0" w:before="0" w:line="360" w:lineRule="auto"/>
        <w:jc w:val="both"/>
      </w:pPr>
      <w:r>
        <w:rPr>
          <w:rFonts w:ascii="Arial" w:cs="Arial" w:hAnsi="Arial"/>
          <w:b/>
          <w:color w:val="000000"/>
        </w:rPr>
      </w:r>
    </w:p>
    <w:p>
      <w:pPr>
        <w:pStyle w:val="style197"/>
        <w:spacing w:after="0" w:before="0" w:line="360" w:lineRule="auto"/>
        <w:jc w:val="both"/>
      </w:pPr>
      <w:r>
        <w:rPr>
          <w:rFonts w:ascii="Arial" w:cs="Arial" w:hAnsi="Arial"/>
          <w:b/>
          <w:color w:val="000000"/>
        </w:rPr>
        <w:t>Desarrollo de la Propuesta:</w:t>
      </w:r>
    </w:p>
    <w:p>
      <w:pPr>
        <w:pStyle w:val="style197"/>
        <w:spacing w:after="0" w:before="0" w:line="360" w:lineRule="auto"/>
        <w:jc w:val="both"/>
      </w:pPr>
      <w:r>
        <w:rPr>
          <w:rFonts w:ascii="Arial" w:cs="Arial" w:hAnsi="Arial"/>
          <w:b/>
          <w:color w:val="000000"/>
        </w:rPr>
      </w:r>
    </w:p>
    <w:p>
      <w:pPr>
        <w:pStyle w:val="style197"/>
        <w:spacing w:after="0" w:before="0" w:line="360" w:lineRule="auto"/>
        <w:jc w:val="both"/>
      </w:pPr>
      <w:r>
        <w:rPr>
          <w:rFonts w:ascii="Arial" w:cs="Arial" w:hAnsi="Arial"/>
          <w:b/>
          <w:color w:val="000000"/>
        </w:rPr>
        <w:t>Misión, Visión, Objetivos Institucionales y Cultura Organizacional del Instituto Universitario de Tecnología de Yaracuy.</w:t>
      </w:r>
    </w:p>
    <w:p>
      <w:pPr>
        <w:pStyle w:val="style197"/>
        <w:spacing w:after="0" w:before="0" w:line="360" w:lineRule="auto"/>
        <w:jc w:val="both"/>
      </w:pPr>
      <w:r>
        <w:rPr>
          <w:rFonts w:ascii="Arial" w:cs="Arial" w:hAnsi="Arial"/>
          <w:b/>
          <w:color w:val="000000"/>
        </w:rPr>
      </w:r>
    </w:p>
    <w:p>
      <w:pPr>
        <w:pStyle w:val="style197"/>
        <w:spacing w:after="0" w:before="0" w:line="360" w:lineRule="auto"/>
        <w:jc w:val="both"/>
      </w:pPr>
      <w:r>
        <w:rPr>
          <w:rFonts w:ascii="Arial" w:cs="Arial" w:hAnsi="Arial"/>
          <w:b/>
          <w:color w:val="000000"/>
        </w:rPr>
        <w:t>Misión</w:t>
      </w:r>
    </w:p>
    <w:p>
      <w:pPr>
        <w:pStyle w:val="style197"/>
        <w:spacing w:after="0" w:before="0" w:line="360" w:lineRule="auto"/>
        <w:jc w:val="both"/>
      </w:pPr>
      <w:r>
        <w:rPr>
          <w:rFonts w:ascii="Arial" w:cs="Arial" w:hAnsi="Arial"/>
          <w:b/>
          <w:color w:val="000000"/>
        </w:rPr>
      </w:r>
    </w:p>
    <w:p>
      <w:pPr>
        <w:pStyle w:val="style197"/>
        <w:spacing w:after="0" w:before="0" w:line="360" w:lineRule="auto"/>
        <w:ind w:hanging="0" w:left="708" w:right="0"/>
        <w:jc w:val="both"/>
      </w:pPr>
      <w:r>
        <w:rPr>
          <w:rFonts w:ascii="Arial" w:cs="Arial" w:hAnsi="Arial"/>
          <w:bCs/>
          <w:color w:val="000000"/>
        </w:rPr>
        <w:t>El Instituto Universitario de Tecnología del Estado  Yaracuy (I.U.T.Y.), es una institución de educación superior con autoridad y responsabilidad para cumplir  u orientar la misión de formar técnicos superiores, Ingenieros y Licenciados calificados, críticos y creativos en áreas de su competencia y desarrollar programas a través de la diversas actividades académicas de investigación, extensión y de producción, lo cual contribuirá a conformar el contingente y potencial humano que requiere el Estado y el país a través de la prestación de servicios que sean solicitados  para alcanzar mayor desarrollo y progreso del mismo</w:t>
      </w:r>
      <w:r>
        <w:rPr>
          <w:rFonts w:ascii="Arial" w:cs="Arial" w:hAnsi="Arial"/>
          <w:color w:val="000000"/>
        </w:rPr>
        <w:t>.</w:t>
      </w:r>
    </w:p>
    <w:p>
      <w:pPr>
        <w:pStyle w:val="style197"/>
        <w:spacing w:after="0" w:before="0" w:line="360" w:lineRule="auto"/>
        <w:ind w:hanging="0" w:left="708" w:right="0"/>
        <w:jc w:val="both"/>
      </w:pPr>
      <w:r>
        <w:rPr>
          <w:rFonts w:ascii="Arial" w:cs="Arial" w:hAnsi="Arial"/>
          <w:color w:val="000000"/>
        </w:rPr>
      </w:r>
    </w:p>
    <w:p>
      <w:pPr>
        <w:pStyle w:val="style197"/>
        <w:spacing w:after="0" w:before="0" w:line="360" w:lineRule="auto"/>
        <w:jc w:val="both"/>
      </w:pPr>
      <w:r>
        <w:rPr>
          <w:rFonts w:ascii="Arial" w:cs="Arial" w:hAnsi="Arial"/>
          <w:b/>
          <w:color w:val="000000"/>
        </w:rPr>
        <w:t>Visión</w:t>
      </w:r>
    </w:p>
    <w:p>
      <w:pPr>
        <w:pStyle w:val="style197"/>
        <w:spacing w:after="0" w:before="0" w:line="360" w:lineRule="auto"/>
        <w:jc w:val="both"/>
      </w:pPr>
      <w:r>
        <w:rPr>
          <w:rFonts w:ascii="Arial" w:cs="Arial" w:hAnsi="Arial"/>
          <w:b/>
          <w:color w:val="000000"/>
        </w:rPr>
      </w:r>
    </w:p>
    <w:p>
      <w:pPr>
        <w:pStyle w:val="style0"/>
        <w:spacing w:line="360" w:lineRule="auto"/>
        <w:ind w:hanging="0" w:left="708" w:right="0"/>
        <w:jc w:val="both"/>
      </w:pPr>
      <w:r>
        <w:rPr>
          <w:rFonts w:ascii="Arial" w:cs="Arial" w:hAnsi="Arial"/>
          <w:color w:val="000000"/>
          <w:sz w:val="24"/>
        </w:rPr>
        <w:t>El Instituto Universitario de Tecnología del Estado Yaracuy (I.U.T.Y.), es una institución constituida por personal altamente calificado, líder en las áreas de su competencia, en los que su producto será logrado a través de diseños tecno - curriculares, cuya formación integral los convertirá en ciudadanos que promuevan su contexto social en interacción permanente con el desarrollo social.</w:t>
      </w:r>
    </w:p>
    <w:p>
      <w:pPr>
        <w:pStyle w:val="style197"/>
        <w:spacing w:after="0" w:before="0" w:line="360" w:lineRule="auto"/>
        <w:jc w:val="both"/>
      </w:pPr>
      <w:r>
        <w:rPr>
          <w:rFonts w:ascii="Arial" w:cs="Arial" w:hAnsi="Arial"/>
          <w:b/>
          <w:color w:val="000000"/>
        </w:rPr>
      </w:r>
    </w:p>
    <w:p>
      <w:pPr>
        <w:pStyle w:val="style197"/>
        <w:spacing w:after="0" w:before="0" w:line="360" w:lineRule="auto"/>
        <w:jc w:val="both"/>
      </w:pPr>
      <w:r>
        <w:rPr>
          <w:rFonts w:ascii="Arial" w:cs="Arial" w:hAnsi="Arial"/>
          <w:b/>
          <w:color w:val="000000"/>
        </w:rPr>
        <w:t>Objeto</w:t>
      </w:r>
      <w:r>
        <w:rPr>
          <w:rFonts w:ascii="Arial" w:cs="Arial" w:hAnsi="Arial"/>
          <w:color w:val="000000"/>
        </w:rPr>
        <w:t>.</w:t>
      </w:r>
    </w:p>
    <w:p>
      <w:pPr>
        <w:pStyle w:val="style197"/>
        <w:spacing w:after="0" w:before="0" w:line="360" w:lineRule="auto"/>
        <w:jc w:val="both"/>
      </w:pPr>
      <w:r>
        <w:rPr>
          <w:rFonts w:ascii="Arial" w:cs="Arial" w:hAnsi="Arial"/>
          <w:color w:val="000000"/>
        </w:rPr>
      </w:r>
    </w:p>
    <w:p>
      <w:pPr>
        <w:pStyle w:val="style0"/>
        <w:numPr>
          <w:ilvl w:val="0"/>
          <w:numId w:val="13"/>
        </w:numPr>
        <w:spacing w:after="0" w:before="0" w:line="360" w:lineRule="auto"/>
        <w:ind w:hanging="357" w:left="714" w:right="0"/>
        <w:jc w:val="both"/>
      </w:pPr>
      <w:r>
        <w:rPr>
          <w:rFonts w:ascii="Arial" w:cs="Arial" w:hAnsi="Arial"/>
          <w:color w:val="000000"/>
          <w:sz w:val="24"/>
          <w:szCs w:val="24"/>
        </w:rPr>
        <w:t>Formar Técnicos Superiores Universitarios e Ingenieros y Licenciados, de acuerdo a las demandas tecnológicas  establecidas en los planes de desarrollo del  sector  Agropecuario, Agroindustrial, Salud, Gerencia y Administración del país, de la región y especialmente del Estado Yaracuy.</w:t>
      </w:r>
    </w:p>
    <w:p>
      <w:pPr>
        <w:pStyle w:val="style0"/>
        <w:numPr>
          <w:ilvl w:val="0"/>
          <w:numId w:val="13"/>
        </w:numPr>
        <w:spacing w:after="0" w:before="0" w:line="360" w:lineRule="auto"/>
        <w:ind w:hanging="357" w:left="714" w:right="0"/>
        <w:jc w:val="both"/>
      </w:pPr>
      <w:r>
        <w:rPr>
          <w:rFonts w:ascii="Arial" w:cs="Arial" w:hAnsi="Arial"/>
          <w:color w:val="000000"/>
          <w:sz w:val="24"/>
          <w:szCs w:val="24"/>
        </w:rPr>
        <w:t xml:space="preserve">Desarrollar investigaciones en materia Agrícola, Pecuaria, Alimentos, Recursos Naturales Renovables, Enfermería y Administración. </w:t>
      </w:r>
    </w:p>
    <w:p>
      <w:pPr>
        <w:pStyle w:val="style0"/>
        <w:numPr>
          <w:ilvl w:val="0"/>
          <w:numId w:val="13"/>
        </w:numPr>
        <w:spacing w:after="0" w:before="0" w:line="360" w:lineRule="auto"/>
        <w:ind w:hanging="357" w:left="714" w:right="0"/>
        <w:jc w:val="both"/>
      </w:pPr>
      <w:r>
        <w:rPr>
          <w:rFonts w:ascii="Arial" w:cs="Arial" w:hAnsi="Arial"/>
          <w:color w:val="000000"/>
          <w:sz w:val="24"/>
          <w:szCs w:val="24"/>
        </w:rPr>
        <w:t>Realizar programas de extensión para contribuir a la promoción de la cultura, y elevar el nivel profesional y técnico de la sociedad en general.</w:t>
      </w:r>
    </w:p>
    <w:p>
      <w:pPr>
        <w:pStyle w:val="style0"/>
        <w:numPr>
          <w:ilvl w:val="0"/>
          <w:numId w:val="13"/>
        </w:numPr>
        <w:spacing w:after="0" w:before="0" w:line="360" w:lineRule="auto"/>
        <w:jc w:val="both"/>
      </w:pPr>
      <w:r>
        <w:rPr>
          <w:rFonts w:ascii="Arial" w:cs="Arial" w:hAnsi="Arial"/>
          <w:color w:val="000000"/>
          <w:sz w:val="24"/>
          <w:szCs w:val="24"/>
        </w:rPr>
        <w:t>Establecer una relación armónica en las áreas   de Docencia, Investigación,   Producción    y  Extensión Institucional que permita dar respuesta a las necesidades de la sociedad.</w:t>
      </w:r>
    </w:p>
    <w:p>
      <w:pPr>
        <w:pStyle w:val="style0"/>
        <w:numPr>
          <w:ilvl w:val="0"/>
          <w:numId w:val="13"/>
        </w:numPr>
        <w:spacing w:after="0" w:before="0" w:line="360" w:lineRule="auto"/>
        <w:jc w:val="both"/>
      </w:pPr>
      <w:r>
        <w:rPr>
          <w:rFonts w:ascii="Arial" w:cs="Arial" w:hAnsi="Arial"/>
          <w:color w:val="000000"/>
          <w:sz w:val="24"/>
          <w:szCs w:val="24"/>
        </w:rPr>
        <w:t>Propiciar  el   perfeccionamiento   profesional    de los miembros de la comunidad tecnológica, así como de los egresados de la institución.</w:t>
      </w:r>
    </w:p>
    <w:p>
      <w:pPr>
        <w:pStyle w:val="style0"/>
        <w:numPr>
          <w:ilvl w:val="0"/>
          <w:numId w:val="13"/>
        </w:numPr>
        <w:spacing w:after="0" w:before="0" w:line="360" w:lineRule="auto"/>
        <w:jc w:val="both"/>
      </w:pPr>
      <w:r>
        <w:rPr>
          <w:rFonts w:ascii="Arial" w:cs="Arial" w:hAnsi="Arial"/>
          <w:color w:val="000000"/>
          <w:sz w:val="24"/>
          <w:szCs w:val="24"/>
        </w:rPr>
        <w:t>Desarrollar   programas de producción agropecuaria en los Centros Operacionales atendiendo a la política Institucional y autofinanciamiento</w:t>
      </w:r>
    </w:p>
    <w:p>
      <w:pPr>
        <w:pStyle w:val="style197"/>
        <w:spacing w:after="0" w:before="0" w:line="360" w:lineRule="auto"/>
        <w:ind w:hanging="0" w:left="360" w:right="0"/>
        <w:jc w:val="both"/>
      </w:pPr>
      <w:r>
        <w:rPr>
          <w:rFonts w:ascii="Arial" w:cs="Arial" w:hAnsi="Arial"/>
          <w:color w:val="000000"/>
        </w:rPr>
      </w:r>
    </w:p>
    <w:p>
      <w:pPr>
        <w:pStyle w:val="style197"/>
        <w:spacing w:after="0" w:before="0" w:line="360" w:lineRule="auto"/>
        <w:jc w:val="both"/>
      </w:pPr>
      <w:r>
        <w:rPr>
          <w:rFonts w:ascii="Arial" w:cs="Arial" w:hAnsi="Arial"/>
          <w:b/>
          <w:color w:val="000000"/>
        </w:rPr>
        <w:t>Objetivos Estratégicos Institucional:</w:t>
      </w:r>
    </w:p>
    <w:p>
      <w:pPr>
        <w:pStyle w:val="style197"/>
        <w:spacing w:after="0" w:before="0" w:line="360" w:lineRule="auto"/>
        <w:jc w:val="both"/>
      </w:pPr>
      <w:r>
        <w:rPr>
          <w:rFonts w:ascii="Arial" w:cs="Arial" w:hAnsi="Arial"/>
          <w:b/>
          <w:color w:val="000000"/>
        </w:rPr>
      </w:r>
    </w:p>
    <w:p>
      <w:pPr>
        <w:pStyle w:val="style197"/>
        <w:spacing w:after="0" w:before="0" w:line="360" w:lineRule="auto"/>
        <w:ind w:hanging="0" w:left="708" w:right="0"/>
        <w:jc w:val="both"/>
      </w:pPr>
      <w:r>
        <w:rPr>
          <w:rFonts w:ascii="Arial" w:cs="Arial" w:hAnsi="Arial"/>
          <w:color w:val="000000"/>
        </w:rPr>
        <w:t xml:space="preserve">Formar Técnicos Superiores Universitarios en las Tecnologías de: Agrícola, Pecuaria, Alimentos, Recursos Naturales Renovables; las Carreras de Enfermería y Administración Mención Gerencia de Empresas, y Licenciados en Administración e Ingenieros en Agroalimentación, Informática, Procesos Químicos e Higiene y Seguridad Laboral que respondan a los requerimientos sociales y económicos de la localidad, región y del país, acelerar la construcción de un nuevo modelo productivo rumbo a la consolidación de la transformación de los recintos académicos en espacios de interacción socio comunitaria. </w:t>
      </w:r>
    </w:p>
    <w:p>
      <w:pPr>
        <w:pStyle w:val="style197"/>
        <w:spacing w:after="0" w:before="0" w:line="360" w:lineRule="auto"/>
        <w:ind w:hanging="0" w:left="708" w:right="0"/>
        <w:jc w:val="both"/>
      </w:pPr>
      <w:r>
        <w:rPr>
          <w:rFonts w:ascii="Arial" w:cs="Arial" w:hAnsi="Arial"/>
          <w:color w:val="000000"/>
        </w:rPr>
      </w:r>
    </w:p>
    <w:p>
      <w:pPr>
        <w:pStyle w:val="style197"/>
        <w:spacing w:after="0" w:before="0" w:line="360" w:lineRule="auto"/>
        <w:ind w:hanging="0" w:left="360" w:right="0"/>
        <w:jc w:val="both"/>
      </w:pPr>
      <w:r>
        <w:rPr>
          <w:rFonts w:ascii="Arial" w:cs="Arial" w:hAnsi="Arial"/>
          <w:b/>
          <w:color w:val="000000"/>
        </w:rPr>
        <w:t>Políticas Generales</w:t>
      </w:r>
    </w:p>
    <w:p>
      <w:pPr>
        <w:pStyle w:val="style197"/>
        <w:spacing w:after="0" w:before="0" w:line="360" w:lineRule="auto"/>
        <w:jc w:val="both"/>
      </w:pPr>
      <w:r>
        <w:rPr>
          <w:rFonts w:ascii="Arial" w:cs="Arial" w:hAnsi="Arial"/>
          <w:b/>
          <w:color w:val="000000"/>
        </w:rPr>
      </w:r>
    </w:p>
    <w:p>
      <w:pPr>
        <w:pStyle w:val="style0"/>
        <w:numPr>
          <w:ilvl w:val="0"/>
          <w:numId w:val="65"/>
        </w:numPr>
        <w:spacing w:after="0" w:before="0" w:line="360" w:lineRule="auto"/>
        <w:jc w:val="both"/>
      </w:pPr>
      <w:r>
        <w:rPr>
          <w:rFonts w:ascii="Arial" w:cs="Arial" w:hAnsi="Arial"/>
          <w:color w:val="000000"/>
          <w:sz w:val="24"/>
          <w:szCs w:val="24"/>
        </w:rPr>
        <w:t>Estimular el trabajo en equipo, a fin de enfrentar las debilidades institucionales, darle la solución adecuada, conociendo su fortaleza.</w:t>
      </w:r>
    </w:p>
    <w:p>
      <w:pPr>
        <w:pStyle w:val="style0"/>
        <w:numPr>
          <w:ilvl w:val="0"/>
          <w:numId w:val="65"/>
        </w:numPr>
        <w:spacing w:after="0" w:before="0" w:line="360" w:lineRule="auto"/>
        <w:jc w:val="both"/>
      </w:pPr>
      <w:r>
        <w:rPr>
          <w:rFonts w:ascii="Arial" w:cs="Arial" w:eastAsia="Arial" w:hAnsi="Arial"/>
          <w:color w:val="000000"/>
          <w:sz w:val="24"/>
          <w:szCs w:val="24"/>
        </w:rPr>
        <w:t xml:space="preserve"> </w:t>
      </w:r>
      <w:r>
        <w:rPr>
          <w:rFonts w:ascii="Arial" w:cs="Arial" w:hAnsi="Arial"/>
          <w:color w:val="000000"/>
          <w:sz w:val="24"/>
          <w:szCs w:val="24"/>
        </w:rPr>
        <w:t>Desarrollar una gerencia participativa, con el fin de que las políticas que se establezcan permitan el reconocimiento de lo realizado por cada sector: Administrativo, Docente, Obrero y Estudiantil.</w:t>
      </w:r>
    </w:p>
    <w:p>
      <w:pPr>
        <w:pStyle w:val="style0"/>
        <w:numPr>
          <w:ilvl w:val="0"/>
          <w:numId w:val="65"/>
        </w:numPr>
        <w:spacing w:after="0" w:before="0" w:line="360" w:lineRule="auto"/>
        <w:jc w:val="both"/>
      </w:pPr>
      <w:r>
        <w:rPr>
          <w:rFonts w:ascii="Arial" w:cs="Arial" w:eastAsia="Arial" w:hAnsi="Arial"/>
          <w:color w:val="000000"/>
          <w:sz w:val="24"/>
          <w:szCs w:val="24"/>
        </w:rPr>
        <w:t xml:space="preserve"> </w:t>
      </w:r>
      <w:r>
        <w:rPr>
          <w:rFonts w:ascii="Arial" w:cs="Arial" w:hAnsi="Arial"/>
          <w:color w:val="000000"/>
          <w:sz w:val="24"/>
          <w:szCs w:val="24"/>
        </w:rPr>
        <w:t>Emprender acciones que coadyuven al incremento de la productividad del sector agroindustrial de la región.</w:t>
      </w:r>
    </w:p>
    <w:p>
      <w:pPr>
        <w:pStyle w:val="style0"/>
        <w:numPr>
          <w:ilvl w:val="0"/>
          <w:numId w:val="65"/>
        </w:numPr>
        <w:spacing w:after="0" w:before="0" w:line="360" w:lineRule="auto"/>
        <w:jc w:val="both"/>
      </w:pPr>
      <w:r>
        <w:rPr>
          <w:rFonts w:ascii="Arial" w:cs="Arial" w:eastAsia="Arial" w:hAnsi="Arial"/>
          <w:color w:val="000000"/>
          <w:sz w:val="24"/>
          <w:szCs w:val="24"/>
        </w:rPr>
        <w:t xml:space="preserve"> </w:t>
      </w:r>
      <w:r>
        <w:rPr>
          <w:rFonts w:ascii="Arial" w:cs="Arial" w:hAnsi="Arial"/>
          <w:color w:val="000000"/>
          <w:sz w:val="24"/>
          <w:szCs w:val="24"/>
        </w:rPr>
        <w:t>Desarrollar programas para optimizar la producción en los Centros Operacionales de la Institución.</w:t>
      </w:r>
    </w:p>
    <w:p>
      <w:pPr>
        <w:pStyle w:val="style0"/>
        <w:numPr>
          <w:ilvl w:val="0"/>
          <w:numId w:val="65"/>
        </w:numPr>
        <w:spacing w:after="0" w:before="0" w:line="360" w:lineRule="auto"/>
        <w:jc w:val="both"/>
      </w:pPr>
      <w:r>
        <w:rPr>
          <w:rFonts w:ascii="Arial" w:cs="Arial" w:eastAsia="Arial" w:hAnsi="Arial"/>
          <w:color w:val="000000"/>
          <w:sz w:val="24"/>
          <w:szCs w:val="24"/>
        </w:rPr>
        <w:t xml:space="preserve"> </w:t>
      </w:r>
      <w:r>
        <w:rPr>
          <w:rFonts w:ascii="Arial" w:cs="Arial" w:hAnsi="Arial"/>
          <w:color w:val="000000"/>
          <w:sz w:val="24"/>
          <w:szCs w:val="24"/>
        </w:rPr>
        <w:t>Establecer Convenios Interinstitucionales, tendientes a la optimización de los recursos.</w:t>
      </w:r>
    </w:p>
    <w:p>
      <w:pPr>
        <w:pStyle w:val="style0"/>
        <w:numPr>
          <w:ilvl w:val="0"/>
          <w:numId w:val="65"/>
        </w:numPr>
        <w:spacing w:after="0" w:before="0" w:line="360" w:lineRule="auto"/>
        <w:jc w:val="both"/>
      </w:pPr>
      <w:r>
        <w:rPr>
          <w:rFonts w:ascii="Arial" w:cs="Arial" w:eastAsia="Arial" w:hAnsi="Arial"/>
          <w:color w:val="000000"/>
          <w:sz w:val="24"/>
          <w:szCs w:val="24"/>
        </w:rPr>
        <w:t xml:space="preserve"> </w:t>
      </w:r>
      <w:r>
        <w:rPr>
          <w:rFonts w:ascii="Arial" w:cs="Arial" w:hAnsi="Arial"/>
          <w:color w:val="000000"/>
          <w:sz w:val="24"/>
          <w:szCs w:val="24"/>
        </w:rPr>
        <w:t>Evaluar en forma continua, el curriculum institucional   para adaptarlo a la exigencia del entorno y a los planes regionales y nacionales.</w:t>
      </w:r>
    </w:p>
    <w:p>
      <w:pPr>
        <w:pStyle w:val="style0"/>
        <w:numPr>
          <w:ilvl w:val="0"/>
          <w:numId w:val="65"/>
        </w:numPr>
        <w:spacing w:after="0" w:before="0" w:line="360" w:lineRule="auto"/>
        <w:jc w:val="both"/>
      </w:pPr>
      <w:r>
        <w:rPr>
          <w:rFonts w:ascii="Arial" w:cs="Arial" w:eastAsia="Arial" w:hAnsi="Arial"/>
          <w:color w:val="000000"/>
          <w:sz w:val="24"/>
          <w:szCs w:val="24"/>
        </w:rPr>
        <w:t xml:space="preserve"> </w:t>
      </w:r>
      <w:r>
        <w:rPr>
          <w:rFonts w:ascii="Arial" w:cs="Arial" w:hAnsi="Arial"/>
          <w:color w:val="000000"/>
          <w:sz w:val="24"/>
          <w:szCs w:val="24"/>
        </w:rPr>
        <w:t>Promover   la formación gerencial de los recursos humanos de la institución, para  el logro  de una  administración  eficaz y  efectiva.</w:t>
      </w:r>
    </w:p>
    <w:p>
      <w:pPr>
        <w:pStyle w:val="style0"/>
        <w:numPr>
          <w:ilvl w:val="0"/>
          <w:numId w:val="65"/>
        </w:numPr>
        <w:spacing w:after="0" w:before="0" w:line="360" w:lineRule="auto"/>
        <w:jc w:val="both"/>
      </w:pPr>
      <w:r>
        <w:rPr>
          <w:rFonts w:ascii="Arial" w:cs="Arial" w:eastAsia="Arial" w:hAnsi="Arial"/>
          <w:color w:val="000000"/>
          <w:sz w:val="24"/>
          <w:szCs w:val="24"/>
        </w:rPr>
        <w:t xml:space="preserve"> </w:t>
      </w:r>
      <w:r>
        <w:rPr>
          <w:rFonts w:ascii="Arial" w:cs="Arial" w:hAnsi="Arial"/>
          <w:color w:val="000000"/>
          <w:sz w:val="24"/>
          <w:szCs w:val="24"/>
        </w:rPr>
        <w:t>Realizar la evaluación periódica de los procesos institucionales, hacia el logro de la excelencia académica.</w:t>
      </w:r>
    </w:p>
    <w:p>
      <w:pPr>
        <w:pStyle w:val="style0"/>
        <w:numPr>
          <w:ilvl w:val="0"/>
          <w:numId w:val="65"/>
        </w:numPr>
        <w:spacing w:after="0" w:before="0" w:line="360" w:lineRule="auto"/>
        <w:jc w:val="both"/>
      </w:pPr>
      <w:r>
        <w:rPr>
          <w:rFonts w:ascii="Arial" w:cs="Arial" w:hAnsi="Arial"/>
          <w:color w:val="000000"/>
          <w:sz w:val="24"/>
          <w:szCs w:val="24"/>
        </w:rPr>
        <w:t>Apoyar  la participación de la comunidad para la realización de trabajos de investigación, que  estén  internamente relacionados con el sector agroindustrial asistencial con el objeto de contribuir a la solución de la problemática institucional, regional y nacional</w:t>
      </w:r>
      <w:r>
        <w:rPr>
          <w:rFonts w:ascii="Arial" w:cs="Arial" w:hAnsi="Arial"/>
          <w:color w:val="000000"/>
        </w:rPr>
        <w:t>.</w:t>
      </w:r>
    </w:p>
    <w:p>
      <w:pPr>
        <w:pStyle w:val="style0"/>
        <w:spacing w:after="0" w:before="0" w:line="360" w:lineRule="auto"/>
        <w:ind w:hanging="0" w:left="720" w:right="0"/>
        <w:jc w:val="both"/>
      </w:pPr>
      <w:r>
        <w:rPr>
          <w:rFonts w:ascii="Arial" w:cs="Arial" w:hAnsi="Arial"/>
          <w:color w:val="000000"/>
        </w:rPr>
      </w:r>
    </w:p>
    <w:p>
      <w:pPr>
        <w:pStyle w:val="style0"/>
        <w:spacing w:after="0" w:before="0" w:line="360" w:lineRule="auto"/>
        <w:ind w:hanging="0" w:left="720" w:right="0"/>
        <w:jc w:val="both"/>
      </w:pPr>
      <w:r>
        <w:rPr>
          <w:rFonts w:ascii="Arial" w:cs="Arial" w:hAnsi="Arial"/>
          <w:color w:val="000000"/>
        </w:rPr>
      </w:r>
    </w:p>
    <w:p>
      <w:pPr>
        <w:pStyle w:val="style0"/>
        <w:spacing w:line="360" w:lineRule="auto"/>
        <w:jc w:val="both"/>
      </w:pPr>
      <w:r>
        <w:rPr>
          <w:rFonts w:ascii="Arial" w:cs="Arial" w:hAnsi="Arial"/>
          <w:b/>
          <w:bCs/>
          <w:color w:val="000000"/>
          <w:sz w:val="24"/>
          <w:szCs w:val="24"/>
        </w:rPr>
        <w:t>Valores:</w:t>
      </w:r>
    </w:p>
    <w:p>
      <w:pPr>
        <w:pStyle w:val="style0"/>
        <w:spacing w:line="360" w:lineRule="auto"/>
        <w:jc w:val="both"/>
      </w:pPr>
      <w:r>
        <w:rPr>
          <w:rFonts w:ascii="Arial" w:cs="Arial" w:hAnsi="Arial"/>
          <w:b/>
          <w:bCs/>
          <w:color w:val="000000"/>
          <w:sz w:val="24"/>
          <w:szCs w:val="24"/>
        </w:rPr>
      </w:r>
    </w:p>
    <w:p>
      <w:pPr>
        <w:pStyle w:val="style216"/>
        <w:spacing w:line="360" w:lineRule="auto"/>
        <w:ind w:hanging="0" w:left="360" w:right="0"/>
        <w:jc w:val="both"/>
      </w:pPr>
      <w:r>
        <w:rPr>
          <w:rFonts w:ascii="Arial" w:cs="Arial" w:hAnsi="Arial"/>
          <w:color w:val="000000"/>
          <w:sz w:val="24"/>
          <w:szCs w:val="24"/>
          <w:lang w:val="es-VE"/>
        </w:rPr>
        <w:t>Se refiere al Compromiso Organizacional que debe cumplir la Institución, quien aporta una visión compartida y acciones que aseguran la lealtad y la integración de un equipo gerencial con objetivos y propósitos comunes, requisitos indispensables para el logro de un desempeño institucional eficiente y eficaz, tomando también en consideración el recurso humano, puntualidad que éstos deben generar y el compromiso del mismo en sus actividades.</w:t>
      </w:r>
    </w:p>
    <w:p>
      <w:pPr>
        <w:pStyle w:val="style0"/>
        <w:jc w:val="both"/>
      </w:pPr>
      <w:r>
        <w:rPr>
          <w:rFonts w:ascii="Arial" w:cs="Arial" w:hAnsi="Arial"/>
          <w:b/>
          <w:color w:val="000000"/>
          <w:sz w:val="24"/>
          <w:szCs w:val="24"/>
        </w:rPr>
      </w:r>
    </w:p>
    <w:p>
      <w:pPr>
        <w:pStyle w:val="style0"/>
        <w:numPr>
          <w:ilvl w:val="0"/>
          <w:numId w:val="10"/>
        </w:numPr>
        <w:spacing w:after="0" w:before="0" w:line="360" w:lineRule="auto"/>
        <w:ind w:hanging="360" w:left="360" w:right="0"/>
        <w:jc w:val="both"/>
      </w:pPr>
      <w:r>
        <w:rPr>
          <w:rFonts w:ascii="Arial" w:cs="Arial" w:hAnsi="Arial"/>
          <w:b/>
          <w:color w:val="000000"/>
          <w:sz w:val="24"/>
          <w:szCs w:val="24"/>
        </w:rPr>
        <w:t>Libertad:</w:t>
      </w:r>
      <w:r>
        <w:rPr>
          <w:rFonts w:ascii="Arial" w:cs="Arial" w:hAnsi="Arial"/>
          <w:color w:val="000000"/>
          <w:sz w:val="24"/>
          <w:szCs w:val="24"/>
        </w:rPr>
        <w:t xml:space="preserve"> Es un conjunto de condiciones y actitudes personales que le permitan al ser humano obrar, ser y desarrollar su potencial según su propio esfuerzo. Visto además de cómo la capacidad de autodeterminación de la voluntad que permite a los seres humanos actuar como deseen.</w:t>
      </w:r>
    </w:p>
    <w:p>
      <w:pPr>
        <w:pStyle w:val="style0"/>
        <w:numPr>
          <w:ilvl w:val="0"/>
          <w:numId w:val="10"/>
        </w:numPr>
        <w:spacing w:after="0" w:before="0" w:line="360" w:lineRule="auto"/>
        <w:ind w:hanging="360" w:left="360" w:right="0"/>
        <w:jc w:val="both"/>
      </w:pPr>
      <w:r>
        <w:rPr>
          <w:rFonts w:ascii="Arial" w:cs="Arial" w:hAnsi="Arial"/>
          <w:b/>
          <w:color w:val="000000"/>
          <w:sz w:val="24"/>
          <w:szCs w:val="24"/>
        </w:rPr>
        <w:t>Igualdad:</w:t>
      </w:r>
      <w:r>
        <w:rPr>
          <w:rFonts w:ascii="Arial" w:cs="Arial" w:hAnsi="Arial"/>
          <w:color w:val="000000"/>
          <w:sz w:val="24"/>
          <w:szCs w:val="24"/>
        </w:rPr>
        <w:t xml:space="preserve"> es la base fundamental de toda sociedad libre y democrática, la única garantía de un sistema plenamente participativo, moderno y avanzado, en el que todos los ciudadanos y ciudadanas podamos beneficiarnos de un proyecto común de bienestar social y calidad de vida.</w:t>
      </w:r>
    </w:p>
    <w:p>
      <w:pPr>
        <w:pStyle w:val="style0"/>
        <w:numPr>
          <w:ilvl w:val="0"/>
          <w:numId w:val="10"/>
        </w:numPr>
        <w:spacing w:after="0" w:before="0" w:line="360" w:lineRule="auto"/>
        <w:ind w:hanging="360" w:left="360" w:right="0"/>
        <w:jc w:val="both"/>
      </w:pPr>
      <w:r>
        <w:rPr>
          <w:rFonts w:ascii="Arial" w:cs="Arial" w:hAnsi="Arial"/>
          <w:b/>
          <w:color w:val="000000"/>
          <w:sz w:val="24"/>
          <w:szCs w:val="24"/>
        </w:rPr>
        <w:t>Justicia:</w:t>
      </w:r>
      <w:r>
        <w:rPr>
          <w:rFonts w:ascii="Arial" w:cs="Arial" w:hAnsi="Arial"/>
          <w:color w:val="000000"/>
          <w:sz w:val="24"/>
          <w:szCs w:val="24"/>
        </w:rPr>
        <w:t xml:space="preserve"> Es el conjunto de reglas y normas que establecen un marco adecuado para las relaciones entre personas e instituciones, autorizando, prohibiendo y permitiendo acciones específicas en la interacción de individuos e instituciones.</w:t>
      </w:r>
    </w:p>
    <w:p>
      <w:pPr>
        <w:pStyle w:val="style0"/>
        <w:numPr>
          <w:ilvl w:val="0"/>
          <w:numId w:val="10"/>
        </w:numPr>
        <w:spacing w:after="0" w:before="0" w:line="360" w:lineRule="auto"/>
        <w:ind w:hanging="360" w:left="360" w:right="0"/>
        <w:jc w:val="both"/>
      </w:pPr>
      <w:r>
        <w:rPr>
          <w:rFonts w:ascii="Arial" w:cs="Arial" w:hAnsi="Arial"/>
          <w:b/>
          <w:color w:val="000000"/>
          <w:sz w:val="24"/>
          <w:szCs w:val="24"/>
        </w:rPr>
        <w:t>Paz:</w:t>
      </w:r>
      <w:r>
        <w:rPr>
          <w:rFonts w:ascii="Arial" w:cs="Arial" w:hAnsi="Arial"/>
          <w:color w:val="000000"/>
          <w:sz w:val="24"/>
          <w:szCs w:val="24"/>
        </w:rPr>
        <w:t xml:space="preserve"> Manifestada por el estado de tranquilidad y buena relación entre sus miembros de la institución y de ellos con las comunidades. </w:t>
      </w:r>
    </w:p>
    <w:p>
      <w:pPr>
        <w:pStyle w:val="style0"/>
        <w:numPr>
          <w:ilvl w:val="0"/>
          <w:numId w:val="10"/>
        </w:numPr>
        <w:spacing w:after="0" w:before="0" w:line="360" w:lineRule="auto"/>
        <w:ind w:hanging="360" w:left="360" w:right="0"/>
        <w:jc w:val="both"/>
      </w:pPr>
      <w:r>
        <w:rPr>
          <w:rFonts w:ascii="Arial" w:cs="Arial" w:hAnsi="Arial"/>
          <w:b/>
          <w:color w:val="000000"/>
          <w:sz w:val="24"/>
          <w:szCs w:val="24"/>
        </w:rPr>
        <w:t xml:space="preserve">Bien Común: </w:t>
      </w:r>
      <w:r>
        <w:rPr>
          <w:rFonts w:ascii="Arial" w:cs="Arial" w:hAnsi="Arial"/>
          <w:color w:val="000000"/>
          <w:sz w:val="24"/>
          <w:szCs w:val="24"/>
        </w:rPr>
        <w:t xml:space="preserve">Conjunto de objetos y cosas que posee una Nación, Estado, Municipio o Territorio que son de utilidad y provecho colectivo, en pro de su bienestar y elevación de su calidad de vida. </w:t>
      </w:r>
    </w:p>
    <w:p>
      <w:pPr>
        <w:pStyle w:val="style0"/>
        <w:numPr>
          <w:ilvl w:val="0"/>
          <w:numId w:val="10"/>
        </w:numPr>
        <w:spacing w:after="0" w:before="0" w:line="360" w:lineRule="auto"/>
        <w:ind w:hanging="360" w:left="360" w:right="0"/>
        <w:jc w:val="both"/>
      </w:pPr>
      <w:r>
        <w:rPr>
          <w:rFonts w:ascii="Arial" w:cs="Arial" w:hAnsi="Arial"/>
          <w:b/>
          <w:color w:val="000000"/>
          <w:sz w:val="24"/>
          <w:szCs w:val="24"/>
        </w:rPr>
        <w:t xml:space="preserve">Compromiso: </w:t>
      </w:r>
      <w:r>
        <w:rPr>
          <w:rFonts w:ascii="Arial" w:cs="Arial" w:hAnsi="Arial"/>
          <w:color w:val="000000"/>
          <w:sz w:val="24"/>
          <w:szCs w:val="24"/>
        </w:rPr>
        <w:t xml:space="preserve">Fomento de la participación activa de los miembros de la comunidad universitaria para asumir como propia la institución y servir como instrumento para el cumplimiento de nuestra filosofía institucional. </w:t>
      </w:r>
    </w:p>
    <w:p>
      <w:pPr>
        <w:pStyle w:val="style0"/>
        <w:numPr>
          <w:ilvl w:val="0"/>
          <w:numId w:val="10"/>
        </w:numPr>
        <w:spacing w:after="0" w:before="0" w:line="360" w:lineRule="auto"/>
        <w:ind w:hanging="360" w:left="360" w:right="0"/>
        <w:jc w:val="both"/>
      </w:pPr>
      <w:r>
        <w:rPr>
          <w:rFonts w:ascii="Arial" w:cs="Arial" w:hAnsi="Arial"/>
          <w:b/>
          <w:color w:val="000000"/>
          <w:sz w:val="24"/>
          <w:szCs w:val="24"/>
        </w:rPr>
        <w:t xml:space="preserve">Pertenencia: </w:t>
      </w:r>
      <w:r>
        <w:rPr>
          <w:rFonts w:ascii="Arial" w:cs="Arial" w:hAnsi="Arial"/>
          <w:color w:val="000000"/>
          <w:sz w:val="24"/>
          <w:szCs w:val="24"/>
        </w:rPr>
        <w:t xml:space="preserve"> Entendida como la internacionalización de quiénes somos y cuál es nuestra misión, lo que conlleva a la realización de tareas y el cumplimiento  de deberes con sentimiento de orgullo por el bien realizado en beneficio de la institución y la colectividad en general. </w:t>
      </w:r>
    </w:p>
    <w:p>
      <w:pPr>
        <w:pStyle w:val="style0"/>
        <w:numPr>
          <w:ilvl w:val="0"/>
          <w:numId w:val="10"/>
        </w:numPr>
        <w:spacing w:after="0" w:before="0" w:line="360" w:lineRule="auto"/>
        <w:ind w:hanging="360" w:left="360" w:right="0"/>
        <w:jc w:val="both"/>
      </w:pPr>
      <w:r>
        <w:rPr>
          <w:rFonts w:ascii="Arial" w:cs="Arial" w:hAnsi="Arial"/>
          <w:b/>
          <w:color w:val="000000"/>
          <w:sz w:val="24"/>
          <w:szCs w:val="24"/>
        </w:rPr>
        <w:t xml:space="preserve">Responsabilidad: </w:t>
      </w:r>
      <w:r>
        <w:rPr>
          <w:rFonts w:ascii="Arial" w:cs="Arial" w:hAnsi="Arial"/>
          <w:color w:val="000000"/>
          <w:sz w:val="24"/>
          <w:szCs w:val="24"/>
        </w:rPr>
        <w:t xml:space="preserve">es cumplir con el deber que ha sido asignado o con el cual uno se ha comprometido, permaneciendo fiel al objetivo y llevándolo a cabo con integridad y con sentido de propósito. </w:t>
      </w:r>
    </w:p>
    <w:p>
      <w:pPr>
        <w:pStyle w:val="style0"/>
        <w:spacing w:after="0" w:before="0" w:line="360" w:lineRule="auto"/>
        <w:jc w:val="both"/>
      </w:pPr>
      <w:r>
        <w:rPr>
          <w:rFonts w:ascii="Arial" w:cs="Arial" w:hAnsi="Arial"/>
          <w:color w:val="000000"/>
          <w:sz w:val="24"/>
          <w:szCs w:val="24"/>
        </w:rPr>
      </w:r>
    </w:p>
    <w:p>
      <w:pPr>
        <w:pStyle w:val="style197"/>
        <w:spacing w:after="0" w:before="0" w:line="360" w:lineRule="auto"/>
        <w:jc w:val="both"/>
      </w:pPr>
      <w:r>
        <w:rPr>
          <w:rFonts w:ascii="Arial" w:cs="Arial" w:hAnsi="Arial"/>
          <w:b/>
          <w:color w:val="000000"/>
        </w:rPr>
        <w:t>Condiciones Económicas</w:t>
      </w:r>
    </w:p>
    <w:p>
      <w:pPr>
        <w:pStyle w:val="style197"/>
        <w:spacing w:after="0" w:before="0" w:line="360" w:lineRule="auto"/>
        <w:ind w:hanging="0" w:left="360" w:right="0"/>
        <w:jc w:val="both"/>
      </w:pPr>
      <w:r>
        <w:rPr>
          <w:rFonts w:ascii="Arial" w:cs="Arial" w:hAnsi="Arial"/>
          <w:b/>
          <w:color w:val="000000"/>
        </w:rPr>
      </w:r>
    </w:p>
    <w:p>
      <w:pPr>
        <w:pStyle w:val="style197"/>
        <w:spacing w:after="0" w:before="0" w:line="360" w:lineRule="auto"/>
        <w:ind w:hanging="0" w:left="600" w:right="0"/>
        <w:jc w:val="both"/>
      </w:pPr>
      <w:r>
        <w:rPr>
          <w:rFonts w:ascii="Arial" w:cs="Arial" w:hAnsi="Arial"/>
          <w:color w:val="000000"/>
        </w:rPr>
        <w:tab/>
        <w:tab/>
        <w:t>A mediados del año 2012, la economía  del  país se ha atascado y comienza a dar síntomas de algo más que fatiga tras reducir drásticamente su ritmo de crecimiento  en el primer trimestre y ver cómo la inflación se dispara, en un contexto de falta de divisas, exceso de masa monetaria y desabastecimiento esto ha conllevado a la especulación y el arza de los precio de los productos.  Originando que  la falta de divisas en un país con un control de cambio que impide el libre acceso a la moneda extranjera y que tiene una alta dependencia de las importaciones golpea prácticamente a todos los sectores aun más en el presupuesto fiscal que tienen asignado para su funcionamiento trayendo como consecuencia el abultamiento su partidas en cuanto a la adquisición de insumos, bienes y servicios por el desabastecimiento de los productos "sobrecalentamiento en el consumo", todo esto es causado por  el clima político que se está viviendo en el país y las dos vertientes entre el oficialismo y la oposición</w:t>
      </w:r>
      <w:r>
        <w:rPr>
          <w:rFonts w:ascii="Arial" w:cs="Arial" w:hAnsi="Arial"/>
          <w:color w:val="000000"/>
          <w:shd w:fill="F7F7F7" w:val="clear"/>
        </w:rPr>
        <w:t>.</w:t>
      </w:r>
    </w:p>
    <w:p>
      <w:pPr>
        <w:pStyle w:val="style197"/>
        <w:spacing w:after="0" w:before="0" w:line="360" w:lineRule="auto"/>
        <w:ind w:hanging="0" w:left="600" w:right="0"/>
        <w:jc w:val="both"/>
      </w:pPr>
      <w:r>
        <w:rPr>
          <w:rFonts w:ascii="Arial" w:cs="Arial" w:hAnsi="Arial"/>
          <w:color w:val="000000"/>
          <w:shd w:fill="F7F7F7" w:val="clear"/>
        </w:rPr>
      </w:r>
    </w:p>
    <w:p>
      <w:pPr>
        <w:pStyle w:val="style197"/>
        <w:spacing w:after="0" w:before="0" w:line="360" w:lineRule="auto"/>
        <w:ind w:hanging="0" w:left="601" w:right="0"/>
        <w:jc w:val="both"/>
      </w:pPr>
      <w:r>
        <w:rPr>
          <w:rFonts w:ascii="Arial" w:cs="Arial" w:hAnsi="Arial"/>
          <w:color w:val="000000"/>
        </w:rPr>
        <w:tab/>
        <w:tab/>
        <w:t>Para los  expertos en el área económica  manifiestan que parte del desabastecimientos es una  supuesta "guerra económica" de la</w:t>
      </w:r>
      <w:r>
        <w:rPr>
          <w:rFonts w:ascii="Arial" w:cs="Arial" w:hAnsi="Arial"/>
          <w:color w:val="000000"/>
          <w:shd w:fill="F7F7F7" w:val="clear"/>
        </w:rPr>
        <w:t xml:space="preserve"> </w:t>
      </w:r>
      <w:r>
        <w:rPr>
          <w:rFonts w:ascii="Arial" w:cs="Arial" w:hAnsi="Arial"/>
          <w:color w:val="000000"/>
        </w:rPr>
        <w:t>oposición  con el fin de destituir, al presidente de la República. Para ellos  el inestable clima político en que quedó sumida Venezuela tras la muerte del presidente Hugo Chávez perturbó la economía y se dejará sentir en las cifras del crecimiento del país petrolero, expresó el  presidente del Banco Central. "La enfermedad de nuestro Comandante Supremo y su lamentable fallecimiento, automáticamente perturba, y nos perturba la economía. Los indicadores no están como nosotros los queríamos". A pesar de todo estos  factores que han perturbado</w:t>
      </w:r>
      <w:r>
        <w:rPr>
          <w:rFonts w:ascii="Arial" w:cs="Arial" w:hAnsi="Arial"/>
          <w:color w:val="000000"/>
          <w:sz w:val="21"/>
          <w:szCs w:val="21"/>
        </w:rPr>
        <w:t xml:space="preserve">  </w:t>
      </w:r>
      <w:r>
        <w:rPr>
          <w:rFonts w:ascii="Arial" w:cs="Arial" w:hAnsi="Arial"/>
          <w:color w:val="000000"/>
        </w:rPr>
        <w:t xml:space="preserve"> la economía Venezolana el Gobierno Nacional ha luchado contra vientos y mareas implementando medidas  para garantizar los proyectos  económicos, como objetivo estratégico en función de alcanzar un modelo de desarrollo económico social, la estabilidad económica y un crecimiento sostenido y equitativo, todo aunado a los esfuerzos del Ejecutivo Nacional, para aumentar la inversión real productiva revitalizando así el financiamiento público de las pequeñas y medianas empresas mediante la diversificación de las empresas de producción </w:t>
      </w:r>
      <w:r>
        <w:rPr>
          <w:rFonts w:ascii="Arial" w:cs="Arial" w:hAnsi="Arial"/>
          <w:color w:val="000000"/>
          <w:shd w:fill="FFFFFF" w:val="clear"/>
        </w:rPr>
        <w:t xml:space="preserve">social  </w:t>
      </w:r>
      <w:r>
        <w:rPr>
          <w:rStyle w:val="style147"/>
          <w:rFonts w:ascii="Arial" w:cs="Arial" w:hAnsi="Arial"/>
          <w:color w:val="000000"/>
          <w:shd w:fill="FFFFFF" w:val="clear"/>
        </w:rPr>
        <w:t>dedicadas a la producción de bienes y servicios</w:t>
      </w:r>
      <w:r>
        <w:rPr>
          <w:rFonts w:ascii="Arial" w:cs="Arial" w:hAnsi="Arial"/>
          <w:color w:val="000000"/>
          <w:shd w:fill="FFFFFF" w:val="clear"/>
        </w:rPr>
        <w:t>, basadas en una planificación participativa y protagónica y bajo régimen de propiedad estatal, propiedad colectiva o la combinación de ambas,</w:t>
      </w:r>
      <w:r>
        <w:rPr>
          <w:rFonts w:ascii="Arial" w:cs="Arial" w:hAnsi="Arial"/>
          <w:color w:val="000000"/>
        </w:rPr>
        <w:t xml:space="preserve">  con miras a privilegiar el compromiso social del Estado.  </w:t>
      </w:r>
    </w:p>
    <w:p>
      <w:pPr>
        <w:pStyle w:val="style197"/>
        <w:spacing w:after="0" w:before="0" w:line="360" w:lineRule="auto"/>
        <w:ind w:hanging="0" w:left="600" w:right="0"/>
        <w:jc w:val="both"/>
      </w:pPr>
      <w:r>
        <w:rPr>
          <w:rFonts w:ascii="Arial" w:cs="Arial" w:hAnsi="Arial"/>
          <w:color w:val="000000"/>
        </w:rPr>
      </w:r>
    </w:p>
    <w:p>
      <w:pPr>
        <w:pStyle w:val="style197"/>
        <w:spacing w:after="0" w:before="0" w:line="360" w:lineRule="auto"/>
        <w:ind w:hanging="0" w:left="600" w:right="0"/>
        <w:jc w:val="both"/>
      </w:pPr>
      <w:r>
        <w:rPr>
          <w:rFonts w:ascii="Arial" w:cs="Arial" w:hAnsi="Arial"/>
          <w:color w:val="000000"/>
        </w:rPr>
        <w:tab/>
        <w:tab/>
        <w:t xml:space="preserve">Entre los objetivos estratégicos del Gobierno se encuentran contenido en Segundo Plan Socialista de Desarrollo Económico y Social de la Nación 2013-2019 también conocido como Plan de Desarrollo Económico y Social de la Nación, este se fundamenta en los principios y valores de la Carta Magna, esbozando a cabalidad los planes y políticas a desarrollar en este periodo constitucional, los cuales procuran la mayor suma de felicidad social y estabilidad política al pueblo venezolano, bajo el pensamiento y la acción socialista del Comandante Supremo y Líder de la Revolución Bolivariana, Hugo Chávez, inspirado en el ideario antiimperialista del Padre Libertador Simón Bolívar: </w:t>
      </w:r>
    </w:p>
    <w:p>
      <w:pPr>
        <w:pStyle w:val="style197"/>
        <w:spacing w:after="0" w:before="0" w:line="360" w:lineRule="auto"/>
        <w:ind w:hanging="0" w:left="600" w:right="0"/>
        <w:jc w:val="both"/>
      </w:pPr>
      <w:r>
        <w:rPr>
          <w:rFonts w:ascii="Arial" w:cs="Arial" w:hAnsi="Arial"/>
          <w:color w:val="000000"/>
        </w:rPr>
      </w:r>
    </w:p>
    <w:p>
      <w:pPr>
        <w:pStyle w:val="style197"/>
        <w:numPr>
          <w:ilvl w:val="0"/>
          <w:numId w:val="55"/>
        </w:numPr>
        <w:spacing w:after="0" w:before="0" w:line="360" w:lineRule="auto"/>
        <w:jc w:val="both"/>
      </w:pPr>
      <w:r>
        <w:rPr>
          <w:rFonts w:ascii="Arial" w:cs="Arial" w:hAnsi="Arial"/>
          <w:b/>
          <w:color w:val="000000"/>
        </w:rPr>
        <w:t>Defender, expandir y consolidar el bien más preciado que hemos reconquistado después de 200 años: la Independencia Nacional</w:t>
      </w:r>
      <w:r>
        <w:rPr>
          <w:rFonts w:ascii="Arial" w:cs="Arial" w:hAnsi="Arial"/>
          <w:color w:val="000000"/>
        </w:rPr>
        <w:t>:</w:t>
      </w:r>
    </w:p>
    <w:p>
      <w:pPr>
        <w:pStyle w:val="style197"/>
        <w:spacing w:after="0" w:before="0" w:line="360" w:lineRule="auto"/>
        <w:ind w:hanging="0" w:left="600" w:right="0"/>
        <w:jc w:val="both"/>
      </w:pPr>
      <w:r>
        <w:rPr>
          <w:rFonts w:ascii="Arial" w:cs="Arial" w:hAnsi="Arial"/>
          <w:color w:val="000000"/>
        </w:rPr>
      </w:r>
    </w:p>
    <w:p>
      <w:pPr>
        <w:pStyle w:val="style197"/>
        <w:spacing w:after="0" w:before="0" w:line="360" w:lineRule="auto"/>
        <w:ind w:hanging="0" w:left="1284" w:right="0"/>
        <w:jc w:val="both"/>
      </w:pPr>
      <w:r>
        <w:rPr>
          <w:rFonts w:ascii="Arial" w:cs="Arial" w:hAnsi="Arial"/>
          <w:b/>
          <w:color w:val="000000"/>
        </w:rPr>
        <w:tab/>
      </w:r>
      <w:r>
        <w:rPr>
          <w:rFonts w:ascii="Arial" w:cs="Arial" w:hAnsi="Arial"/>
          <w:color w:val="000000"/>
        </w:rPr>
        <w:t>Este  describe el conjunto de objetivos nacionales y estratégicos en los órdenes político, económico, social y cultural, principalmente, cuyo alcance nos permitirá sentar las bases de la irreversibilidad de la soberanía nacional. Tales como:</w:t>
      </w:r>
    </w:p>
    <w:p>
      <w:pPr>
        <w:pStyle w:val="style197"/>
        <w:numPr>
          <w:ilvl w:val="0"/>
          <w:numId w:val="32"/>
        </w:numPr>
        <w:spacing w:after="0" w:before="0" w:line="360" w:lineRule="auto"/>
        <w:ind w:hanging="360" w:left="1752" w:right="0"/>
        <w:jc w:val="both"/>
      </w:pPr>
      <w:r>
        <w:rPr>
          <w:rFonts w:ascii="Arial" w:cs="Arial" w:hAnsi="Arial"/>
          <w:color w:val="000000"/>
        </w:rPr>
        <w:t>Garantizar la continuidad del proceso revolucionario</w:t>
      </w:r>
    </w:p>
    <w:p>
      <w:pPr>
        <w:pStyle w:val="style197"/>
        <w:numPr>
          <w:ilvl w:val="0"/>
          <w:numId w:val="32"/>
        </w:numPr>
        <w:spacing w:after="0" w:before="0" w:line="360" w:lineRule="auto"/>
        <w:ind w:hanging="360" w:left="1752" w:right="0"/>
        <w:jc w:val="both"/>
      </w:pPr>
      <w:r>
        <w:rPr>
          <w:rFonts w:ascii="Arial" w:cs="Arial" w:eastAsia="Arial" w:hAnsi="Arial"/>
          <w:color w:val="000000"/>
        </w:rPr>
        <w:t xml:space="preserve"> </w:t>
      </w:r>
      <w:r>
        <w:rPr>
          <w:rFonts w:ascii="Arial" w:cs="Arial" w:hAnsi="Arial"/>
          <w:color w:val="000000"/>
        </w:rPr>
        <w:t xml:space="preserve">Plantear y  preservar la soberanía sobre nuestros recursos petroleros en particular, y naturales en general. (Manejar soberanamente el ingreso nacional). </w:t>
      </w:r>
    </w:p>
    <w:p>
      <w:pPr>
        <w:pStyle w:val="style197"/>
        <w:numPr>
          <w:ilvl w:val="0"/>
          <w:numId w:val="32"/>
        </w:numPr>
        <w:spacing w:after="0" w:before="0" w:line="360" w:lineRule="auto"/>
        <w:ind w:hanging="360" w:left="1752" w:right="0"/>
        <w:jc w:val="both"/>
      </w:pPr>
      <w:r>
        <w:rPr>
          <w:rFonts w:ascii="Arial" w:cs="Arial" w:hAnsi="Arial"/>
          <w:color w:val="000000"/>
        </w:rPr>
        <w:t>Lograr la soberanía alimentaria, desencadenando nuestro potencial agroproductivo, garantizando los alimentos a la población.</w:t>
      </w:r>
    </w:p>
    <w:p>
      <w:pPr>
        <w:pStyle w:val="style197"/>
        <w:spacing w:after="0" w:before="0" w:line="360" w:lineRule="auto"/>
        <w:ind w:hanging="0" w:left="1068" w:right="0"/>
        <w:jc w:val="both"/>
      </w:pPr>
      <w:r>
        <w:rPr>
          <w:rFonts w:ascii="Arial" w:cs="Arial" w:hAnsi="Arial"/>
          <w:color w:val="000000"/>
        </w:rPr>
      </w:r>
    </w:p>
    <w:p>
      <w:pPr>
        <w:pStyle w:val="style197"/>
        <w:numPr>
          <w:ilvl w:val="0"/>
          <w:numId w:val="55"/>
        </w:numPr>
        <w:spacing w:after="0" w:before="0" w:line="360" w:lineRule="auto"/>
        <w:jc w:val="both"/>
      </w:pPr>
      <w:r>
        <w:rPr>
          <w:rFonts w:ascii="Arial" w:cs="Arial" w:hAnsi="Arial"/>
          <w:b/>
          <w:color w:val="000000"/>
        </w:rPr>
        <w:t>Continuar construyendo el socialismo bolivariano del siglo XXI, en Venezuela, como alternativa al sistema destructivo y salvaje del capitalismo y con ello asegurar la “mayor suma de seguridad social, mayor suma de estabilidad política y la mayor suma de felicidad” para nuestro pueblo</w:t>
      </w:r>
      <w:r>
        <w:rPr>
          <w:rFonts w:ascii="Arial" w:cs="Arial" w:hAnsi="Arial"/>
          <w:color w:val="000000"/>
        </w:rPr>
        <w:t xml:space="preserve">. </w:t>
      </w:r>
    </w:p>
    <w:p>
      <w:pPr>
        <w:pStyle w:val="style197"/>
        <w:spacing w:after="0" w:before="0" w:line="360" w:lineRule="auto"/>
        <w:jc w:val="both"/>
      </w:pPr>
      <w:r>
        <w:rPr>
          <w:rFonts w:ascii="Arial" w:cs="Arial" w:hAnsi="Arial"/>
          <w:color w:val="000000"/>
        </w:rPr>
        <w:tab/>
      </w:r>
    </w:p>
    <w:p>
      <w:pPr>
        <w:pStyle w:val="style197"/>
        <w:spacing w:after="0" w:before="0" w:line="360" w:lineRule="auto"/>
        <w:ind w:hanging="0" w:left="1276" w:right="0"/>
        <w:jc w:val="both"/>
      </w:pPr>
      <w:r>
        <w:rPr>
          <w:rFonts w:ascii="Arial" w:cs="Arial" w:hAnsi="Arial"/>
          <w:color w:val="000000"/>
        </w:rPr>
        <w:tab/>
        <w:t>Con este objetivo se prefigura en las formas de construcción del socialismo nuestro para alcanzar la suprema felicidad social del pueblo, esto pasa, en primer lugar, por acelerar el cambio del sistema económico, trascendiendo el modelo rentista petrolero capitalista al modelo económico productivo socialista, dando paso a una sociedad más igualitaria y justa, rumbo al socialismo, sustentado en el rol del Estado Social y Democrático, de Derecho y de Justicia, con el fin de seguir avanzando en la plena satisfacción de las necesidades básicas para la vida de nuestro pueblo:</w:t>
      </w:r>
    </w:p>
    <w:p>
      <w:pPr>
        <w:pStyle w:val="style197"/>
        <w:numPr>
          <w:ilvl w:val="0"/>
          <w:numId w:val="5"/>
        </w:numPr>
        <w:spacing w:after="0" w:before="0" w:line="360" w:lineRule="auto"/>
        <w:ind w:hanging="283" w:left="1701" w:right="0"/>
        <w:jc w:val="both"/>
      </w:pPr>
      <w:r>
        <w:rPr>
          <w:rFonts w:ascii="Arial" w:cs="Arial" w:hAnsi="Arial"/>
          <w:color w:val="000000"/>
        </w:rPr>
        <w:t xml:space="preserve">la alimentación, </w:t>
      </w:r>
    </w:p>
    <w:p>
      <w:pPr>
        <w:pStyle w:val="style197"/>
        <w:numPr>
          <w:ilvl w:val="0"/>
          <w:numId w:val="5"/>
        </w:numPr>
        <w:spacing w:after="0" w:before="0" w:line="360" w:lineRule="auto"/>
        <w:ind w:hanging="283" w:left="1701" w:right="0"/>
        <w:jc w:val="both"/>
      </w:pPr>
      <w:r>
        <w:rPr>
          <w:rFonts w:ascii="Arial" w:cs="Arial" w:hAnsi="Arial"/>
          <w:color w:val="000000"/>
        </w:rPr>
        <w:t xml:space="preserve">el agua, </w:t>
      </w:r>
    </w:p>
    <w:p>
      <w:pPr>
        <w:pStyle w:val="style197"/>
        <w:numPr>
          <w:ilvl w:val="0"/>
          <w:numId w:val="5"/>
        </w:numPr>
        <w:spacing w:after="0" w:before="0" w:line="360" w:lineRule="auto"/>
        <w:ind w:hanging="283" w:left="1701" w:right="0"/>
        <w:jc w:val="both"/>
      </w:pPr>
      <w:r>
        <w:rPr>
          <w:rFonts w:ascii="Arial" w:cs="Arial" w:hAnsi="Arial"/>
          <w:color w:val="000000"/>
        </w:rPr>
        <w:t xml:space="preserve">la electricidad, </w:t>
      </w:r>
    </w:p>
    <w:p>
      <w:pPr>
        <w:pStyle w:val="style197"/>
        <w:numPr>
          <w:ilvl w:val="0"/>
          <w:numId w:val="5"/>
        </w:numPr>
        <w:spacing w:after="0" w:before="0" w:line="360" w:lineRule="auto"/>
        <w:ind w:hanging="283" w:left="1701" w:right="0"/>
        <w:jc w:val="both"/>
      </w:pPr>
      <w:r>
        <w:rPr>
          <w:rFonts w:ascii="Arial" w:cs="Arial" w:hAnsi="Arial"/>
          <w:color w:val="000000"/>
        </w:rPr>
        <w:t xml:space="preserve">la vivienda y el hábitat, </w:t>
      </w:r>
    </w:p>
    <w:p>
      <w:pPr>
        <w:pStyle w:val="style197"/>
        <w:numPr>
          <w:ilvl w:val="0"/>
          <w:numId w:val="5"/>
        </w:numPr>
        <w:spacing w:after="0" w:before="0" w:line="360" w:lineRule="auto"/>
        <w:ind w:hanging="283" w:left="1701" w:right="0"/>
        <w:jc w:val="both"/>
      </w:pPr>
      <w:r>
        <w:rPr>
          <w:rFonts w:ascii="Arial" w:cs="Arial" w:hAnsi="Arial"/>
          <w:color w:val="000000"/>
        </w:rPr>
        <w:t xml:space="preserve">el transporte público, </w:t>
      </w:r>
    </w:p>
    <w:p>
      <w:pPr>
        <w:pStyle w:val="style197"/>
        <w:numPr>
          <w:ilvl w:val="0"/>
          <w:numId w:val="5"/>
        </w:numPr>
        <w:spacing w:after="0" w:before="0" w:line="360" w:lineRule="auto"/>
        <w:ind w:hanging="283" w:left="1701" w:right="0"/>
        <w:jc w:val="both"/>
      </w:pPr>
      <w:r>
        <w:rPr>
          <w:rFonts w:ascii="Arial" w:cs="Arial" w:hAnsi="Arial"/>
          <w:color w:val="000000"/>
        </w:rPr>
        <w:t xml:space="preserve">la salud, </w:t>
      </w:r>
    </w:p>
    <w:p>
      <w:pPr>
        <w:pStyle w:val="style197"/>
        <w:numPr>
          <w:ilvl w:val="0"/>
          <w:numId w:val="5"/>
        </w:numPr>
        <w:spacing w:after="0" w:before="0" w:line="360" w:lineRule="auto"/>
        <w:ind w:hanging="283" w:left="1701" w:right="0"/>
        <w:jc w:val="both"/>
      </w:pPr>
      <w:r>
        <w:rPr>
          <w:rFonts w:ascii="Arial" w:cs="Arial" w:hAnsi="Arial"/>
          <w:color w:val="000000"/>
        </w:rPr>
        <w:t>la educación,</w:t>
      </w:r>
    </w:p>
    <w:p>
      <w:pPr>
        <w:pStyle w:val="style197"/>
        <w:numPr>
          <w:ilvl w:val="0"/>
          <w:numId w:val="5"/>
        </w:numPr>
        <w:spacing w:after="0" w:before="0" w:line="360" w:lineRule="auto"/>
        <w:ind w:hanging="283" w:left="1701" w:right="0"/>
        <w:jc w:val="both"/>
      </w:pPr>
      <w:r>
        <w:rPr>
          <w:rFonts w:ascii="Arial" w:cs="Arial" w:eastAsia="Arial" w:hAnsi="Arial"/>
          <w:color w:val="000000"/>
        </w:rPr>
        <w:t xml:space="preserve"> </w:t>
      </w:r>
      <w:r>
        <w:rPr>
          <w:rFonts w:ascii="Arial" w:cs="Arial" w:hAnsi="Arial"/>
          <w:color w:val="000000"/>
        </w:rPr>
        <w:t>la seguridad pública,</w:t>
      </w:r>
    </w:p>
    <w:p>
      <w:pPr>
        <w:pStyle w:val="style197"/>
        <w:numPr>
          <w:ilvl w:val="0"/>
          <w:numId w:val="5"/>
        </w:numPr>
        <w:spacing w:after="0" w:before="0" w:line="360" w:lineRule="auto"/>
        <w:ind w:hanging="283" w:left="1701" w:right="0"/>
        <w:jc w:val="both"/>
      </w:pPr>
      <w:r>
        <w:rPr>
          <w:rFonts w:ascii="Arial" w:cs="Arial" w:eastAsia="Arial" w:hAnsi="Arial"/>
          <w:color w:val="000000"/>
        </w:rPr>
        <w:t xml:space="preserve"> </w:t>
      </w:r>
      <w:r>
        <w:rPr>
          <w:rFonts w:ascii="Arial" w:cs="Arial" w:hAnsi="Arial"/>
          <w:color w:val="000000"/>
        </w:rPr>
        <w:t xml:space="preserve">el acceso a la cultura, </w:t>
      </w:r>
    </w:p>
    <w:p>
      <w:pPr>
        <w:pStyle w:val="style197"/>
        <w:numPr>
          <w:ilvl w:val="0"/>
          <w:numId w:val="5"/>
        </w:numPr>
        <w:spacing w:after="0" w:before="0" w:line="360" w:lineRule="auto"/>
        <w:ind w:hanging="283" w:left="1701" w:right="0"/>
        <w:jc w:val="both"/>
      </w:pPr>
      <w:r>
        <w:rPr>
          <w:rFonts w:ascii="Arial" w:cs="Arial" w:hAnsi="Arial"/>
          <w:color w:val="000000"/>
        </w:rPr>
        <w:t>la comunicación libre,</w:t>
      </w:r>
    </w:p>
    <w:p>
      <w:pPr>
        <w:pStyle w:val="style197"/>
        <w:numPr>
          <w:ilvl w:val="0"/>
          <w:numId w:val="5"/>
        </w:numPr>
        <w:spacing w:after="0" w:before="0" w:line="360" w:lineRule="auto"/>
        <w:ind w:hanging="283" w:left="1701" w:right="0"/>
        <w:jc w:val="both"/>
      </w:pPr>
      <w:r>
        <w:rPr>
          <w:rFonts w:ascii="Arial" w:cs="Arial" w:eastAsia="Arial" w:hAnsi="Arial"/>
          <w:color w:val="000000"/>
        </w:rPr>
        <w:t xml:space="preserve"> </w:t>
      </w:r>
      <w:r>
        <w:rPr>
          <w:rFonts w:ascii="Arial" w:cs="Arial" w:hAnsi="Arial"/>
          <w:color w:val="000000"/>
        </w:rPr>
        <w:t xml:space="preserve">la ciencia y la tecnología, </w:t>
      </w:r>
    </w:p>
    <w:p>
      <w:pPr>
        <w:pStyle w:val="style197"/>
        <w:numPr>
          <w:ilvl w:val="0"/>
          <w:numId w:val="5"/>
        </w:numPr>
        <w:spacing w:after="0" w:before="0" w:line="360" w:lineRule="auto"/>
        <w:ind w:hanging="283" w:left="1701" w:right="0"/>
        <w:jc w:val="both"/>
      </w:pPr>
      <w:r>
        <w:rPr>
          <w:rFonts w:ascii="Arial" w:cs="Arial" w:hAnsi="Arial"/>
          <w:color w:val="000000"/>
        </w:rPr>
        <w:t xml:space="preserve">el deporte, </w:t>
      </w:r>
    </w:p>
    <w:p>
      <w:pPr>
        <w:pStyle w:val="style197"/>
        <w:numPr>
          <w:ilvl w:val="0"/>
          <w:numId w:val="5"/>
        </w:numPr>
        <w:spacing w:after="0" w:before="0" w:line="360" w:lineRule="auto"/>
        <w:ind w:hanging="283" w:left="1701" w:right="0"/>
        <w:jc w:val="both"/>
      </w:pPr>
      <w:r>
        <w:rPr>
          <w:rFonts w:ascii="Arial" w:cs="Arial" w:hAnsi="Arial"/>
          <w:color w:val="000000"/>
        </w:rPr>
        <w:t xml:space="preserve">la sana recreación y al trabajo digno, liberado y liberador. </w:t>
      </w:r>
    </w:p>
    <w:p>
      <w:pPr>
        <w:pStyle w:val="style197"/>
        <w:spacing w:after="0" w:before="0" w:line="360" w:lineRule="auto"/>
        <w:ind w:hanging="0" w:left="2194" w:right="0"/>
        <w:jc w:val="both"/>
      </w:pPr>
      <w:r>
        <w:rPr>
          <w:rFonts w:ascii="Arial" w:cs="Arial" w:hAnsi="Arial"/>
          <w:color w:val="000000"/>
        </w:rPr>
      </w:r>
    </w:p>
    <w:p>
      <w:pPr>
        <w:pStyle w:val="style197"/>
        <w:spacing w:after="0" w:before="0" w:line="360" w:lineRule="auto"/>
        <w:ind w:hanging="0" w:left="1276" w:right="0"/>
        <w:jc w:val="both"/>
      </w:pPr>
      <w:r>
        <w:rPr>
          <w:rFonts w:ascii="Arial" w:cs="Arial" w:hAnsi="Arial"/>
          <w:color w:val="000000"/>
        </w:rPr>
        <w:tab/>
        <w:t xml:space="preserve">Lo anterior se relaciona con la necesaria promoción de una nueva hegemonía ética, moral y espiritual que nos permita superar los vicios, que aún no terminan de morir, del viejo modelo de sociedad capitalista. </w:t>
      </w:r>
    </w:p>
    <w:p>
      <w:pPr>
        <w:pStyle w:val="style197"/>
        <w:spacing w:after="0" w:before="0" w:line="360" w:lineRule="auto"/>
        <w:ind w:hanging="0" w:left="1276" w:right="0"/>
        <w:jc w:val="both"/>
      </w:pPr>
      <w:r>
        <w:rPr>
          <w:rFonts w:ascii="Arial" w:cs="Arial" w:hAnsi="Arial"/>
          <w:color w:val="000000"/>
        </w:rPr>
      </w:r>
    </w:p>
    <w:p>
      <w:pPr>
        <w:pStyle w:val="style197"/>
        <w:spacing w:after="0" w:before="0" w:line="360" w:lineRule="auto"/>
        <w:ind w:hanging="0" w:left="1276" w:right="0"/>
        <w:jc w:val="both"/>
      </w:pPr>
      <w:r>
        <w:rPr>
          <w:rFonts w:ascii="Arial" w:cs="Arial" w:hAnsi="Arial"/>
          <w:color w:val="000000"/>
        </w:rPr>
        <w:tab/>
        <w:tab/>
        <w:t xml:space="preserve">Este objetivo también busca  seguir avanzando en el desarrollo de un modelo de seguridad pública para la protección de la vida humana y direccionar una definitiva revolución en el sistema de administración de justicia, para acabar con la impunidad, lograr la igualdad en el acceso y erradicar el carácter clasista y racista en su aplicación, para el logro de este segundo gran objetivo es estratégico entender la fortaleza contenida en la Constitución Bolivariana, logrando la irrupción definitiva del nuevo Estado Social y Democrático, de Derecho y de Justicia, mediante la consolidación y expansión del poder popular a través de las Misiones y Grandes Misiones </w:t>
      </w:r>
    </w:p>
    <w:p>
      <w:pPr>
        <w:pStyle w:val="style197"/>
        <w:spacing w:after="0" w:before="0" w:line="360" w:lineRule="auto"/>
        <w:ind w:hanging="0" w:left="1276" w:right="0"/>
        <w:jc w:val="both"/>
      </w:pPr>
      <w:r>
        <w:rPr>
          <w:rFonts w:ascii="Arial" w:cs="Arial" w:hAnsi="Arial"/>
          <w:color w:val="000000"/>
        </w:rPr>
        <w:t xml:space="preserve">Socialistas y el autogobierno en poblaciones y territorios específicos conformados como Comunas, entre otras políticas. </w:t>
      </w:r>
    </w:p>
    <w:p>
      <w:pPr>
        <w:pStyle w:val="style197"/>
        <w:spacing w:after="0" w:before="0" w:line="360" w:lineRule="auto"/>
        <w:ind w:hanging="0" w:left="1276" w:right="0"/>
        <w:jc w:val="both"/>
      </w:pPr>
      <w:r>
        <w:rPr>
          <w:rFonts w:ascii="Arial" w:cs="Arial" w:hAnsi="Arial"/>
          <w:color w:val="000000"/>
        </w:rPr>
      </w:r>
    </w:p>
    <w:p>
      <w:pPr>
        <w:pStyle w:val="style197"/>
        <w:numPr>
          <w:ilvl w:val="0"/>
          <w:numId w:val="55"/>
        </w:numPr>
        <w:spacing w:after="0" w:before="0" w:line="360" w:lineRule="auto"/>
        <w:jc w:val="both"/>
      </w:pPr>
      <w:r>
        <w:rPr>
          <w:rFonts w:ascii="Arial" w:cs="Arial" w:hAnsi="Arial"/>
          <w:b/>
          <w:color w:val="000000"/>
        </w:rPr>
        <w:t>Convertir a Venezuela en un país potencia en lo social, lo económico y lo político dentro de la Gran Potencia Naciente de América Latina y el Caribe, que garanticen la conformación de una zona de paz en Nuestra América</w:t>
      </w:r>
      <w:r>
        <w:rPr>
          <w:rFonts w:ascii="Arial" w:cs="Arial" w:hAnsi="Arial"/>
          <w:color w:val="000000"/>
        </w:rPr>
        <w:t xml:space="preserve">. </w:t>
      </w:r>
    </w:p>
    <w:p>
      <w:pPr>
        <w:pStyle w:val="style197"/>
        <w:spacing w:after="0" w:before="0" w:line="360" w:lineRule="auto"/>
        <w:ind w:hanging="0" w:left="1276" w:right="0"/>
        <w:jc w:val="both"/>
      </w:pPr>
      <w:r>
        <w:rPr>
          <w:rFonts w:ascii="Arial" w:cs="Arial" w:hAnsi="Arial"/>
          <w:color w:val="000000"/>
        </w:rPr>
      </w:r>
    </w:p>
    <w:p>
      <w:pPr>
        <w:pStyle w:val="style197"/>
        <w:spacing w:after="0" w:before="0" w:line="360" w:lineRule="auto"/>
        <w:ind w:hanging="0" w:left="1276" w:right="0"/>
        <w:jc w:val="both"/>
      </w:pPr>
      <w:r>
        <w:rPr>
          <w:rFonts w:ascii="Arial" w:cs="Arial" w:hAnsi="Arial"/>
          <w:color w:val="000000"/>
        </w:rPr>
        <w:tab/>
        <w:tab/>
        <w:t>Con respecto al tercer gran objetivo histórico, convertir a Venezuela en un país potencia en lo social, lo económico y lo político dentro de la Gran Potencia Naciente de América Latina y el Caribe, que garantice la conformación de una zona de paz en Nuestra América, se orienta hacia la consolidación del poderío político, económico y social para lo cual se requiere, entre otras metas, la definitiva irrupción del Estado Democrático y Social, de Derecho y de Justicia, y el fortalecimiento de la estabilidad y la paz de la Nación. Más allá, esta propuesta histórica incluye el objetivo estratégico de desarrollar el poderío económico nacional, aprovechando de manera óptima las potencialidades que ofrecen nuestros recursos.</w:t>
      </w:r>
    </w:p>
    <w:p>
      <w:pPr>
        <w:pStyle w:val="style197"/>
        <w:spacing w:after="0" w:before="0" w:line="360" w:lineRule="auto"/>
        <w:ind w:hanging="0" w:left="1276" w:right="0"/>
        <w:jc w:val="both"/>
      </w:pPr>
      <w:r>
        <w:rPr>
          <w:rFonts w:ascii="Arial" w:cs="Arial" w:hAnsi="Arial"/>
          <w:color w:val="000000"/>
        </w:rPr>
      </w:r>
    </w:p>
    <w:p>
      <w:pPr>
        <w:pStyle w:val="style197"/>
        <w:spacing w:after="0" w:before="0" w:line="360" w:lineRule="auto"/>
        <w:ind w:hanging="0" w:left="1276" w:right="0"/>
        <w:jc w:val="both"/>
      </w:pPr>
      <w:r>
        <w:rPr>
          <w:rFonts w:ascii="Arial" w:cs="Arial" w:hAnsi="Arial"/>
          <w:color w:val="000000"/>
        </w:rPr>
        <w:tab/>
        <w:tab/>
        <w:t xml:space="preserve"> Igualmente, se propone ampliar el poderío militar para la defensa de la Patria, fortaleciendo la industria militar venezolana, y profundizando la nueva doctrina militar bolivariana y el desarrollo geopolítico nacional. Lo cual comprende el compromiso de seguir desempeñando un papel protagónico en el proceso de construcción de la unidad latinoamericana y caribeña, impulsando la Alianza Bolivariana para los Pueblos de Nuestra América (ALBA) y Petrocaribe, así como dinamizando los nuevos espacios regionales: la Unión de Naciones Suramericanas (Unasur) y la Comunidad de Estados Latinoamericanos y Caribeños (Celac).</w:t>
      </w:r>
    </w:p>
    <w:p>
      <w:pPr>
        <w:pStyle w:val="style197"/>
        <w:spacing w:after="0" w:before="0" w:line="360" w:lineRule="auto"/>
        <w:ind w:hanging="0" w:left="1276" w:right="0"/>
        <w:jc w:val="both"/>
      </w:pPr>
      <w:r>
        <w:rPr>
          <w:rFonts w:ascii="Arial" w:cs="Arial" w:hAnsi="Arial"/>
          <w:color w:val="000000"/>
        </w:rPr>
      </w:r>
    </w:p>
    <w:p>
      <w:pPr>
        <w:pStyle w:val="style197"/>
        <w:numPr>
          <w:ilvl w:val="0"/>
          <w:numId w:val="55"/>
        </w:numPr>
        <w:spacing w:after="0" w:before="0" w:line="360" w:lineRule="auto"/>
        <w:jc w:val="both"/>
      </w:pPr>
      <w:r>
        <w:rPr>
          <w:rFonts w:ascii="Arial" w:cs="Arial" w:hAnsi="Arial"/>
          <w:b/>
          <w:color w:val="000000"/>
        </w:rPr>
        <w:t>Contribuir al desarrollo de una nueva Geopolítica Internacional en la cual tome cuerpo un mundo multicéntrico y pluripolar que permita lograr el equilibrio del Universo y garantizar la Paz planetaria</w:t>
      </w:r>
      <w:r>
        <w:rPr>
          <w:rFonts w:ascii="Arial" w:cs="Arial" w:hAnsi="Arial"/>
          <w:color w:val="000000"/>
        </w:rPr>
        <w:t>.</w:t>
      </w:r>
    </w:p>
    <w:p>
      <w:pPr>
        <w:pStyle w:val="style197"/>
        <w:spacing w:after="0" w:before="0" w:line="360" w:lineRule="auto"/>
        <w:ind w:hanging="0" w:left="1276" w:right="0"/>
        <w:jc w:val="both"/>
      </w:pPr>
      <w:r>
        <w:rPr>
          <w:rFonts w:ascii="Arial" w:cs="Arial" w:hAnsi="Arial"/>
          <w:color w:val="000000"/>
        </w:rPr>
      </w:r>
    </w:p>
    <w:p>
      <w:pPr>
        <w:pStyle w:val="style197"/>
        <w:spacing w:after="0" w:before="0" w:line="360" w:lineRule="auto"/>
        <w:ind w:hanging="0" w:left="1276" w:right="0"/>
        <w:jc w:val="both"/>
      </w:pPr>
      <w:r>
        <w:rPr>
          <w:rFonts w:ascii="Arial" w:cs="Arial" w:hAnsi="Arial"/>
          <w:color w:val="000000"/>
        </w:rPr>
        <w:tab/>
        <w:tab/>
        <w:t xml:space="preserve"> El cuarto gran objetivo histórico implica continuar transitando el camino en la búsqueda de un mundo multicéntrico y pluripolar, sin dominación imperial y con respeto irrestricto a la autodeterminación de los pueblos. Por último, plantea la necesidad de seguir sumando esfuerzos por desmontar el sistema neocolonial de dominación imperial, eliminando o reduciendo a niveles no Segundo [5] Plan Socialista de Desarrollo Económico y Social de la Nación 2013-2019 vitales el relacionamiento económico y tecnológico de nuestro país con los centros imperiales de dominación, entre otros propósitos.</w:t>
      </w:r>
    </w:p>
    <w:p>
      <w:pPr>
        <w:pStyle w:val="style197"/>
        <w:spacing w:after="0" w:before="0" w:line="360" w:lineRule="auto"/>
        <w:ind w:hanging="0" w:left="1276" w:right="0"/>
        <w:jc w:val="both"/>
      </w:pPr>
      <w:r>
        <w:rPr>
          <w:rFonts w:ascii="Arial" w:cs="Arial" w:hAnsi="Arial"/>
          <w:color w:val="000000"/>
        </w:rPr>
      </w:r>
    </w:p>
    <w:p>
      <w:pPr>
        <w:pStyle w:val="style197"/>
        <w:numPr>
          <w:ilvl w:val="0"/>
          <w:numId w:val="55"/>
        </w:numPr>
        <w:spacing w:after="0" w:before="0" w:line="360" w:lineRule="auto"/>
        <w:jc w:val="both"/>
      </w:pPr>
      <w:r>
        <w:rPr>
          <w:rFonts w:ascii="Arial" w:cs="Arial" w:hAnsi="Arial"/>
          <w:b/>
          <w:color w:val="000000"/>
        </w:rPr>
        <w:t>Preservar la vida en el planeta y salvar a la especie humana</w:t>
      </w:r>
      <w:r>
        <w:rPr>
          <w:rFonts w:ascii="Arial" w:cs="Arial" w:hAnsi="Arial"/>
          <w:color w:val="000000"/>
        </w:rPr>
        <w:t xml:space="preserve">. </w:t>
      </w:r>
    </w:p>
    <w:p>
      <w:pPr>
        <w:pStyle w:val="style197"/>
        <w:spacing w:after="0" w:before="0" w:line="360" w:lineRule="auto"/>
        <w:ind w:hanging="0" w:left="1276" w:right="0"/>
        <w:jc w:val="both"/>
      </w:pPr>
      <w:r>
        <w:rPr>
          <w:rFonts w:ascii="Arial" w:cs="Arial" w:hAnsi="Arial"/>
          <w:color w:val="000000"/>
        </w:rPr>
      </w:r>
    </w:p>
    <w:p>
      <w:pPr>
        <w:pStyle w:val="style197"/>
        <w:spacing w:after="0" w:before="0" w:line="360" w:lineRule="auto"/>
        <w:ind w:hanging="0" w:left="1276" w:right="0"/>
        <w:jc w:val="both"/>
      </w:pPr>
      <w:r>
        <w:rPr>
          <w:rFonts w:ascii="Arial" w:cs="Arial" w:hAnsi="Arial"/>
          <w:color w:val="000000"/>
        </w:rPr>
        <w:tab/>
        <w:tab/>
        <w:t>El quinto de los grandes objetivos históricos se traduce en la necesidad de construir un modelo económico productivo ecosocialista, basado en una relación armónica entre el hombre y la naturaleza, que garantice el uso y aprovechamiento racional y óptimo de los recursos naturales, respetando los procesos y ciclos de la naturaleza.</w:t>
      </w:r>
    </w:p>
    <w:p>
      <w:pPr>
        <w:pStyle w:val="style197"/>
        <w:spacing w:after="0" w:before="0" w:line="360" w:lineRule="auto"/>
        <w:jc w:val="both"/>
      </w:pPr>
      <w:r>
        <w:rPr>
          <w:rFonts w:ascii="Arial" w:cs="Arial" w:hAnsi="Arial"/>
          <w:color w:val="000000"/>
        </w:rPr>
        <w:tab/>
      </w:r>
    </w:p>
    <w:p>
      <w:pPr>
        <w:pStyle w:val="style197"/>
        <w:spacing w:after="0" w:before="0" w:line="360" w:lineRule="auto"/>
        <w:jc w:val="both"/>
      </w:pPr>
      <w:r>
        <w:rPr>
          <w:rFonts w:ascii="Arial" w:cs="Arial" w:hAnsi="Arial"/>
          <w:color w:val="000000"/>
        </w:rPr>
        <w:tab/>
        <w:t>Es importante señalar que esta investigación está estrechamente relacionada con dos  de los objetivos estratégicos del Segundo Plan Socialista de Desarrollo Económico y Social de la Nación 2013-2019; estos objetivos son II y el V.</w:t>
      </w:r>
    </w:p>
    <w:p>
      <w:pPr>
        <w:pStyle w:val="style197"/>
        <w:spacing w:after="0" w:before="0" w:line="360" w:lineRule="auto"/>
        <w:jc w:val="both"/>
      </w:pPr>
      <w:r>
        <w:rPr>
          <w:rFonts w:ascii="Arial" w:cs="Arial" w:hAnsi="Arial"/>
          <w:color w:val="000000"/>
        </w:rPr>
      </w:r>
    </w:p>
    <w:p>
      <w:pPr>
        <w:pStyle w:val="style197"/>
        <w:spacing w:after="0" w:before="0" w:line="360" w:lineRule="auto"/>
        <w:jc w:val="both"/>
      </w:pPr>
      <w:r>
        <w:rPr>
          <w:rFonts w:ascii="Arial" w:cs="Arial" w:hAnsi="Arial"/>
          <w:color w:val="000000"/>
        </w:rPr>
        <w:tab/>
        <w:t xml:space="preserve">A parte de los objetivos señalados el Gobierno Nacional ha hecho el mejor de los esfuerzos para contrarrestar la guerra económica actual en la que está inmerso nuestro país. </w:t>
      </w:r>
    </w:p>
    <w:p>
      <w:pPr>
        <w:pStyle w:val="style197"/>
        <w:spacing w:after="0" w:before="0" w:line="360" w:lineRule="auto"/>
        <w:jc w:val="both"/>
      </w:pPr>
      <w:r>
        <w:rPr>
          <w:rFonts w:ascii="Arial" w:cs="Arial" w:hAnsi="Arial"/>
          <w:color w:val="000000"/>
        </w:rPr>
      </w:r>
    </w:p>
    <w:p>
      <w:pPr>
        <w:pStyle w:val="style0"/>
        <w:spacing w:after="0" w:before="0" w:line="360" w:lineRule="auto"/>
        <w:ind w:hanging="0" w:left="720" w:right="0"/>
        <w:jc w:val="both"/>
      </w:pPr>
      <w:r>
        <w:rPr>
          <w:rFonts w:ascii="Arial" w:cs="Arial" w:hAnsi="Arial"/>
          <w:color w:val="000000"/>
          <w:sz w:val="24"/>
          <w:szCs w:val="24"/>
          <w:lang w:val="es-VE"/>
        </w:rPr>
      </w:r>
    </w:p>
    <w:p>
      <w:pPr>
        <w:pStyle w:val="style197"/>
        <w:spacing w:after="0" w:before="0" w:line="360" w:lineRule="auto"/>
        <w:jc w:val="both"/>
      </w:pPr>
      <w:r>
        <w:rPr>
          <w:rFonts w:ascii="Arial" w:cs="Arial" w:hAnsi="Arial"/>
          <w:b/>
          <w:color w:val="000000"/>
        </w:rPr>
        <w:t>Ciencia y Tecnología</w:t>
      </w:r>
    </w:p>
    <w:p>
      <w:pPr>
        <w:pStyle w:val="style197"/>
        <w:spacing w:after="0" w:before="0" w:line="360" w:lineRule="auto"/>
        <w:jc w:val="both"/>
      </w:pPr>
      <w:r>
        <w:rPr>
          <w:rFonts w:ascii="Arial" w:cs="Arial" w:hAnsi="Arial"/>
          <w:b/>
          <w:color w:val="000000"/>
        </w:rPr>
      </w:r>
    </w:p>
    <w:p>
      <w:pPr>
        <w:pStyle w:val="style197"/>
        <w:spacing w:after="0" w:before="0" w:line="360" w:lineRule="auto"/>
        <w:ind w:hanging="0" w:left="600" w:right="0"/>
        <w:jc w:val="both"/>
      </w:pPr>
      <w:r>
        <w:rPr>
          <w:rFonts w:ascii="Arial" w:cs="Arial" w:hAnsi="Arial"/>
          <w:color w:val="000000"/>
        </w:rPr>
        <w:tab/>
        <w:tab/>
        <w:t xml:space="preserve">El éxito de la gestión institucional está directamente relacionada con la disponibilidad de la tecnología adecuada, que ponga a disposición de los usuarios de los servicios informáticos la mayor calidad y confiabilidad que facilite el flujo de la información y las operaciones de la institución con la mayor seguridad, estabilidad y oportunidad y que haga de la información un recurso corporativo para la toma de decisiones. Entre la plataforma tecnológica con que cuenta el Instituto Universitario de Tecnología de Yaracuy  se encuentran: los microcomputadores con mejoramiento del servicio de conectividad de red institucional, actualización y mejoras  de los sistemas ya existentes a los fines de garantizar la continuidad de los procesos y apoyar a la gestión del Instituto. </w:t>
      </w:r>
    </w:p>
    <w:p>
      <w:pPr>
        <w:pStyle w:val="style0"/>
        <w:spacing w:after="0" w:before="0" w:line="360" w:lineRule="auto"/>
        <w:ind w:hanging="0" w:left="720" w:right="0"/>
        <w:jc w:val="both"/>
      </w:pPr>
      <w:r>
        <w:rPr>
          <w:rFonts w:ascii="Arial" w:cs="Arial" w:hAnsi="Arial"/>
          <w:color w:val="000000"/>
          <w:lang w:val="es-VE"/>
        </w:rPr>
      </w:r>
    </w:p>
    <w:p>
      <w:pPr>
        <w:pStyle w:val="style0"/>
        <w:spacing w:after="0" w:before="0" w:line="360" w:lineRule="auto"/>
        <w:ind w:hanging="0" w:left="720" w:right="0"/>
        <w:jc w:val="both"/>
      </w:pPr>
      <w:r>
        <w:rPr>
          <w:rFonts w:ascii="Arial" w:cs="Arial" w:hAnsi="Arial"/>
          <w:color w:val="000000"/>
        </w:rPr>
      </w:r>
    </w:p>
    <w:p>
      <w:pPr>
        <w:pStyle w:val="style197"/>
        <w:spacing w:after="0" w:before="0" w:line="360" w:lineRule="auto"/>
        <w:jc w:val="both"/>
      </w:pPr>
      <w:r>
        <w:rPr>
          <w:rFonts w:ascii="Arial" w:cs="Arial" w:hAnsi="Arial"/>
          <w:b/>
          <w:color w:val="000000"/>
        </w:rPr>
        <w:t>Social</w:t>
      </w:r>
    </w:p>
    <w:p>
      <w:pPr>
        <w:pStyle w:val="style197"/>
        <w:spacing w:after="0" w:before="0" w:line="360" w:lineRule="auto"/>
        <w:jc w:val="both"/>
      </w:pPr>
      <w:r>
        <w:rPr>
          <w:rFonts w:ascii="Arial" w:cs="Arial" w:hAnsi="Arial"/>
          <w:b/>
          <w:color w:val="000000"/>
        </w:rPr>
      </w:r>
    </w:p>
    <w:p>
      <w:pPr>
        <w:pStyle w:val="style197"/>
        <w:spacing w:after="0" w:before="0" w:line="360" w:lineRule="auto"/>
        <w:ind w:hanging="0" w:left="600" w:right="0"/>
        <w:jc w:val="both"/>
      </w:pPr>
      <w:r>
        <w:rPr>
          <w:rFonts w:ascii="Arial" w:cs="Arial" w:hAnsi="Arial"/>
          <w:color w:val="000000"/>
          <w:shd w:fill="FFFFFF" w:val="clear"/>
        </w:rPr>
        <w:tab/>
        <w:tab/>
        <w:t>La población de Venezuela para el 2013 cerró  con una población de 30.405.207 personas distribuida de</w:t>
      </w:r>
      <w:r>
        <w:rPr>
          <w:rFonts w:ascii="Arial" w:cs="Arial" w:hAnsi="Arial"/>
          <w:color w:val="000000"/>
        </w:rPr>
        <w:t xml:space="preserve"> la siguiente manera hombres  15.245-141 y mujeres 15.160.066  y la población del  Estado Yaracuy para el 2013 está conformada aproximadamente por 750.000, habitantes distribuidos en los 14 municipios, según el último censo de control de área urbana y rural realizado por el Instituto Nacional de Estadística (INE) 2011 esta alcanzó 599.345  </w:t>
      </w:r>
    </w:p>
    <w:p>
      <w:pPr>
        <w:pStyle w:val="style0"/>
        <w:spacing w:after="0" w:before="0" w:line="360" w:lineRule="auto"/>
        <w:ind w:hanging="0" w:left="720" w:right="0"/>
        <w:jc w:val="both"/>
      </w:pPr>
      <w:r>
        <w:rPr>
          <w:rFonts w:ascii="Arial" w:cs="Arial" w:hAnsi="Arial"/>
          <w:color w:val="000000"/>
          <w:sz w:val="24"/>
          <w:szCs w:val="24"/>
          <w:lang w:val="es-VE"/>
        </w:rPr>
      </w:r>
    </w:p>
    <w:p>
      <w:pPr>
        <w:pStyle w:val="style197"/>
        <w:spacing w:after="0" w:before="0" w:line="360" w:lineRule="auto"/>
        <w:jc w:val="both"/>
      </w:pPr>
      <w:r>
        <w:rPr>
          <w:rFonts w:ascii="Arial" w:cs="Arial" w:hAnsi="Arial"/>
          <w:color w:val="000000"/>
          <w:lang w:val="es-ES"/>
        </w:rPr>
      </w:r>
    </w:p>
    <w:p>
      <w:pPr>
        <w:pStyle w:val="style197"/>
        <w:spacing w:after="0" w:before="0" w:line="360" w:lineRule="auto"/>
        <w:jc w:val="both"/>
      </w:pPr>
      <w:r>
        <w:rPr>
          <w:rFonts w:ascii="Arial" w:cs="Arial" w:hAnsi="Arial"/>
          <w:b/>
          <w:color w:val="000000"/>
        </w:rPr>
        <w:t>Misión y Visión de de la Oficina de Bienes Públicos del Instituto Universitario de Tecnología de Yaracuy.</w:t>
      </w:r>
    </w:p>
    <w:p>
      <w:pPr>
        <w:pStyle w:val="style197"/>
        <w:spacing w:after="0" w:before="0" w:line="360" w:lineRule="auto"/>
        <w:jc w:val="both"/>
      </w:pPr>
      <w:r>
        <w:rPr>
          <w:rFonts w:ascii="Arial" w:cs="Arial" w:hAnsi="Arial"/>
          <w:color w:val="000000"/>
        </w:rPr>
      </w:r>
    </w:p>
    <w:p>
      <w:pPr>
        <w:pStyle w:val="style197"/>
        <w:spacing w:after="0" w:before="0" w:line="360" w:lineRule="auto"/>
        <w:jc w:val="both"/>
      </w:pPr>
      <w:r>
        <w:rPr>
          <w:rFonts w:ascii="Arial" w:cs="Arial" w:hAnsi="Arial"/>
          <w:b/>
          <w:color w:val="000000"/>
        </w:rPr>
        <w:t xml:space="preserve">Misión  </w:t>
      </w:r>
    </w:p>
    <w:p>
      <w:pPr>
        <w:pStyle w:val="style197"/>
        <w:spacing w:after="0" w:before="0" w:line="360" w:lineRule="auto"/>
        <w:jc w:val="both"/>
      </w:pPr>
      <w:r>
        <w:rPr>
          <w:rFonts w:ascii="Arial" w:cs="Arial" w:hAnsi="Arial"/>
          <w:b/>
          <w:color w:val="000000"/>
        </w:rPr>
      </w:r>
    </w:p>
    <w:p>
      <w:pPr>
        <w:pStyle w:val="style197"/>
        <w:spacing w:after="0" w:before="0" w:line="360" w:lineRule="auto"/>
        <w:jc w:val="both"/>
      </w:pPr>
      <w:r>
        <w:rPr>
          <w:rFonts w:ascii="Arial" w:cs="Arial" w:hAnsi="Arial"/>
          <w:color w:val="000000"/>
          <w:shd w:fill="FFFFFF" w:val="clear"/>
        </w:rPr>
        <w:tab/>
        <w:t>Ser  una Instancia Administrativa garante de  contribuir a la efectiva guarda, custodia, mantenimiento, conservación en la  administración del uso de los bienes que se empleen y sean asignados por el Ministerio de Poder Popular para la Educación Universitaria, Ciencia y Tecnología al Instituto Universitario de Tecnología de Yaracuy y responsable de suministrar toda la información solicitada para los procesos de Enajenación de los Bienes Públicos en Estado de Obsolescencia, Deterioro y Corrosión.</w:t>
      </w:r>
    </w:p>
    <w:p>
      <w:pPr>
        <w:pStyle w:val="style197"/>
        <w:spacing w:after="0" w:before="0" w:line="360" w:lineRule="auto"/>
        <w:jc w:val="both"/>
      </w:pPr>
      <w:r>
        <w:rPr>
          <w:rFonts w:ascii="Arial" w:cs="Arial" w:hAnsi="Arial"/>
          <w:color w:val="000000"/>
          <w:shd w:fill="FFFFFF" w:val="clear"/>
        </w:rPr>
      </w:r>
    </w:p>
    <w:p>
      <w:pPr>
        <w:pStyle w:val="style197"/>
        <w:spacing w:after="0" w:before="0" w:line="360" w:lineRule="auto"/>
        <w:jc w:val="both"/>
      </w:pPr>
      <w:r>
        <w:rPr>
          <w:rFonts w:ascii="Arial" w:cs="Arial" w:hAnsi="Arial"/>
          <w:b/>
          <w:color w:val="000000"/>
          <w:shd w:fill="FFFFFF" w:val="clear"/>
        </w:rPr>
        <w:t>Visión</w:t>
      </w:r>
      <w:r>
        <w:rPr>
          <w:rFonts w:ascii="Arial" w:cs="Arial" w:hAnsi="Arial"/>
          <w:color w:val="000000"/>
          <w:shd w:fill="FFFFFF" w:val="clear"/>
        </w:rPr>
        <w:t xml:space="preserve"> </w:t>
      </w:r>
      <w:r>
        <w:rPr>
          <w:rFonts w:ascii="Arial" w:cs="Arial" w:hAnsi="Arial"/>
          <w:b/>
          <w:color w:val="000000"/>
        </w:rPr>
        <w:t xml:space="preserve"> </w:t>
      </w:r>
    </w:p>
    <w:p>
      <w:pPr>
        <w:pStyle w:val="style197"/>
        <w:spacing w:after="0" w:before="0" w:line="360" w:lineRule="auto"/>
        <w:jc w:val="both"/>
      </w:pPr>
      <w:r>
        <w:rPr>
          <w:rFonts w:ascii="Arial" w:cs="Arial" w:hAnsi="Arial"/>
          <w:color w:val="000000"/>
          <w:shd w:fill="FFFFFF" w:val="clear"/>
        </w:rPr>
      </w:r>
    </w:p>
    <w:p>
      <w:pPr>
        <w:pStyle w:val="style197"/>
        <w:spacing w:after="0" w:before="0" w:line="360" w:lineRule="auto"/>
        <w:jc w:val="both"/>
      </w:pPr>
      <w:r>
        <w:rPr>
          <w:rFonts w:ascii="Arial" w:cs="Arial" w:hAnsi="Arial"/>
          <w:color w:val="000000"/>
          <w:shd w:fill="FFFFFF" w:val="clear"/>
        </w:rPr>
        <w:tab/>
        <w:t xml:space="preserve">La Oficina de Bienes Público del Instituto Universitario de Tecnología de Yaracuy es la responsable de velar y garantizar el </w:t>
      </w:r>
      <w:r>
        <w:rPr>
          <w:rFonts w:ascii="Arial" w:cs="Arial" w:hAnsi="Arial"/>
          <w:color w:val="000000"/>
        </w:rPr>
        <w:t>al registro, conservación y mantenimiento de Bienes Públicos,</w:t>
      </w:r>
      <w:r>
        <w:rPr>
          <w:rFonts w:ascii="Arial" w:cs="Arial" w:hAnsi="Arial"/>
          <w:color w:val="000000"/>
          <w:shd w:fill="FFFFFF" w:val="clear"/>
        </w:rPr>
        <w:t xml:space="preserve"> de manera oportuna y eficiente, </w:t>
      </w:r>
      <w:r>
        <w:rPr>
          <w:rFonts w:ascii="Arial" w:cs="Arial" w:hAnsi="Arial"/>
          <w:color w:val="000000"/>
        </w:rPr>
        <w:t xml:space="preserve">bajo los criterios de cooperación y colaboración </w:t>
      </w:r>
      <w:r>
        <w:rPr>
          <w:rFonts w:ascii="Arial" w:cs="Arial" w:hAnsi="Arial"/>
          <w:color w:val="000000"/>
          <w:shd w:fill="FFFFFF" w:val="clear"/>
        </w:rPr>
        <w:t>sobre el  uso y destino de los bienes asignados a la institución para su funcionamiento.</w:t>
      </w:r>
    </w:p>
    <w:p>
      <w:pPr>
        <w:pStyle w:val="style197"/>
        <w:spacing w:after="0" w:before="0" w:line="360" w:lineRule="auto"/>
        <w:jc w:val="both"/>
      </w:pPr>
      <w:r>
        <w:rPr>
          <w:rFonts w:ascii="Arial" w:cs="Arial" w:hAnsi="Arial"/>
          <w:color w:val="000000"/>
          <w:shd w:fill="FFFFFF" w:val="clear"/>
        </w:rPr>
      </w:r>
    </w:p>
    <w:p>
      <w:pPr>
        <w:pStyle w:val="style197"/>
        <w:spacing w:after="0" w:before="0" w:line="360" w:lineRule="auto"/>
        <w:jc w:val="both"/>
      </w:pPr>
      <w:r>
        <w:rPr>
          <w:rFonts w:ascii="Arial" w:cs="Arial" w:hAnsi="Arial"/>
          <w:b/>
          <w:color w:val="000000"/>
          <w:shd w:fill="FFFFFF" w:val="clear"/>
        </w:rPr>
        <w:t>Funciones del Personal Involucrado en el proceso de Enajenación:</w:t>
      </w:r>
    </w:p>
    <w:p>
      <w:pPr>
        <w:pStyle w:val="style197"/>
        <w:spacing w:after="0" w:before="0" w:line="360" w:lineRule="auto"/>
        <w:jc w:val="both"/>
      </w:pPr>
      <w:r>
        <w:rPr>
          <w:rFonts w:ascii="Arial" w:cs="Arial" w:eastAsia="Arial" w:hAnsi="Arial"/>
          <w:b/>
          <w:color w:val="000000"/>
        </w:rPr>
        <w:t xml:space="preserve">  </w:t>
      </w:r>
    </w:p>
    <w:p>
      <w:pPr>
        <w:pStyle w:val="style197"/>
        <w:spacing w:after="0" w:before="0" w:line="360" w:lineRule="auto"/>
        <w:jc w:val="both"/>
      </w:pPr>
      <w:r>
        <w:rPr>
          <w:rFonts w:ascii="Arial" w:cs="Arial" w:hAnsi="Arial"/>
          <w:b/>
          <w:color w:val="000000"/>
        </w:rPr>
        <w:t>Funciones del Personal de Bienes Públicos del Instituto Universitario de Tecnología de Yaracuy</w:t>
      </w:r>
      <w:r>
        <w:rPr>
          <w:rFonts w:ascii="Arial" w:cs="Arial" w:hAnsi="Arial"/>
          <w:color w:val="000000"/>
        </w:rPr>
        <w:t>:</w:t>
      </w:r>
    </w:p>
    <w:p>
      <w:pPr>
        <w:pStyle w:val="style197"/>
        <w:spacing w:after="0" w:before="0" w:line="360" w:lineRule="auto"/>
        <w:jc w:val="both"/>
      </w:pPr>
      <w:r>
        <w:rPr>
          <w:rFonts w:ascii="Arial" w:cs="Arial" w:hAnsi="Arial"/>
          <w:color w:val="000000"/>
        </w:rPr>
      </w:r>
    </w:p>
    <w:p>
      <w:pPr>
        <w:pStyle w:val="style197"/>
        <w:numPr>
          <w:ilvl w:val="0"/>
          <w:numId w:val="32"/>
        </w:numPr>
        <w:spacing w:after="0" w:before="0" w:line="360" w:lineRule="auto"/>
        <w:jc w:val="both"/>
      </w:pPr>
      <w:r>
        <w:rPr>
          <w:rFonts w:ascii="Arial" w:cs="Arial" w:eastAsia="Arial" w:hAnsi="Arial"/>
          <w:color w:val="000000"/>
        </w:rPr>
        <w:t xml:space="preserve"> </w:t>
      </w:r>
      <w:r>
        <w:rPr>
          <w:rFonts w:ascii="Arial" w:cs="Arial" w:hAnsi="Arial"/>
          <w:color w:val="000000"/>
        </w:rPr>
        <w:t>Suministrar a la Superintendencia de Bienes Públicos,  la información requerida en la forma y oportuna que esta determine tales como: la consistencia de los registros y cifras y control de los Bienes Públicos y su respectivo valor contable</w:t>
      </w:r>
    </w:p>
    <w:p>
      <w:pPr>
        <w:pStyle w:val="style197"/>
        <w:numPr>
          <w:ilvl w:val="0"/>
          <w:numId w:val="32"/>
        </w:numPr>
        <w:spacing w:after="0" w:before="0" w:line="360" w:lineRule="auto"/>
        <w:jc w:val="both"/>
      </w:pPr>
      <w:r>
        <w:rPr>
          <w:rFonts w:ascii="Arial" w:cs="Arial" w:hAnsi="Arial"/>
          <w:color w:val="000000"/>
        </w:rPr>
        <w:t>Mantener el intercambio necesario con Superintendencia de Bienes Públicos.</w:t>
      </w:r>
    </w:p>
    <w:p>
      <w:pPr>
        <w:pStyle w:val="style197"/>
        <w:numPr>
          <w:ilvl w:val="0"/>
          <w:numId w:val="32"/>
        </w:numPr>
        <w:spacing w:after="0" w:before="0" w:line="360" w:lineRule="auto"/>
        <w:jc w:val="both"/>
      </w:pPr>
      <w:r>
        <w:rPr>
          <w:rFonts w:ascii="Arial" w:cs="Arial" w:hAnsi="Arial"/>
          <w:color w:val="000000"/>
        </w:rPr>
        <w:t>Ser responsable de mantener, conservar, registrar y administrar los Bienes Públicos, respondiendo patrimonialmente por cualquier daño, pérdida o deterioro sufrido por el bien custodiado, en cuanto le sea imputable.</w:t>
      </w:r>
    </w:p>
    <w:p>
      <w:pPr>
        <w:pStyle w:val="style197"/>
        <w:numPr>
          <w:ilvl w:val="0"/>
          <w:numId w:val="32"/>
        </w:numPr>
        <w:spacing w:after="0" w:before="0" w:line="360" w:lineRule="auto"/>
        <w:jc w:val="both"/>
      </w:pPr>
      <w:r>
        <w:rPr>
          <w:rFonts w:ascii="Arial" w:cs="Arial" w:hAnsi="Arial"/>
          <w:color w:val="000000"/>
        </w:rPr>
        <w:t xml:space="preserve">Velar por garantizar la información </w:t>
      </w:r>
      <w:r>
        <w:rPr>
          <w:rFonts w:ascii="Arial" w:cs="Arial" w:hAnsi="Arial"/>
          <w:color w:val="000000"/>
          <w:shd w:fill="FFFFFF" w:val="clear"/>
        </w:rPr>
        <w:t>solicitada para los procesos de Enajenación de los Bienes Públicos en Estado de Obsolescencia, Deterioro y Corrosión</w:t>
      </w:r>
    </w:p>
    <w:p>
      <w:pPr>
        <w:pStyle w:val="style197"/>
        <w:numPr>
          <w:ilvl w:val="0"/>
          <w:numId w:val="32"/>
        </w:numPr>
        <w:spacing w:after="0" w:before="0" w:line="360" w:lineRule="auto"/>
        <w:jc w:val="both"/>
      </w:pPr>
      <w:r>
        <w:rPr>
          <w:rFonts w:ascii="Arial" w:cs="Arial" w:eastAsia="Arial" w:hAnsi="Arial"/>
          <w:color w:val="000000"/>
        </w:rPr>
        <w:t xml:space="preserve"> </w:t>
      </w:r>
      <w:r>
        <w:rPr>
          <w:rFonts w:ascii="Arial" w:cs="Arial" w:hAnsi="Arial"/>
          <w:color w:val="000000"/>
        </w:rPr>
        <w:t>Corresponde llevar registro actualizado de los bienes.</w:t>
      </w:r>
    </w:p>
    <w:p>
      <w:pPr>
        <w:pStyle w:val="style197"/>
        <w:numPr>
          <w:ilvl w:val="0"/>
          <w:numId w:val="32"/>
        </w:numPr>
        <w:spacing w:after="0" w:before="0" w:line="360" w:lineRule="auto"/>
        <w:jc w:val="both"/>
      </w:pPr>
      <w:r>
        <w:rPr>
          <w:rFonts w:ascii="Arial" w:cs="Arial" w:hAnsi="Arial"/>
          <w:color w:val="000000"/>
        </w:rPr>
        <w:t>Informar una vez que el Instituto Universitario de Tecnología de Yaracuy realicen la adquisición, construcción, reconstrucción o adaptación de bienes inmuebles, remitir  a la Superintendencia de Bienes Públicos un informe acompañado de las copias certificadas de los títulos de propiedad de los mismos, o Acta de recepción final de la obra según corresponda y del respectivo expediente administrativo o judicial, a los fines de incorporar dicha documentación al Registro de Bienes Públicos.</w:t>
      </w:r>
    </w:p>
    <w:p>
      <w:pPr>
        <w:pStyle w:val="style197"/>
        <w:numPr>
          <w:ilvl w:val="0"/>
          <w:numId w:val="32"/>
        </w:numPr>
        <w:spacing w:after="0" w:before="0" w:line="360" w:lineRule="auto"/>
        <w:jc w:val="both"/>
      </w:pPr>
      <w:r>
        <w:rPr>
          <w:rFonts w:ascii="Arial" w:cs="Arial" w:eastAsia="Arial" w:hAnsi="Arial"/>
          <w:color w:val="000000"/>
        </w:rPr>
        <w:t xml:space="preserve"> </w:t>
      </w:r>
      <w:r>
        <w:rPr>
          <w:rFonts w:ascii="Arial" w:cs="Arial" w:hAnsi="Arial"/>
          <w:color w:val="000000"/>
        </w:rPr>
        <w:t>Velar por mantener el  sistema de información de Bienes Públicos actualizado con respecto a la información de los Bienes Públicos de la Institución.</w:t>
      </w:r>
    </w:p>
    <w:p>
      <w:pPr>
        <w:pStyle w:val="style197"/>
        <w:spacing w:after="0" w:before="0" w:line="360" w:lineRule="auto"/>
        <w:jc w:val="both"/>
      </w:pPr>
      <w:r>
        <w:rPr>
          <w:rFonts w:ascii="Arial" w:cs="Arial" w:hAnsi="Arial"/>
          <w:color w:val="000000"/>
        </w:rPr>
      </w:r>
    </w:p>
    <w:p>
      <w:pPr>
        <w:pStyle w:val="style197"/>
        <w:spacing w:after="0" w:before="0" w:line="360" w:lineRule="auto"/>
        <w:jc w:val="both"/>
      </w:pPr>
      <w:r>
        <w:rPr>
          <w:rFonts w:ascii="Arial" w:cs="Arial" w:hAnsi="Arial"/>
          <w:b/>
          <w:szCs w:val="20"/>
        </w:rPr>
        <w:t>Funciones de la Comisión de Contrataciones</w:t>
      </w:r>
    </w:p>
    <w:p>
      <w:pPr>
        <w:pStyle w:val="style197"/>
        <w:spacing w:after="0" w:before="0" w:line="360" w:lineRule="auto"/>
        <w:jc w:val="both"/>
      </w:pPr>
      <w:r>
        <w:rPr>
          <w:rFonts w:ascii="Arial" w:cs="Arial" w:hAnsi="Arial"/>
          <w:b/>
          <w:szCs w:val="20"/>
        </w:rPr>
      </w:r>
    </w:p>
    <w:p>
      <w:pPr>
        <w:pStyle w:val="style197"/>
        <w:spacing w:after="0" w:before="0" w:line="360" w:lineRule="auto"/>
        <w:jc w:val="both"/>
      </w:pPr>
      <w:r>
        <w:rPr>
          <w:rFonts w:ascii="Arial" w:cs="Arial" w:hAnsi="Arial"/>
          <w:color w:val="000000"/>
        </w:rPr>
        <w:tab/>
        <w:t xml:space="preserve">.   Es importante señalar que la Comisión de Contrataciones Pública  son los órganos que, dentro del ente contratante, ejercen funciones asesoras y que fueron creados para que colaboren con éste en la dirección, coordinación y sustanciación de los procedimientos de selección de contratistas,  simplemente coadyuvan a llevar a feliz término el procedimiento  que recomiendan a la máxima autoridad del órgano o ente contratante las decisiones a tomar en los procedimientos de selección.  </w:t>
      </w:r>
    </w:p>
    <w:p>
      <w:pPr>
        <w:pStyle w:val="style197"/>
        <w:spacing w:after="0" w:before="0" w:line="360" w:lineRule="auto"/>
        <w:jc w:val="both"/>
      </w:pPr>
      <w:r>
        <w:rPr>
          <w:rFonts w:ascii="Arial" w:cs="Arial" w:hAnsi="Arial"/>
          <w:color w:val="000000"/>
        </w:rPr>
      </w:r>
    </w:p>
    <w:p>
      <w:pPr>
        <w:pStyle w:val="style197"/>
        <w:spacing w:after="0" w:before="0" w:line="360" w:lineRule="auto"/>
        <w:jc w:val="both"/>
      </w:pPr>
      <w:r>
        <w:rPr>
          <w:rFonts w:ascii="Arial" w:cs="Arial" w:hAnsi="Arial"/>
          <w:color w:val="000000"/>
        </w:rPr>
        <w:tab/>
        <w:t>El artículo 10 de la Ley de Contrataciones establece las funciones de dicha comisión</w:t>
      </w:r>
    </w:p>
    <w:p>
      <w:pPr>
        <w:pStyle w:val="style197"/>
        <w:spacing w:after="0" w:before="0" w:line="360" w:lineRule="auto"/>
        <w:jc w:val="both"/>
      </w:pPr>
      <w:r>
        <w:rPr>
          <w:rFonts w:ascii="Arial" w:cs="Arial" w:hAnsi="Arial"/>
          <w:color w:val="000000"/>
        </w:rPr>
      </w:r>
    </w:p>
    <w:p>
      <w:pPr>
        <w:pStyle w:val="style0"/>
        <w:spacing w:after="0" w:before="0" w:line="360" w:lineRule="auto"/>
        <w:ind w:firstLine="720" w:left="0" w:right="0"/>
        <w:jc w:val="both"/>
      </w:pPr>
      <w:r>
        <w:rPr>
          <w:rFonts w:ascii="Arial" w:cs="Arial" w:eastAsia="Times New Roman" w:hAnsi="Arial"/>
          <w:color w:val="000000"/>
          <w:sz w:val="24"/>
          <w:szCs w:val="24"/>
          <w:lang w:eastAsia="es-ES"/>
        </w:rPr>
        <w:t>El artículo 10 de la Ley de Contrataciones Públicas establece que en todos los sujetos regidos por su ámbito de aplicación “</w:t>
      </w:r>
      <w:r>
        <w:rPr>
          <w:rFonts w:ascii="Arial" w:cs="Arial" w:eastAsia="Times New Roman" w:hAnsi="Arial"/>
          <w:i/>
          <w:iCs/>
          <w:color w:val="000000"/>
          <w:sz w:val="24"/>
          <w:szCs w:val="24"/>
          <w:lang w:eastAsia="es-ES"/>
        </w:rPr>
        <w:t>debe constituirse una o varias Comisiones de Contrataciones, atendiendo a la cantidad y complejidad de las obras a ejecutar, la adquisición de bienes y la prestación de servicios</w:t>
      </w:r>
      <w:r>
        <w:rPr>
          <w:rFonts w:ascii="Arial" w:cs="Arial" w:eastAsia="Times New Roman" w:hAnsi="Arial"/>
          <w:color w:val="000000"/>
          <w:sz w:val="24"/>
          <w:szCs w:val="24"/>
          <w:lang w:eastAsia="es-ES"/>
        </w:rPr>
        <w:t>”. De modo que es obligatorio que</w:t>
      </w:r>
      <w:r>
        <w:rPr>
          <w:rFonts w:ascii="Arial" w:cs="Arial" w:eastAsia="Times New Roman" w:hAnsi="Arial"/>
          <w:b/>
          <w:bCs/>
          <w:i/>
          <w:iCs/>
          <w:color w:val="000000"/>
          <w:sz w:val="24"/>
          <w:szCs w:val="24"/>
          <w:lang w:eastAsia="es-ES"/>
        </w:rPr>
        <w:t xml:space="preserve"> cada ente contratante  </w:t>
      </w:r>
      <w:r>
        <w:rPr>
          <w:rFonts w:ascii="Arial" w:cs="Arial" w:eastAsia="Times New Roman" w:hAnsi="Arial"/>
          <w:color w:val="000000"/>
          <w:sz w:val="24"/>
          <w:szCs w:val="24"/>
          <w:lang w:eastAsia="es-ES"/>
        </w:rPr>
        <w:t>cuente con al menos una Comisión de Contrataciones  sin perjuicio de que se creen Comisiones adicionales  que ejecute su función asesora y de sustanciación de los procedimientos de selección.</w:t>
      </w:r>
    </w:p>
    <w:p>
      <w:pPr>
        <w:pStyle w:val="style0"/>
        <w:spacing w:after="0" w:before="0" w:line="360" w:lineRule="auto"/>
        <w:ind w:firstLine="720" w:left="0" w:right="0"/>
        <w:jc w:val="both"/>
      </w:pPr>
      <w:r>
        <w:rPr>
          <w:rFonts w:ascii="Arial" w:cs="Arial" w:eastAsia="Times New Roman" w:hAnsi="Arial"/>
          <w:color w:val="000000"/>
          <w:sz w:val="24"/>
          <w:szCs w:val="24"/>
          <w:lang w:eastAsia="es-ES"/>
        </w:rPr>
        <w:t> </w:t>
      </w:r>
    </w:p>
    <w:p>
      <w:pPr>
        <w:pStyle w:val="style0"/>
        <w:spacing w:after="0" w:before="0" w:line="360" w:lineRule="auto"/>
        <w:ind w:firstLine="720" w:left="0" w:right="0"/>
        <w:jc w:val="both"/>
      </w:pPr>
      <w:r>
        <w:rPr>
          <w:rFonts w:ascii="Arial" w:cs="Arial" w:eastAsia="Times New Roman" w:hAnsi="Arial"/>
          <w:color w:val="000000"/>
          <w:sz w:val="24"/>
          <w:szCs w:val="24"/>
          <w:lang w:eastAsia="es-ES"/>
        </w:rPr>
        <w:t>De acuerdo a la Ley de Contrataciones Públicas, las Comisiones de Contratación están integradas por número impar de miembros principales, que cuentan con sus respectivos suplentes. Dichos integrantes deben ser de calificada competencia profesional y reconocida honestidad y son “</w:t>
      </w:r>
      <w:r>
        <w:rPr>
          <w:rFonts w:ascii="Arial" w:cs="Arial" w:eastAsia="Times New Roman" w:hAnsi="Arial"/>
          <w:b/>
          <w:bCs/>
          <w:i/>
          <w:iCs/>
          <w:color w:val="000000"/>
          <w:sz w:val="24"/>
          <w:szCs w:val="24"/>
          <w:lang w:eastAsia="es-ES"/>
        </w:rPr>
        <w:t>designados por la máxima autoridad del órgano o ente contratante</w:t>
      </w:r>
      <w:r>
        <w:rPr>
          <w:rFonts w:ascii="Arial" w:cs="Arial" w:eastAsia="Times New Roman" w:hAnsi="Arial"/>
          <w:i/>
          <w:iCs/>
          <w:color w:val="000000"/>
          <w:sz w:val="24"/>
          <w:szCs w:val="24"/>
          <w:lang w:eastAsia="es-ES"/>
        </w:rPr>
        <w:t xml:space="preserve"> de forma temporal o permanente, </w:t>
      </w:r>
      <w:r>
        <w:rPr>
          <w:rFonts w:ascii="Arial" w:cs="Arial" w:eastAsia="Times New Roman" w:hAnsi="Arial"/>
          <w:b/>
          <w:bCs/>
          <w:i/>
          <w:iCs/>
          <w:color w:val="000000"/>
          <w:sz w:val="24"/>
          <w:szCs w:val="24"/>
          <w:lang w:eastAsia="es-ES"/>
        </w:rPr>
        <w:t>preferentemente entre sus empleados o funcionarios</w:t>
      </w:r>
      <w:r>
        <w:rPr>
          <w:rFonts w:ascii="Arial" w:cs="Arial" w:eastAsia="Times New Roman" w:hAnsi="Arial"/>
          <w:color w:val="000000"/>
          <w:sz w:val="24"/>
          <w:szCs w:val="24"/>
          <w:lang w:eastAsia="es-ES"/>
        </w:rPr>
        <w:t xml:space="preserve">”. Es, además, menester que su integración represente las áreas jurídica, técnica y económico-financiera del órgano o ente contratante   </w:t>
      </w:r>
    </w:p>
    <w:p>
      <w:pPr>
        <w:pStyle w:val="style197"/>
        <w:spacing w:after="0" w:before="0" w:line="360" w:lineRule="auto"/>
        <w:jc w:val="both"/>
      </w:pPr>
      <w:r>
        <w:rPr>
          <w:rFonts w:ascii="Arial" w:cs="Arial" w:hAnsi="Arial"/>
          <w:color w:val="000000"/>
          <w:lang w:val="es-ES"/>
        </w:rPr>
      </w:r>
    </w:p>
    <w:p>
      <w:pPr>
        <w:pStyle w:val="style0"/>
        <w:spacing w:line="360" w:lineRule="auto"/>
        <w:jc w:val="both"/>
      </w:pPr>
      <w:r>
        <w:rPr>
          <w:rFonts w:ascii="Arial" w:cs="Arial" w:eastAsia="Arial" w:hAnsi="Arial"/>
          <w:b/>
          <w:color w:val="000000"/>
          <w:sz w:val="24"/>
          <w:szCs w:val="24"/>
        </w:rPr>
        <w:t xml:space="preserve"> </w:t>
      </w:r>
      <w:r>
        <w:rPr>
          <w:rFonts w:ascii="Arial" w:cs="Arial" w:hAnsi="Arial"/>
          <w:b/>
          <w:color w:val="000000"/>
          <w:sz w:val="24"/>
          <w:szCs w:val="24"/>
        </w:rPr>
        <w:t>Matriz DOFA y necesidades de mejoras en el proceso  de Enajenación de Bienes Públicos</w:t>
      </w:r>
    </w:p>
    <w:p>
      <w:pPr>
        <w:pStyle w:val="style0"/>
        <w:spacing w:line="360" w:lineRule="auto"/>
        <w:jc w:val="both"/>
      </w:pPr>
      <w:r>
        <w:rPr>
          <w:rFonts w:ascii="Arial" w:cs="Arial" w:hAnsi="Arial"/>
          <w:b/>
          <w:color w:val="000000"/>
          <w:sz w:val="24"/>
          <w:szCs w:val="24"/>
        </w:rPr>
      </w:r>
    </w:p>
    <w:p>
      <w:pPr>
        <w:pStyle w:val="style0"/>
        <w:spacing w:line="360" w:lineRule="auto"/>
        <w:jc w:val="both"/>
      </w:pPr>
      <w:r>
        <w:rPr>
          <w:rFonts w:ascii="Arial" w:cs="Arial" w:hAnsi="Arial"/>
          <w:b/>
          <w:color w:val="000000"/>
          <w:sz w:val="24"/>
          <w:szCs w:val="24"/>
        </w:rPr>
        <w:tab/>
      </w:r>
      <w:r>
        <w:rPr>
          <w:rFonts w:ascii="Arial" w:cs="Arial" w:hAnsi="Arial"/>
          <w:color w:val="000000"/>
          <w:sz w:val="24"/>
          <w:szCs w:val="24"/>
        </w:rPr>
        <w:t>En esta sección se construye una matriz DOFA la cual permite identificar las estrategias de mejoras que pueden aplicarse en el proceso de Enajenación de los Bienes Nacionales en Etapa de Obsolescencias, Deterioro y Corrosión;  aquí se tomaran en cuenta las debilidades, oportunidades, fortalezas y amenazas que resultan en la evaluación y análisis del cuestionario</w:t>
      </w:r>
      <w:r>
        <w:rPr>
          <w:color w:val="000000"/>
          <w:sz w:val="24"/>
          <w:szCs w:val="24"/>
        </w:rPr>
        <w:t xml:space="preserve">. </w:t>
      </w:r>
      <w:r>
        <w:rPr>
          <w:rFonts w:ascii="Arial" w:cs="Arial" w:hAnsi="Arial"/>
          <w:color w:val="000000"/>
          <w:sz w:val="24"/>
          <w:szCs w:val="24"/>
        </w:rPr>
        <w:t>Esta acción es útil porque permite conjugar  los distintos factores (internos y externos) y permiten desarrollar estrategias y objetivos relacionados con la empresa en general o un área específica</w:t>
      </w:r>
      <w:r>
        <w:rPr>
          <w:color w:val="000000"/>
          <w:sz w:val="24"/>
          <w:szCs w:val="24"/>
        </w:rPr>
        <w:t>.</w:t>
      </w:r>
    </w:p>
    <w:p>
      <w:pPr>
        <w:pStyle w:val="style0"/>
        <w:spacing w:line="360" w:lineRule="auto"/>
        <w:jc w:val="both"/>
      </w:pPr>
      <w:r>
        <w:rPr>
          <w:color w:val="000000"/>
          <w:sz w:val="24"/>
          <w:szCs w:val="24"/>
        </w:rPr>
        <w:tab/>
      </w:r>
      <w:r>
        <w:rPr>
          <w:rFonts w:ascii="Arial" w:cs="Arial" w:hAnsi="Arial"/>
          <w:color w:val="000000"/>
          <w:sz w:val="24"/>
          <w:szCs w:val="24"/>
        </w:rPr>
        <w:t xml:space="preserve">Tal como lo señala   (Gómez (2009) citado por Rumbos  2011), “el análisis DOFA está diseñado para ayudar al estratega a encontrar el mejor acoplamiento entre las tendencias del medio, las oportunidades y amenazas y las capacidades interna, fortalezas y debilidades de la empresa. </w:t>
      </w:r>
    </w:p>
    <w:p>
      <w:pPr>
        <w:pStyle w:val="style0"/>
        <w:spacing w:line="360" w:lineRule="auto"/>
        <w:ind w:firstLine="737" w:left="0" w:right="0"/>
        <w:jc w:val="both"/>
      </w:pPr>
      <w:r>
        <w:rPr>
          <w:rFonts w:ascii="Arial" w:cs="Arial" w:hAnsi="Arial"/>
          <w:color w:val="000000"/>
          <w:sz w:val="24"/>
          <w:szCs w:val="24"/>
        </w:rPr>
        <w:t xml:space="preserve">De tal manera que el análisis permitirá a la organización formular estrategias para aprovechar sus fortalezas, prevenir y utilizar a tiempo los efectos de sus debilidades, y prevenirse de los efectos de sus amenazas”. </w:t>
      </w:r>
    </w:p>
    <w:p>
      <w:pPr>
        <w:sectPr>
          <w:headerReference r:id="rId60" w:type="default"/>
          <w:footerReference r:id="rId61" w:type="default"/>
          <w:type w:val="nextPage"/>
          <w:pgSz w:h="15840" w:w="12240"/>
          <w:pgMar w:bottom="1701" w:footer="709" w:gutter="0" w:header="709" w:left="1701" w:right="2268" w:top="2268"/>
          <w:pgNumType w:fmt="decimal"/>
          <w:formProt w:val="false"/>
          <w:textDirection w:val="lrTb"/>
          <w:docGrid w:charSpace="0" w:linePitch="360" w:type="default"/>
        </w:sectPr>
        <w:pStyle w:val="style0"/>
        <w:spacing w:line="360" w:lineRule="auto"/>
        <w:jc w:val="both"/>
      </w:pPr>
      <w:r>
        <w:rPr>
          <w:rFonts w:ascii="Arial" w:cs="Arial" w:hAnsi="Arial"/>
          <w:color w:val="000000"/>
          <w:sz w:val="24"/>
          <w:szCs w:val="24"/>
        </w:rPr>
        <w:tab/>
        <w:t>En esta ocasión  el análisis está dirigido al proceso de desincorporación por vía de enajenación de los de los Bienes Nacionales en Etapa de Obsolescencias, Deterioro y Corrosión;  donde se estudia las causas y limitante que impiden culminar efectivamente este proceso, por tal razón esta le ha ocasionada a la institución  gastos en la inversión del proceso, tales como: erogación del personal especializado, tiempo invertido Hora - Hombre lo que ocasiona disminución en sus partidas presupuestaria que se fuera utilizado para otro fin en beneficio de la comunidad universitaria.</w:t>
      </w:r>
    </w:p>
    <w:p>
      <w:pPr>
        <w:pStyle w:val="style0"/>
        <w:tabs>
          <w:tab w:leader="none" w:pos="3210" w:val="left"/>
        </w:tabs>
        <w:jc w:val="center"/>
      </w:pPr>
      <w:r>
        <w:rPr>
          <w:rFonts w:ascii="Arial" w:cs="Arial" w:hAnsi="Arial"/>
          <w:b/>
          <w:color w:val="000000"/>
          <w:sz w:val="20"/>
        </w:rPr>
        <w:t>CUADRO 30    Análisis DOFA Unidades de Administración - Oficina Bienes Públicos y Consultoría Jurídica</w:t>
      </w:r>
    </w:p>
    <w:tbl>
      <w:tblPr>
        <w:jc w:val="left"/>
        <w:tblInd w:type="dxa" w:w="-113"/>
        <w:tblBorders>
          <w:top w:color="000000" w:space="0" w:sz="4" w:val="single"/>
          <w:left w:color="000000" w:space="0" w:sz="4" w:val="single"/>
          <w:bottom w:color="000000" w:space="0" w:sz="4" w:val="single"/>
        </w:tblBorders>
      </w:tblPr>
      <w:tblGrid>
        <w:gridCol w:w="3510"/>
        <w:gridCol w:w="4111"/>
        <w:gridCol w:w="4476"/>
      </w:tblGrid>
      <w:tr>
        <w:trPr>
          <w:trHeight w:hRule="atLeast" w:val="2644"/>
          <w:cantSplit w:val="false"/>
        </w:trPr>
        <w:tc>
          <w:tcPr>
            <w:tcW w:type="dxa" w:w="3510"/>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tabs>
                <w:tab w:leader="none" w:pos="3210" w:val="left"/>
              </w:tabs>
              <w:snapToGrid w:val="false"/>
            </w:pPr>
            <w:r>
              <w:rPr>
                <w:rFonts w:ascii="Arial" w:cs="Arial" w:hAnsi="Arial"/>
                <w:color w:val="000000"/>
                <w:sz w:val="18"/>
                <w:szCs w:val="20"/>
                <w:lang w:eastAsia="es-VE" w:val="en-US"/>
              </w:rPr>
              <w:pict>
                <v:shape id="shape_0" style="position:absolute;margin-left:-5.45pt;margin-top:0.65pt;width:173.3pt;height:133.25pt" type="shapetype_32">
                  <v:stroke color="black" joinstyle="miter" weight="9360"/>
                  <v:fill detectmouseclick="t"/>
                </v:shape>
              </w:pict>
            </w:r>
          </w:p>
          <w:p>
            <w:pPr>
              <w:pStyle w:val="style0"/>
              <w:tabs>
                <w:tab w:leader="none" w:pos="3210" w:val="left"/>
              </w:tabs>
              <w:jc w:val="right"/>
            </w:pPr>
            <w:r>
              <w:rPr>
                <w:rFonts w:ascii="Arial" w:cs="Arial" w:hAnsi="Arial"/>
                <w:b/>
                <w:color w:val="000000"/>
                <w:sz w:val="18"/>
                <w:szCs w:val="20"/>
              </w:rPr>
              <w:t xml:space="preserve">Factores </w:t>
            </w:r>
          </w:p>
          <w:p>
            <w:pPr>
              <w:pStyle w:val="style0"/>
              <w:tabs>
                <w:tab w:leader="none" w:pos="3210" w:val="left"/>
              </w:tabs>
              <w:jc w:val="right"/>
            </w:pPr>
            <w:r>
              <w:rPr>
                <w:rFonts w:ascii="Arial" w:cs="Arial" w:hAnsi="Arial"/>
                <w:b/>
                <w:color w:val="000000"/>
                <w:sz w:val="18"/>
                <w:szCs w:val="20"/>
              </w:rPr>
              <w:t>Internos</w:t>
            </w:r>
          </w:p>
          <w:p>
            <w:pPr>
              <w:pStyle w:val="style0"/>
              <w:tabs>
                <w:tab w:leader="none" w:pos="3210" w:val="left"/>
              </w:tabs>
            </w:pPr>
            <w:r>
              <w:rPr>
                <w:rFonts w:ascii="Arial" w:cs="Arial" w:hAnsi="Arial"/>
                <w:color w:val="000000"/>
                <w:sz w:val="18"/>
                <w:szCs w:val="20"/>
              </w:rPr>
            </w:r>
          </w:p>
          <w:p>
            <w:pPr>
              <w:pStyle w:val="style0"/>
              <w:tabs>
                <w:tab w:leader="none" w:pos="3210" w:val="left"/>
              </w:tabs>
            </w:pPr>
            <w:r>
              <w:rPr>
                <w:rFonts w:ascii="Arial" w:cs="Arial" w:hAnsi="Arial"/>
                <w:b/>
                <w:color w:val="000000"/>
                <w:sz w:val="18"/>
                <w:szCs w:val="20"/>
              </w:rPr>
              <w:t xml:space="preserve">Factores </w:t>
            </w:r>
          </w:p>
          <w:p>
            <w:pPr>
              <w:pStyle w:val="style0"/>
              <w:tabs>
                <w:tab w:leader="none" w:pos="3210" w:val="left"/>
              </w:tabs>
              <w:spacing w:after="200" w:before="0"/>
            </w:pPr>
            <w:r>
              <w:rPr>
                <w:rFonts w:ascii="Arial" w:cs="Arial" w:hAnsi="Arial"/>
                <w:b/>
                <w:color w:val="000000"/>
                <w:sz w:val="18"/>
                <w:szCs w:val="20"/>
              </w:rPr>
              <w:t>Externos</w:t>
            </w:r>
          </w:p>
        </w:tc>
        <w:tc>
          <w:tcPr>
            <w:tcW w:type="dxa" w:w="4111"/>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tabs>
                <w:tab w:leader="none" w:pos="3210" w:val="left"/>
              </w:tabs>
              <w:jc w:val="center"/>
            </w:pPr>
            <w:r>
              <w:rPr>
                <w:rFonts w:ascii="Arial" w:cs="Arial" w:hAnsi="Arial"/>
                <w:b/>
                <w:color w:val="000000"/>
                <w:sz w:val="16"/>
                <w:szCs w:val="16"/>
                <w:u w:val="single"/>
              </w:rPr>
              <w:t>Fortalezas:</w:t>
            </w:r>
          </w:p>
          <w:p>
            <w:pPr>
              <w:pStyle w:val="style0"/>
              <w:numPr>
                <w:ilvl w:val="0"/>
                <w:numId w:val="45"/>
              </w:numPr>
              <w:tabs>
                <w:tab w:leader="none" w:pos="3210" w:val="left"/>
              </w:tabs>
              <w:spacing w:after="0" w:before="0" w:line="240" w:lineRule="auto"/>
              <w:jc w:val="both"/>
            </w:pPr>
            <w:r>
              <w:rPr>
                <w:rFonts w:ascii="Arial" w:cs="Arial" w:hAnsi="Arial"/>
                <w:color w:val="000000"/>
                <w:sz w:val="16"/>
                <w:szCs w:val="16"/>
              </w:rPr>
              <w:t>Personal altamente calificada en todas las unidades: Administración - Oficina Bienes Públicos – Contabilidad y Consultoría Jurídica.</w:t>
            </w:r>
          </w:p>
          <w:p>
            <w:pPr>
              <w:pStyle w:val="style0"/>
              <w:numPr>
                <w:ilvl w:val="0"/>
                <w:numId w:val="45"/>
              </w:numPr>
              <w:tabs>
                <w:tab w:leader="none" w:pos="3210" w:val="left"/>
              </w:tabs>
              <w:spacing w:after="0" w:before="0" w:line="240" w:lineRule="auto"/>
              <w:jc w:val="both"/>
            </w:pPr>
            <w:r>
              <w:rPr>
                <w:rFonts w:ascii="Arial" w:cs="Arial" w:hAnsi="Arial"/>
                <w:color w:val="000000"/>
                <w:sz w:val="16"/>
                <w:szCs w:val="16"/>
              </w:rPr>
              <w:t>Equipos tecnológicos actualizados.</w:t>
            </w:r>
          </w:p>
          <w:p>
            <w:pPr>
              <w:pStyle w:val="style0"/>
              <w:numPr>
                <w:ilvl w:val="0"/>
                <w:numId w:val="45"/>
              </w:numPr>
              <w:tabs>
                <w:tab w:leader="none" w:pos="3210" w:val="left"/>
              </w:tabs>
              <w:spacing w:after="0" w:before="0" w:line="240" w:lineRule="auto"/>
              <w:jc w:val="both"/>
            </w:pPr>
            <w:r>
              <w:rPr>
                <w:rFonts w:ascii="Arial" w:cs="Arial" w:hAnsi="Arial"/>
                <w:color w:val="000000"/>
                <w:sz w:val="16"/>
                <w:szCs w:val="16"/>
              </w:rPr>
              <w:t>Disponibilidad de los Directivos para realizar un nuevo proceso  para la Enajenación.</w:t>
            </w:r>
          </w:p>
          <w:p>
            <w:pPr>
              <w:pStyle w:val="style0"/>
              <w:numPr>
                <w:ilvl w:val="0"/>
                <w:numId w:val="45"/>
              </w:numPr>
              <w:tabs>
                <w:tab w:leader="none" w:pos="3210" w:val="left"/>
              </w:tabs>
              <w:spacing w:after="0" w:before="0" w:line="240" w:lineRule="auto"/>
              <w:jc w:val="both"/>
            </w:pPr>
            <w:r>
              <w:rPr>
                <w:rFonts w:ascii="Arial" w:cs="Arial" w:hAnsi="Arial"/>
                <w:color w:val="000000"/>
                <w:sz w:val="16"/>
                <w:szCs w:val="16"/>
              </w:rPr>
              <w:t>Capacidad para emprender  acciones para incrementar  los ingresos propios</w:t>
            </w:r>
          </w:p>
          <w:p>
            <w:pPr>
              <w:pStyle w:val="style0"/>
              <w:tabs>
                <w:tab w:leader="none" w:pos="3570" w:val="left"/>
              </w:tabs>
              <w:spacing w:after="200" w:before="0"/>
              <w:ind w:hanging="0" w:left="360" w:right="0"/>
              <w:jc w:val="both"/>
            </w:pPr>
            <w:r>
              <w:rPr>
                <w:rFonts w:ascii="Arial" w:cs="Arial" w:hAnsi="Arial"/>
                <w:color w:val="000000"/>
                <w:sz w:val="16"/>
                <w:szCs w:val="16"/>
              </w:rPr>
            </w:r>
          </w:p>
        </w:tc>
        <w:tc>
          <w:tcPr>
            <w:tcW w:type="dxa" w:w="4476"/>
            <w:tcBorders>
              <w:top w:color="000000" w:space="0" w:sz="4" w:val="single"/>
              <w:left w:color="000000" w:space="0" w:sz="4" w:val="single"/>
              <w:bottom w:color="000000" w:space="0" w:sz="4" w:val="single"/>
              <w:right w:color="000000" w:space="0" w:sz="4" w:val="single"/>
            </w:tcBorders>
            <w:shd w:fill="auto" w:val="clear"/>
            <w:tcMar>
              <w:top w:type="dxa" w:w="0"/>
              <w:left w:type="dxa" w:w="108"/>
              <w:bottom w:type="dxa" w:w="0"/>
              <w:right w:type="dxa" w:w="108"/>
            </w:tcMar>
          </w:tcPr>
          <w:p>
            <w:pPr>
              <w:pStyle w:val="style0"/>
              <w:tabs>
                <w:tab w:leader="none" w:pos="3210" w:val="left"/>
              </w:tabs>
              <w:jc w:val="center"/>
            </w:pPr>
            <w:r>
              <w:rPr>
                <w:rFonts w:ascii="Arial" w:cs="Arial" w:hAnsi="Arial"/>
                <w:b/>
                <w:color w:val="000000"/>
                <w:sz w:val="16"/>
                <w:szCs w:val="16"/>
                <w:u w:val="single"/>
              </w:rPr>
              <w:t>Debilidades:</w:t>
            </w:r>
          </w:p>
          <w:p>
            <w:pPr>
              <w:pStyle w:val="style0"/>
              <w:numPr>
                <w:ilvl w:val="0"/>
                <w:numId w:val="19"/>
              </w:numPr>
              <w:tabs>
                <w:tab w:leader="none" w:pos="3210" w:val="left"/>
              </w:tabs>
              <w:spacing w:after="0" w:before="0" w:line="240" w:lineRule="auto"/>
              <w:jc w:val="both"/>
            </w:pPr>
            <w:r>
              <w:rPr>
                <w:rFonts w:ascii="Arial" w:cs="Arial" w:hAnsi="Arial"/>
                <w:color w:val="000000"/>
                <w:sz w:val="16"/>
                <w:szCs w:val="16"/>
              </w:rPr>
              <w:t>Espacios físico sub utilizado con la acumulación de Chatarra.</w:t>
            </w:r>
          </w:p>
          <w:p>
            <w:pPr>
              <w:pStyle w:val="style0"/>
              <w:numPr>
                <w:ilvl w:val="0"/>
                <w:numId w:val="19"/>
              </w:numPr>
              <w:tabs>
                <w:tab w:leader="none" w:pos="3210" w:val="left"/>
              </w:tabs>
              <w:spacing w:after="0" w:before="0" w:line="240" w:lineRule="auto"/>
              <w:jc w:val="both"/>
            </w:pPr>
            <w:r>
              <w:rPr>
                <w:rFonts w:ascii="Arial" w:cs="Arial" w:hAnsi="Arial"/>
                <w:color w:val="000000"/>
                <w:sz w:val="16"/>
                <w:szCs w:val="16"/>
              </w:rPr>
              <w:t>Tiempo y lapso para Ejecutar el  Proceso</w:t>
            </w:r>
          </w:p>
          <w:p>
            <w:pPr>
              <w:pStyle w:val="style0"/>
              <w:numPr>
                <w:ilvl w:val="0"/>
                <w:numId w:val="19"/>
              </w:numPr>
              <w:tabs>
                <w:tab w:leader="none" w:pos="3210" w:val="left"/>
              </w:tabs>
              <w:spacing w:after="0" w:before="0" w:line="240" w:lineRule="auto"/>
              <w:jc w:val="both"/>
            </w:pPr>
            <w:r>
              <w:rPr>
                <w:rFonts w:ascii="Arial" w:cs="Arial" w:hAnsi="Arial"/>
                <w:color w:val="000000"/>
                <w:sz w:val="16"/>
                <w:szCs w:val="16"/>
              </w:rPr>
              <w:t>Falta Personal Especializado en el Estado para realizar los avalúos.</w:t>
            </w:r>
          </w:p>
          <w:p>
            <w:pPr>
              <w:pStyle w:val="style0"/>
              <w:numPr>
                <w:ilvl w:val="0"/>
                <w:numId w:val="19"/>
              </w:numPr>
              <w:tabs>
                <w:tab w:leader="none" w:pos="3210" w:val="left"/>
              </w:tabs>
              <w:spacing w:after="0" w:before="0" w:line="240" w:lineRule="auto"/>
              <w:jc w:val="both"/>
            </w:pPr>
            <w:r>
              <w:rPr>
                <w:rFonts w:ascii="Arial" w:cs="Arial" w:hAnsi="Arial"/>
                <w:color w:val="000000"/>
                <w:sz w:val="16"/>
                <w:szCs w:val="16"/>
              </w:rPr>
              <w:t>Manual de normas y procedimientos desactualizado con respecto a la Nueva Ley.</w:t>
            </w:r>
          </w:p>
          <w:p>
            <w:pPr>
              <w:pStyle w:val="style0"/>
              <w:numPr>
                <w:ilvl w:val="0"/>
                <w:numId w:val="19"/>
              </w:numPr>
              <w:tabs>
                <w:tab w:leader="none" w:pos="3210" w:val="left"/>
              </w:tabs>
              <w:spacing w:after="0" w:before="0" w:line="240" w:lineRule="auto"/>
              <w:jc w:val="both"/>
            </w:pPr>
            <w:r>
              <w:rPr>
                <w:rFonts w:ascii="Arial" w:cs="Arial" w:hAnsi="Arial"/>
                <w:color w:val="000000"/>
                <w:sz w:val="16"/>
                <w:szCs w:val="16"/>
              </w:rPr>
              <w:t>Fallas de comunicación entre las distintas unidades y dependencia que intervienen en el proceso.</w:t>
            </w:r>
          </w:p>
          <w:p>
            <w:pPr>
              <w:pStyle w:val="style0"/>
              <w:numPr>
                <w:ilvl w:val="0"/>
                <w:numId w:val="19"/>
              </w:numPr>
              <w:tabs>
                <w:tab w:leader="none" w:pos="3210" w:val="left"/>
              </w:tabs>
              <w:spacing w:after="0" w:before="0" w:line="240" w:lineRule="auto"/>
              <w:jc w:val="both"/>
            </w:pPr>
            <w:r>
              <w:rPr>
                <w:rFonts w:ascii="Arial" w:cs="Arial" w:hAnsi="Arial"/>
                <w:color w:val="000000"/>
                <w:sz w:val="16"/>
                <w:szCs w:val="16"/>
              </w:rPr>
              <w:t xml:space="preserve">Falta de recursos para pagar al personal especializado (Perito) </w:t>
            </w:r>
          </w:p>
        </w:tc>
      </w:tr>
      <w:tr>
        <w:trPr>
          <w:trHeight w:hRule="atLeast" w:val="2881"/>
          <w:cantSplit w:val="false"/>
        </w:trPr>
        <w:tc>
          <w:tcPr>
            <w:tcW w:type="dxa" w:w="3510"/>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tabs>
                <w:tab w:leader="none" w:pos="3210" w:val="left"/>
              </w:tabs>
              <w:jc w:val="center"/>
            </w:pPr>
            <w:r>
              <w:rPr>
                <w:rFonts w:ascii="Arial" w:cs="Arial" w:hAnsi="Arial"/>
                <w:b/>
                <w:color w:val="000000"/>
                <w:sz w:val="16"/>
                <w:szCs w:val="16"/>
                <w:u w:val="single"/>
              </w:rPr>
              <w:t>Oportunidades:</w:t>
            </w:r>
          </w:p>
          <w:p>
            <w:pPr>
              <w:pStyle w:val="style0"/>
              <w:numPr>
                <w:ilvl w:val="0"/>
                <w:numId w:val="60"/>
              </w:numPr>
              <w:tabs>
                <w:tab w:leader="none" w:pos="3210" w:val="left"/>
              </w:tabs>
              <w:spacing w:after="0" w:before="0" w:line="240" w:lineRule="auto"/>
              <w:jc w:val="both"/>
            </w:pPr>
            <w:r>
              <w:rPr>
                <w:rFonts w:ascii="Arial" w:cs="Arial" w:hAnsi="Arial"/>
                <w:color w:val="000000"/>
                <w:sz w:val="16"/>
                <w:szCs w:val="16"/>
              </w:rPr>
              <w:t>Mercado cautivo para realizar la ventas Empresas Recuperadoras</w:t>
            </w:r>
          </w:p>
          <w:p>
            <w:pPr>
              <w:pStyle w:val="style0"/>
              <w:numPr>
                <w:ilvl w:val="0"/>
                <w:numId w:val="60"/>
              </w:numPr>
              <w:tabs>
                <w:tab w:leader="none" w:pos="3210" w:val="left"/>
              </w:tabs>
              <w:spacing w:after="0" w:before="0" w:line="240" w:lineRule="auto"/>
              <w:jc w:val="both"/>
            </w:pPr>
            <w:r>
              <w:rPr>
                <w:rFonts w:ascii="Arial" w:cs="Arial" w:hAnsi="Arial"/>
                <w:color w:val="000000"/>
                <w:sz w:val="16"/>
                <w:szCs w:val="16"/>
              </w:rPr>
              <w:t>Alianzas estratégicas con Empresa siderúrgica del Estado para intercambios de negociación.</w:t>
            </w:r>
          </w:p>
          <w:p>
            <w:pPr>
              <w:pStyle w:val="style0"/>
              <w:numPr>
                <w:ilvl w:val="0"/>
                <w:numId w:val="60"/>
              </w:numPr>
              <w:tabs>
                <w:tab w:leader="none" w:pos="3210" w:val="left"/>
              </w:tabs>
              <w:spacing w:after="0" w:before="0" w:line="240" w:lineRule="auto"/>
              <w:jc w:val="both"/>
            </w:pPr>
            <w:r>
              <w:rPr>
                <w:rFonts w:ascii="Arial" w:cs="Arial" w:hAnsi="Arial"/>
                <w:color w:val="000000"/>
                <w:sz w:val="16"/>
                <w:szCs w:val="16"/>
              </w:rPr>
              <w:t xml:space="preserve">Asignación de Personal Especializado Por la Superintendencia de Bienes Públicos. </w:t>
            </w:r>
          </w:p>
          <w:p>
            <w:pPr>
              <w:pStyle w:val="style0"/>
              <w:numPr>
                <w:ilvl w:val="0"/>
                <w:numId w:val="60"/>
              </w:numPr>
              <w:tabs>
                <w:tab w:leader="none" w:pos="3210" w:val="left"/>
              </w:tabs>
              <w:spacing w:after="0" w:before="0" w:line="240" w:lineRule="auto"/>
              <w:jc w:val="both"/>
            </w:pPr>
            <w:r>
              <w:rPr>
                <w:rFonts w:ascii="Arial" w:cs="Arial" w:hAnsi="Arial"/>
                <w:color w:val="000000"/>
                <w:sz w:val="16"/>
                <w:szCs w:val="16"/>
              </w:rPr>
              <w:t>Política diseñada por el Estado con respecto a la Construcción Civil  y Producción Automotriz</w:t>
            </w:r>
          </w:p>
        </w:tc>
        <w:tc>
          <w:tcPr>
            <w:tcW w:type="dxa" w:w="4111"/>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tabs>
                <w:tab w:leader="none" w:pos="3210" w:val="left"/>
              </w:tabs>
              <w:jc w:val="center"/>
            </w:pPr>
            <w:r>
              <w:rPr>
                <w:rFonts w:ascii="Arial" w:cs="Arial" w:hAnsi="Arial"/>
                <w:b/>
                <w:color w:val="000000"/>
                <w:sz w:val="16"/>
                <w:szCs w:val="16"/>
                <w:u w:val="single"/>
              </w:rPr>
              <w:t>Estrategia FO:</w:t>
            </w:r>
          </w:p>
          <w:p>
            <w:pPr>
              <w:pStyle w:val="style199"/>
              <w:numPr>
                <w:ilvl w:val="0"/>
                <w:numId w:val="12"/>
              </w:numPr>
              <w:jc w:val="both"/>
            </w:pPr>
            <w:r>
              <w:rPr>
                <w:rFonts w:ascii="Arial" w:cs="Arial" w:hAnsi="Arial"/>
                <w:color w:val="000000"/>
                <w:sz w:val="16"/>
                <w:szCs w:val="16"/>
              </w:rPr>
              <w:t>Enajenar ó permutar   estratégicamente las chatarras con empresas recuperadoras particulares, en efectivo o por otros bienes de igual valor.</w:t>
            </w:r>
          </w:p>
          <w:p>
            <w:pPr>
              <w:pStyle w:val="style199"/>
              <w:numPr>
                <w:ilvl w:val="0"/>
                <w:numId w:val="12"/>
              </w:numPr>
              <w:jc w:val="both"/>
            </w:pPr>
            <w:r>
              <w:rPr>
                <w:rFonts w:ascii="Arial" w:cs="Arial" w:hAnsi="Arial"/>
                <w:color w:val="000000"/>
                <w:sz w:val="16"/>
                <w:szCs w:val="16"/>
              </w:rPr>
              <w:t>Donar las chatarras a la Empresa  del Estado del Remo Siderúrgica como materia prima para ser transformado en cabilla y auto parte para las misiones ejecutada por el Gobierno Nacional.</w:t>
            </w:r>
          </w:p>
          <w:p>
            <w:pPr>
              <w:pStyle w:val="style199"/>
              <w:numPr>
                <w:ilvl w:val="0"/>
                <w:numId w:val="12"/>
              </w:numPr>
              <w:tabs>
                <w:tab w:leader="none" w:pos="1129" w:val="left"/>
              </w:tabs>
              <w:spacing w:after="200" w:before="0"/>
              <w:jc w:val="both"/>
            </w:pPr>
            <w:r>
              <w:rPr>
                <w:rFonts w:ascii="Arial" w:cs="Arial" w:hAnsi="Arial"/>
                <w:color w:val="000000"/>
                <w:sz w:val="16"/>
                <w:szCs w:val="16"/>
              </w:rPr>
              <w:t>Vender o Permutar con la Empresa siderúrgica del Estado.</w:t>
            </w:r>
          </w:p>
        </w:tc>
        <w:tc>
          <w:tcPr>
            <w:tcW w:type="dxa" w:w="4476"/>
            <w:tcBorders>
              <w:top w:color="000000" w:space="0" w:sz="4" w:val="single"/>
              <w:left w:color="000000" w:space="0" w:sz="4" w:val="single"/>
              <w:bottom w:color="000000" w:space="0" w:sz="4" w:val="single"/>
              <w:right w:color="000000" w:space="0" w:sz="4" w:val="single"/>
            </w:tcBorders>
            <w:shd w:fill="auto" w:val="clear"/>
            <w:tcMar>
              <w:top w:type="dxa" w:w="0"/>
              <w:left w:type="dxa" w:w="108"/>
              <w:bottom w:type="dxa" w:w="0"/>
              <w:right w:type="dxa" w:w="108"/>
            </w:tcMar>
          </w:tcPr>
          <w:p>
            <w:pPr>
              <w:pStyle w:val="style0"/>
              <w:tabs>
                <w:tab w:leader="none" w:pos="3210" w:val="left"/>
              </w:tabs>
              <w:jc w:val="center"/>
            </w:pPr>
            <w:r>
              <w:rPr>
                <w:rFonts w:ascii="Arial" w:cs="Arial" w:hAnsi="Arial"/>
                <w:b/>
                <w:color w:val="000000"/>
                <w:sz w:val="16"/>
                <w:szCs w:val="16"/>
                <w:u w:val="single"/>
              </w:rPr>
              <w:t>Estrategia DO:</w:t>
            </w:r>
          </w:p>
          <w:p>
            <w:pPr>
              <w:pStyle w:val="style0"/>
              <w:tabs>
                <w:tab w:leader="none" w:pos="3210" w:val="left"/>
              </w:tabs>
              <w:spacing w:after="200" w:before="0"/>
              <w:jc w:val="both"/>
            </w:pPr>
            <w:r>
              <w:rPr>
                <w:rFonts w:ascii="Arial" w:cs="Arial" w:hAnsi="Arial"/>
                <w:color w:val="000000"/>
                <w:sz w:val="16"/>
                <w:szCs w:val="16"/>
              </w:rPr>
              <w:t xml:space="preserve">1. Solicitar a la Superintendencia de Bienes Públicos bajo la política de excepción establecida en el artículo 54 la designación del Personal Especializado para realizar los avalúos puesto que ella cuenta con tan prestigioso experto y así   minimizar gastos que este ha ocasionada a la Institución ya que no cuenta con los recursos para cancelar esta erogación que en su oportunidad la ejecuto. </w:t>
            </w:r>
          </w:p>
        </w:tc>
      </w:tr>
      <w:tr>
        <w:trPr>
          <w:cantSplit w:val="false"/>
        </w:trPr>
        <w:tc>
          <w:tcPr>
            <w:tcW w:type="dxa" w:w="3510"/>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tabs>
                <w:tab w:leader="none" w:pos="3210" w:val="left"/>
              </w:tabs>
              <w:jc w:val="center"/>
            </w:pPr>
            <w:r>
              <w:rPr>
                <w:rFonts w:ascii="Arial" w:cs="Arial" w:hAnsi="Arial"/>
                <w:b/>
                <w:color w:val="000000"/>
                <w:sz w:val="16"/>
                <w:szCs w:val="16"/>
                <w:u w:val="single"/>
              </w:rPr>
              <w:t>Amenazas:</w:t>
            </w:r>
          </w:p>
          <w:p>
            <w:pPr>
              <w:pStyle w:val="style0"/>
              <w:numPr>
                <w:ilvl w:val="0"/>
                <w:numId w:val="26"/>
              </w:numPr>
              <w:tabs>
                <w:tab w:leader="none" w:pos="3210" w:val="left"/>
              </w:tabs>
              <w:spacing w:after="0" w:before="0" w:line="240" w:lineRule="auto"/>
              <w:jc w:val="both"/>
            </w:pPr>
            <w:r>
              <w:rPr>
                <w:rFonts w:ascii="Arial" w:cs="Arial" w:hAnsi="Arial"/>
                <w:color w:val="000000"/>
                <w:sz w:val="16"/>
                <w:szCs w:val="16"/>
              </w:rPr>
              <w:t>Lapso para dar respuestas por parte de los órganos rectores</w:t>
            </w:r>
          </w:p>
          <w:p>
            <w:pPr>
              <w:pStyle w:val="style0"/>
              <w:numPr>
                <w:ilvl w:val="0"/>
                <w:numId w:val="26"/>
              </w:numPr>
              <w:tabs>
                <w:tab w:leader="none" w:pos="3210" w:val="left"/>
              </w:tabs>
              <w:spacing w:after="0" w:before="0" w:line="240" w:lineRule="auto"/>
              <w:jc w:val="both"/>
            </w:pPr>
            <w:r>
              <w:rPr>
                <w:rFonts w:ascii="Arial" w:cs="Arial" w:eastAsia="Arial" w:hAnsi="Arial"/>
                <w:color w:val="000000"/>
                <w:sz w:val="16"/>
                <w:szCs w:val="16"/>
              </w:rPr>
              <w:t xml:space="preserve"> </w:t>
            </w:r>
            <w:r>
              <w:rPr>
                <w:rFonts w:ascii="Arial" w:cs="Arial" w:hAnsi="Arial"/>
                <w:color w:val="000000"/>
                <w:sz w:val="16"/>
                <w:szCs w:val="16"/>
              </w:rPr>
              <w:t>Tardanza de la designación de la Comisión de Enajenación.</w:t>
            </w:r>
          </w:p>
          <w:p>
            <w:pPr>
              <w:pStyle w:val="style0"/>
              <w:numPr>
                <w:ilvl w:val="0"/>
                <w:numId w:val="26"/>
              </w:numPr>
              <w:tabs>
                <w:tab w:leader="none" w:pos="3210" w:val="left"/>
              </w:tabs>
              <w:spacing w:after="0" w:before="0" w:line="240" w:lineRule="auto"/>
              <w:jc w:val="both"/>
            </w:pPr>
            <w:r>
              <w:rPr>
                <w:rFonts w:ascii="Arial" w:cs="Arial" w:hAnsi="Arial"/>
                <w:color w:val="000000"/>
                <w:sz w:val="16"/>
                <w:szCs w:val="16"/>
              </w:rPr>
              <w:t>Las regulaciones gubernamentales.</w:t>
            </w:r>
          </w:p>
          <w:p>
            <w:pPr>
              <w:pStyle w:val="style0"/>
              <w:tabs>
                <w:tab w:leader="none" w:pos="3636" w:val="left"/>
              </w:tabs>
              <w:spacing w:after="200" w:before="0"/>
              <w:ind w:hanging="0" w:left="426" w:right="0"/>
              <w:jc w:val="both"/>
            </w:pPr>
            <w:r>
              <w:rPr>
                <w:rFonts w:ascii="Arial" w:cs="Arial" w:hAnsi="Arial"/>
                <w:color w:val="000000"/>
                <w:sz w:val="16"/>
                <w:szCs w:val="16"/>
              </w:rPr>
            </w:r>
          </w:p>
        </w:tc>
        <w:tc>
          <w:tcPr>
            <w:tcW w:type="dxa" w:w="4111"/>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tabs>
                <w:tab w:leader="none" w:pos="3210" w:val="left"/>
              </w:tabs>
              <w:jc w:val="center"/>
            </w:pPr>
            <w:r>
              <w:rPr>
                <w:rFonts w:ascii="Arial" w:cs="Arial" w:hAnsi="Arial"/>
                <w:b/>
                <w:color w:val="000000"/>
                <w:sz w:val="16"/>
                <w:szCs w:val="16"/>
                <w:u w:val="single"/>
              </w:rPr>
              <w:t>Estrategia FA:</w:t>
            </w:r>
          </w:p>
          <w:p>
            <w:pPr>
              <w:pStyle w:val="style0"/>
              <w:tabs>
                <w:tab w:leader="none" w:pos="3210" w:val="left"/>
              </w:tabs>
              <w:jc w:val="both"/>
            </w:pPr>
            <w:r>
              <w:rPr>
                <w:rFonts w:ascii="Arial" w:cs="Arial" w:hAnsi="Arial"/>
                <w:color w:val="000000"/>
                <w:sz w:val="16"/>
                <w:szCs w:val="16"/>
              </w:rPr>
              <w:t>1. Solicitar  la asignación de la comisión de enajenación para aperturar un nuevo proceso.</w:t>
            </w:r>
          </w:p>
          <w:p>
            <w:pPr>
              <w:pStyle w:val="style0"/>
              <w:tabs>
                <w:tab w:leader="none" w:pos="3210" w:val="left"/>
              </w:tabs>
              <w:jc w:val="both"/>
            </w:pPr>
            <w:r>
              <w:rPr>
                <w:rFonts w:ascii="Arial" w:cs="Arial" w:hAnsi="Arial"/>
                <w:color w:val="000000"/>
                <w:sz w:val="16"/>
                <w:szCs w:val="16"/>
              </w:rPr>
              <w:t>2. Diseñar nuevas estrategias y adaptarlas a la Ley</w:t>
            </w:r>
          </w:p>
          <w:p>
            <w:pPr>
              <w:pStyle w:val="style0"/>
              <w:tabs>
                <w:tab w:leader="none" w:pos="3210" w:val="left"/>
              </w:tabs>
              <w:spacing w:after="200" w:before="0"/>
              <w:jc w:val="both"/>
            </w:pPr>
            <w:r>
              <w:rPr>
                <w:rFonts w:ascii="Arial" w:cs="Arial" w:hAnsi="Arial"/>
                <w:color w:val="000000"/>
                <w:sz w:val="16"/>
                <w:szCs w:val="16"/>
              </w:rPr>
              <w:t>3.-Simplificar los  tramite administrativos.</w:t>
            </w:r>
          </w:p>
        </w:tc>
        <w:tc>
          <w:tcPr>
            <w:tcW w:type="dxa" w:w="4476"/>
            <w:tcBorders>
              <w:top w:color="000000" w:space="0" w:sz="4" w:val="single"/>
              <w:left w:color="000000" w:space="0" w:sz="4" w:val="single"/>
              <w:bottom w:color="000000" w:space="0" w:sz="4" w:val="single"/>
              <w:right w:color="000000" w:space="0" w:sz="4" w:val="single"/>
            </w:tcBorders>
            <w:shd w:fill="auto" w:val="clear"/>
            <w:tcMar>
              <w:top w:type="dxa" w:w="0"/>
              <w:left w:type="dxa" w:w="108"/>
              <w:bottom w:type="dxa" w:w="0"/>
              <w:right w:type="dxa" w:w="108"/>
            </w:tcMar>
          </w:tcPr>
          <w:p>
            <w:pPr>
              <w:pStyle w:val="style0"/>
              <w:tabs>
                <w:tab w:leader="none" w:pos="3210" w:val="left"/>
              </w:tabs>
              <w:jc w:val="center"/>
            </w:pPr>
            <w:r>
              <w:rPr>
                <w:rFonts w:ascii="Arial" w:cs="Arial" w:hAnsi="Arial"/>
                <w:b/>
                <w:color w:val="000000"/>
                <w:sz w:val="16"/>
                <w:szCs w:val="16"/>
                <w:u w:val="single"/>
              </w:rPr>
              <w:t>Estrategia DA:</w:t>
            </w:r>
          </w:p>
          <w:p>
            <w:pPr>
              <w:pStyle w:val="style0"/>
              <w:tabs>
                <w:tab w:leader="none" w:pos="3210" w:val="left"/>
              </w:tabs>
              <w:jc w:val="both"/>
            </w:pPr>
            <w:r>
              <w:rPr>
                <w:rFonts w:ascii="Arial" w:cs="Arial" w:hAnsi="Arial"/>
                <w:color w:val="000000"/>
                <w:sz w:val="16"/>
                <w:szCs w:val="16"/>
              </w:rPr>
              <w:t>1. Establecer lapso de ejecución del proceso y de respuesta por los órganos rectores. Políticas adecuadas para el uso de los materiales.</w:t>
            </w:r>
          </w:p>
          <w:p>
            <w:pPr>
              <w:pStyle w:val="style0"/>
              <w:tabs>
                <w:tab w:leader="none" w:pos="3210" w:val="left"/>
              </w:tabs>
              <w:spacing w:after="200" w:before="0"/>
              <w:jc w:val="both"/>
            </w:pPr>
            <w:r>
              <w:rPr>
                <w:rFonts w:ascii="Arial" w:cs="Arial" w:hAnsi="Arial"/>
                <w:color w:val="000000"/>
                <w:sz w:val="16"/>
                <w:szCs w:val="16"/>
              </w:rPr>
              <w:t>2. actualizar el Manual de Norma y Procedimiento con la Ley Vigente.-.</w:t>
            </w:r>
          </w:p>
        </w:tc>
      </w:tr>
    </w:tbl>
    <w:p>
      <w:pPr>
        <w:pStyle w:val="style0"/>
        <w:spacing w:line="360" w:lineRule="auto"/>
        <w:jc w:val="both"/>
      </w:pPr>
      <w:r>
        <w:rPr>
          <w:color w:val="000000"/>
        </w:rPr>
        <w:tab/>
      </w:r>
      <w:r>
        <w:rPr>
          <w:rFonts w:ascii="Arial" w:cs="Arial" w:hAnsi="Arial"/>
          <w:color w:val="000000"/>
          <w:sz w:val="24"/>
        </w:rPr>
        <w:t xml:space="preserve">Seguidamente   construida la matriz donde se señalan las situaciones que más se acentúan, se plantean algunas estrategias financieras – operacionales que se pueden efectuar para optimizar los procesos de Enajenación de Bienes Nacionales en Estado de Obsolescencia, Deterioro y Corrosión. </w:t>
      </w:r>
    </w:p>
    <w:p>
      <w:pPr>
        <w:pStyle w:val="style0"/>
        <w:spacing w:line="360" w:lineRule="auto"/>
        <w:jc w:val="both"/>
      </w:pPr>
      <w:r>
        <w:rPr>
          <w:rFonts w:ascii="Arial" w:cs="Arial" w:hAnsi="Arial"/>
          <w:color w:val="000000"/>
          <w:sz w:val="24"/>
        </w:rPr>
        <w:tab/>
        <w:t>Es importante mencionar que la institución tiene toda la disposición para formalizar nuevamente otro proceso  ahora denominado proceso de licitación  y así sacar provecho al expediente que está organizado con el anterior proceso.</w:t>
      </w:r>
    </w:p>
    <w:p>
      <w:pPr>
        <w:pStyle w:val="style0"/>
        <w:spacing w:line="360" w:lineRule="auto"/>
        <w:jc w:val="both"/>
      </w:pPr>
      <w:r>
        <w:rPr>
          <w:rFonts w:ascii="Arial" w:cs="Arial" w:hAnsi="Arial"/>
          <w:color w:val="000000"/>
        </w:rPr>
      </w:r>
    </w:p>
    <w:p>
      <w:pPr>
        <w:pStyle w:val="style219"/>
      </w:pPr>
      <w:r>
        <w:rPr>
          <w:rFonts w:ascii="Arial" w:cs="Arial" w:hAnsi="Arial"/>
          <w:b/>
          <w:color w:val="000000"/>
          <w:sz w:val="24"/>
          <w:szCs w:val="24"/>
        </w:rPr>
        <w:t>Estrategias Operacionales</w:t>
      </w:r>
    </w:p>
    <w:p>
      <w:pPr>
        <w:pStyle w:val="style219"/>
      </w:pPr>
      <w:r>
        <w:rPr>
          <w:rFonts w:ascii="Arial" w:cs="Arial" w:hAnsi="Arial"/>
          <w:b/>
          <w:color w:val="000000"/>
          <w:sz w:val="24"/>
          <w:szCs w:val="24"/>
        </w:rPr>
      </w:r>
    </w:p>
    <w:p>
      <w:pPr>
        <w:pStyle w:val="style219"/>
      </w:pPr>
      <w:r>
        <w:rPr>
          <w:rFonts w:ascii="Arial" w:cs="Arial" w:eastAsia="Arial" w:hAnsi="Arial"/>
          <w:b/>
          <w:color w:val="000000"/>
          <w:sz w:val="24"/>
          <w:szCs w:val="24"/>
        </w:rPr>
        <w:t xml:space="preserve"> </w:t>
      </w:r>
    </w:p>
    <w:p>
      <w:pPr>
        <w:pStyle w:val="style219"/>
        <w:spacing w:line="360" w:lineRule="auto"/>
        <w:jc w:val="both"/>
      </w:pPr>
      <w:r>
        <w:rPr>
          <w:rFonts w:ascii="Arial" w:cs="Arial" w:eastAsia="Arial" w:hAnsi="Arial"/>
          <w:color w:val="000000"/>
          <w:sz w:val="24"/>
          <w:szCs w:val="24"/>
        </w:rPr>
        <w:t xml:space="preserve">      </w:t>
      </w:r>
      <w:r>
        <w:rPr>
          <w:rFonts w:ascii="Arial" w:cs="Arial" w:hAnsi="Arial"/>
          <w:color w:val="000000"/>
          <w:sz w:val="24"/>
          <w:szCs w:val="24"/>
        </w:rPr>
        <w:t>Según estos autores Chase, Aquilano y Jacobs (2009; 27) señalan que la estrategia de operaciones  “se refiere a la elaboración de políticas y planes para la utilización de los recursos de la empresa en apoyo de la competitividad de la firma en un futuro”.</w:t>
      </w:r>
    </w:p>
    <w:p>
      <w:pPr>
        <w:pStyle w:val="style219"/>
        <w:spacing w:line="360" w:lineRule="auto"/>
      </w:pPr>
      <w:r>
        <w:rPr>
          <w:rFonts w:ascii="Arial" w:cs="Arial" w:eastAsia="Arial" w:hAnsi="Arial"/>
          <w:color w:val="000000"/>
          <w:sz w:val="24"/>
          <w:szCs w:val="24"/>
        </w:rPr>
        <w:t xml:space="preserve">      </w:t>
      </w:r>
    </w:p>
    <w:p>
      <w:pPr>
        <w:pStyle w:val="style219"/>
        <w:spacing w:line="360" w:lineRule="auto"/>
      </w:pPr>
      <w:r>
        <w:rPr>
          <w:rFonts w:ascii="Arial" w:cs="Arial" w:eastAsia="Arial" w:hAnsi="Arial"/>
          <w:color w:val="000000"/>
          <w:sz w:val="24"/>
          <w:szCs w:val="24"/>
        </w:rPr>
        <w:t xml:space="preserve">      </w:t>
      </w:r>
      <w:r>
        <w:rPr>
          <w:rFonts w:ascii="Arial" w:cs="Arial" w:hAnsi="Arial"/>
          <w:color w:val="000000"/>
          <w:sz w:val="24"/>
          <w:szCs w:val="24"/>
        </w:rPr>
        <w:t>Tomando en considerando a lo señalado por los autores se elabora  las siguientes estrategias que van a facilitar el desarrollo de un nuevo proceso:</w:t>
      </w:r>
    </w:p>
    <w:p>
      <w:pPr>
        <w:pStyle w:val="style219"/>
      </w:pPr>
      <w:r>
        <w:rPr>
          <w:rFonts w:ascii="Arial" w:cs="Arial" w:hAnsi="Arial"/>
          <w:color w:val="000000"/>
          <w:sz w:val="24"/>
          <w:szCs w:val="24"/>
        </w:rPr>
      </w:r>
    </w:p>
    <w:p>
      <w:pPr>
        <w:pStyle w:val="style219"/>
        <w:spacing w:line="360" w:lineRule="auto"/>
        <w:jc w:val="both"/>
      </w:pPr>
      <w:r>
        <w:rPr>
          <w:rFonts w:ascii="Arial" w:cs="Arial" w:hAnsi="Arial"/>
          <w:color w:val="000000"/>
          <w:sz w:val="24"/>
          <w:szCs w:val="24"/>
        </w:rPr>
        <w:tab/>
        <w:t xml:space="preserve">Si bien es cierto que </w:t>
      </w:r>
      <w:r>
        <w:rPr>
          <w:rFonts w:ascii="Arial" w:cs="Arial" w:hAnsi="Arial"/>
          <w:color w:val="000000"/>
          <w:sz w:val="24"/>
        </w:rPr>
        <w:t>existe un personal altamente calificado en</w:t>
      </w:r>
      <w:r>
        <w:rPr>
          <w:rFonts w:ascii="Arial" w:cs="Arial" w:hAnsi="Arial"/>
          <w:color w:val="000000"/>
          <w:sz w:val="32"/>
          <w:szCs w:val="24"/>
        </w:rPr>
        <w:t xml:space="preserve">  </w:t>
      </w:r>
      <w:r>
        <w:rPr>
          <w:rFonts w:ascii="Arial" w:cs="Arial" w:hAnsi="Arial"/>
          <w:color w:val="000000"/>
          <w:sz w:val="24"/>
          <w:szCs w:val="24"/>
        </w:rPr>
        <w:t xml:space="preserve">la Comisión de  Licitación de la institución, este realiza sus funciones de manera optima y eficiente, pero existe una debilidad para efectuar nuevamente el proceso de Enajenación de Bienes Públicos en estado de obsolescencia, deterioro y corrosión,  en  nuestra   entidad federal no se  cuentan con el personal técnico especializado para realizar los avalúos, por lo tanto no  cumple con el requisito exigido en la Ley, motivo por el cual se tiene que contratar un experto de otra localidad adyacente. Produciendo como consecuencia el traslado hacia la institución y esto eleva su costo de contratación, el cual duplica la oferta de los posibles compradores. </w:t>
      </w:r>
    </w:p>
    <w:p>
      <w:pPr>
        <w:pStyle w:val="style219"/>
      </w:pPr>
      <w:r>
        <w:rPr>
          <w:rFonts w:ascii="Arial" w:cs="Arial" w:hAnsi="Arial"/>
          <w:color w:val="000000"/>
          <w:sz w:val="24"/>
          <w:szCs w:val="24"/>
        </w:rPr>
      </w:r>
    </w:p>
    <w:p>
      <w:pPr>
        <w:pStyle w:val="style219"/>
        <w:spacing w:line="360" w:lineRule="auto"/>
        <w:jc w:val="both"/>
      </w:pPr>
      <w:r>
        <w:rPr>
          <w:rFonts w:ascii="Arial" w:cs="Arial" w:hAnsi="Arial"/>
          <w:color w:val="000000"/>
          <w:sz w:val="24"/>
          <w:szCs w:val="24"/>
        </w:rPr>
        <w:tab/>
        <w:t>Esta institución  cuenta con una plantilla de personal especializado en las áreas de Administración, Contaduría, Derecho, Ingeniera   en todas sus áreas, Arquitectos entre otros  por ser una Institución Universitaria, siendo una fortalecer, pero persiste aún  la debilidad del personal experto y los manuales de Normas y Procedimientos desactualizado, ahora bien se sugiere seleccionar de la plantilla de personal docente  los ingenieros que cumpla con el perfil para formarlos brindándoles las herramientas necesarias como peritos avalador y que los mismos se inscriba en la Superintendencia de Bienes Públicos para poder ejecutar el proceso, y de las plantilla de Administración nombrar una Comisión para Actualizar del referido  Manual de Normas y Procedimientos con respecto a la nueva Ley.</w:t>
      </w:r>
    </w:p>
    <w:p>
      <w:pPr>
        <w:pStyle w:val="style219"/>
        <w:spacing w:line="360" w:lineRule="auto"/>
        <w:jc w:val="both"/>
      </w:pPr>
      <w:r>
        <w:rPr>
          <w:rFonts w:ascii="Arial" w:cs="Arial" w:hAnsi="Arial"/>
          <w:color w:val="000000"/>
          <w:sz w:val="24"/>
          <w:szCs w:val="24"/>
        </w:rPr>
      </w:r>
    </w:p>
    <w:p>
      <w:pPr>
        <w:pStyle w:val="style219"/>
        <w:spacing w:line="360" w:lineRule="auto"/>
        <w:jc w:val="both"/>
      </w:pPr>
      <w:r>
        <w:rPr>
          <w:rFonts w:ascii="Arial" w:cs="Arial" w:hAnsi="Arial"/>
          <w:color w:val="000000"/>
          <w:sz w:val="24"/>
          <w:szCs w:val="24"/>
        </w:rPr>
        <w:tab/>
        <w:t xml:space="preserve">Continuando con la debilidad del experto avalador para realizar la experticia otra estrategia y la más posible es solicitar a la Superintendencia de Bienes Público la designación de los   Peritos necesarios para realizar los avalúos que se requieren para llevar a cabo el proceso, ya que la misma cuenta con este personal, además por ser la institución un ente del sector público adscrita al Ministerio de Educación Superior podría prestarse apoyo entre instituciones.   </w:t>
      </w:r>
    </w:p>
    <w:p>
      <w:pPr>
        <w:pStyle w:val="style219"/>
        <w:spacing w:line="360" w:lineRule="auto"/>
        <w:jc w:val="both"/>
      </w:pPr>
      <w:r>
        <w:rPr>
          <w:rFonts w:ascii="Arial" w:cs="Arial" w:hAnsi="Arial"/>
          <w:color w:val="000000"/>
          <w:sz w:val="24"/>
        </w:rPr>
        <w:tab/>
      </w:r>
    </w:p>
    <w:p>
      <w:pPr>
        <w:pStyle w:val="style219"/>
        <w:spacing w:line="360" w:lineRule="auto"/>
        <w:jc w:val="both"/>
      </w:pPr>
      <w:r>
        <w:rPr>
          <w:rFonts w:ascii="Arial" w:cs="Arial" w:hAnsi="Arial"/>
          <w:color w:val="000000"/>
          <w:sz w:val="24"/>
        </w:rPr>
        <w:tab/>
        <w:t>Con la estrategia de la  alianza cooperativa   solo quedara la parte operativa de ambas instituciones (Superintendencia de Bienes Públicos y la institución que este desincorporando los bienes) para los trámites administrativos y los registros contable por la Donación puesto que esta va a cumplir un beneficios social, el o los producto (s)  que el mismo genere con el reciclaje debe ser utilizado para los programas sociales que el Gobierno Nacional este efectuando tales como: Habita y  Vivienda (Cabillas, Tubos, Vigas, Alambres entre otros),para las escuelas (Mesa, Sillas y Ventanas) y para Venezuela Productiva (Auto parte para los programas de Vehículos).</w:t>
      </w:r>
    </w:p>
    <w:p>
      <w:pPr>
        <w:pStyle w:val="style219"/>
        <w:spacing w:line="360" w:lineRule="auto"/>
        <w:jc w:val="both"/>
      </w:pPr>
      <w:r>
        <w:rPr>
          <w:rFonts w:ascii="Arial" w:cs="Arial" w:hAnsi="Arial"/>
          <w:color w:val="000000"/>
          <w:sz w:val="24"/>
        </w:rPr>
      </w:r>
    </w:p>
    <w:p>
      <w:pPr>
        <w:pStyle w:val="style0"/>
        <w:spacing w:after="0" w:before="0" w:line="360" w:lineRule="auto"/>
        <w:jc w:val="both"/>
      </w:pPr>
      <w:r>
        <w:rPr>
          <w:rFonts w:ascii="Arial" w:cs="Arial" w:eastAsia="Arial" w:hAnsi="Arial"/>
          <w:color w:val="000000"/>
          <w:sz w:val="24"/>
          <w:szCs w:val="24"/>
        </w:rPr>
        <w:t xml:space="preserve"> </w:t>
      </w:r>
      <w:r>
        <w:rPr>
          <w:rFonts w:ascii="Arial" w:cs="Arial" w:hAnsi="Arial"/>
          <w:color w:val="000000"/>
          <w:sz w:val="24"/>
          <w:szCs w:val="24"/>
        </w:rPr>
        <w:tab/>
        <w:t xml:space="preserve">Otra estrategia que se puede implementar es diseñar  un plan anual de recolección de bienes que se encuentre en etapa de Obsolescencia, Deterioro, y Corrosión, con el objeto de  evitar la concentración de estos materiales convertidos en chatarras en los espacios de la institución, y así reciclarlos para convertirlo en otro metal para proporcionarle otra utilidad y beneficiar a la población con los programa sociales que este ejecutando el Gobierno Nacional.    </w:t>
      </w:r>
    </w:p>
    <w:p>
      <w:pPr>
        <w:pStyle w:val="style219"/>
        <w:spacing w:line="360" w:lineRule="auto"/>
        <w:jc w:val="both"/>
      </w:pPr>
      <w:r>
        <w:rPr>
          <w:rFonts w:ascii="Arial" w:cs="Arial" w:hAnsi="Arial"/>
          <w:color w:val="000000"/>
          <w:sz w:val="24"/>
        </w:rPr>
      </w:r>
    </w:p>
    <w:p>
      <w:pPr>
        <w:pStyle w:val="style219"/>
        <w:spacing w:line="360" w:lineRule="auto"/>
        <w:jc w:val="both"/>
      </w:pPr>
      <w:r>
        <w:rPr>
          <w:color w:val="000000"/>
        </w:rPr>
        <w:tab/>
      </w:r>
      <w:r>
        <w:rPr>
          <w:rFonts w:ascii="Arial" w:cs="Arial" w:hAnsi="Arial"/>
          <w:color w:val="000000"/>
          <w:sz w:val="24"/>
        </w:rPr>
        <w:t>Suscitar la relación entres los entes involucrados en el proceso de licitación para dar seguimiento, i</w:t>
      </w:r>
      <w:r>
        <w:rPr>
          <w:rFonts w:ascii="Arial" w:cs="Arial" w:hAnsi="Arial"/>
          <w:color w:val="000000"/>
          <w:sz w:val="24"/>
          <w:szCs w:val="24"/>
        </w:rPr>
        <w:t>nspeccionar y control para evaluar el cumplimiento de la operación día a día y visualizar el avance del mismo y el tiempo de respuesta por parte del ente rector (MPPPEUCT y S SUDEBIP)  para tener una visión  y  proyección para los próximos procesos de licitación que desee realizar la institución con respecto a la enajenación de bienes en estado de Obsolescencia, Deterioro y Corrosión.</w:t>
      </w:r>
    </w:p>
    <w:p>
      <w:pPr>
        <w:pStyle w:val="style219"/>
        <w:spacing w:line="360" w:lineRule="auto"/>
        <w:jc w:val="both"/>
      </w:pPr>
      <w:r>
        <w:rPr>
          <w:rFonts w:ascii="Arial" w:cs="Arial" w:hAnsi="Arial"/>
          <w:color w:val="000000"/>
          <w:sz w:val="24"/>
          <w:szCs w:val="24"/>
        </w:rPr>
      </w:r>
    </w:p>
    <w:p>
      <w:pPr>
        <w:pStyle w:val="style219"/>
      </w:pPr>
      <w:r>
        <w:rPr>
          <w:rFonts w:ascii="Arial" w:cs="Arial" w:hAnsi="Arial"/>
          <w:b/>
          <w:color w:val="000000"/>
          <w:sz w:val="24"/>
          <w:szCs w:val="24"/>
        </w:rPr>
      </w:r>
    </w:p>
    <w:p>
      <w:pPr>
        <w:pStyle w:val="style219"/>
      </w:pPr>
      <w:r>
        <w:rPr>
          <w:rFonts w:ascii="Arial" w:cs="Arial" w:hAnsi="Arial"/>
          <w:b/>
          <w:color w:val="000000"/>
          <w:sz w:val="24"/>
          <w:szCs w:val="24"/>
        </w:rPr>
        <w:t>Estrategias Financieras:</w:t>
      </w:r>
    </w:p>
    <w:p>
      <w:pPr>
        <w:pStyle w:val="style219"/>
      </w:pPr>
      <w:r>
        <w:rPr>
          <w:rFonts w:ascii="Arial" w:cs="Arial" w:hAnsi="Arial"/>
          <w:b/>
          <w:color w:val="000000"/>
          <w:sz w:val="24"/>
          <w:szCs w:val="24"/>
        </w:rPr>
      </w:r>
    </w:p>
    <w:p>
      <w:pPr>
        <w:pStyle w:val="style219"/>
      </w:pPr>
      <w:r>
        <w:rPr>
          <w:rFonts w:ascii="Arial" w:cs="Arial" w:hAnsi="Arial"/>
          <w:b/>
          <w:color w:val="000000"/>
          <w:sz w:val="24"/>
          <w:szCs w:val="24"/>
        </w:rPr>
      </w:r>
    </w:p>
    <w:p>
      <w:pPr>
        <w:pStyle w:val="style219"/>
        <w:spacing w:line="360" w:lineRule="auto"/>
        <w:jc w:val="both"/>
      </w:pPr>
      <w:r>
        <w:rPr>
          <w:rFonts w:ascii="Arial" w:cs="Arial" w:hAnsi="Arial"/>
          <w:i/>
          <w:iCs/>
          <w:color w:val="000000"/>
          <w:sz w:val="24"/>
          <w:szCs w:val="24"/>
          <w:shd w:fill="FFFFFF" w:val="clear"/>
        </w:rPr>
        <w:tab/>
      </w:r>
      <w:r>
        <w:rPr>
          <w:rFonts w:ascii="Arial" w:cs="Arial" w:hAnsi="Arial"/>
          <w:iCs/>
          <w:color w:val="000000"/>
          <w:sz w:val="24"/>
          <w:szCs w:val="24"/>
          <w:shd w:fill="FFFFFF" w:val="clear"/>
        </w:rPr>
        <w:t>El Diccionario Libre (Free Dictionary) por Farlex define una estrategia financiera “como las prácticas que una</w:t>
      </w:r>
      <w:r>
        <w:rPr>
          <w:rFonts w:ascii="Arial" w:cs="Arial" w:hAnsi="Arial"/>
          <w:iCs/>
          <w:color w:val="000000"/>
          <w:sz w:val="24"/>
          <w:szCs w:val="24"/>
        </w:rPr>
        <w:t xml:space="preserve"> </w:t>
      </w:r>
      <w:r>
        <w:rPr>
          <w:rFonts w:ascii="Arial" w:cs="Arial" w:hAnsi="Arial"/>
          <w:iCs/>
          <w:color w:val="000000"/>
          <w:sz w:val="24"/>
          <w:szCs w:val="24"/>
          <w:shd w:fill="FFFFFF" w:val="clear"/>
        </w:rPr>
        <w:t>empresa</w:t>
      </w:r>
      <w:r>
        <w:rPr>
          <w:rFonts w:ascii="Arial" w:cs="Arial" w:hAnsi="Arial"/>
          <w:iCs/>
          <w:color w:val="000000"/>
          <w:sz w:val="24"/>
          <w:szCs w:val="24"/>
        </w:rPr>
        <w:t xml:space="preserve"> </w:t>
      </w:r>
      <w:r>
        <w:rPr>
          <w:rFonts w:ascii="Arial" w:cs="Arial" w:hAnsi="Arial"/>
          <w:iCs/>
          <w:color w:val="000000"/>
          <w:sz w:val="24"/>
          <w:szCs w:val="24"/>
          <w:shd w:fill="FFFFFF" w:val="clear"/>
        </w:rPr>
        <w:t>adopta para alcanzar sus objetivos económicos”.</w:t>
      </w:r>
    </w:p>
    <w:p>
      <w:pPr>
        <w:pStyle w:val="style219"/>
        <w:spacing w:line="360" w:lineRule="auto"/>
        <w:jc w:val="both"/>
      </w:pPr>
      <w:r>
        <w:rPr>
          <w:rFonts w:ascii="Arial" w:cs="Arial" w:hAnsi="Arial"/>
          <w:iCs/>
          <w:color w:val="000000"/>
          <w:sz w:val="24"/>
          <w:szCs w:val="24"/>
          <w:shd w:fill="FFFFFF" w:val="clear"/>
        </w:rPr>
      </w:r>
    </w:p>
    <w:p>
      <w:pPr>
        <w:pStyle w:val="style219"/>
        <w:spacing w:line="360" w:lineRule="auto"/>
        <w:jc w:val="both"/>
      </w:pPr>
      <w:r>
        <w:rPr>
          <w:rFonts w:ascii="Arial" w:cs="Arial" w:hAnsi="Arial"/>
          <w:iCs/>
          <w:color w:val="000000"/>
          <w:sz w:val="24"/>
          <w:szCs w:val="24"/>
          <w:shd w:fill="FFFFFF" w:val="clear"/>
        </w:rPr>
        <w:tab/>
        <w:t>Por consiguiente se establece las siguientes estrategias  para alcanzar los objetivos en cuanto a la enajenación y desincorporación de los bienes en estado de Obsolescencia, Deterioro, y Corrosión del Instituto Universitario de Tecnología de Yaracuy.</w:t>
      </w:r>
    </w:p>
    <w:p>
      <w:pPr>
        <w:pStyle w:val="style219"/>
        <w:spacing w:line="360" w:lineRule="auto"/>
        <w:jc w:val="both"/>
      </w:pPr>
      <w:r>
        <w:rPr>
          <w:color w:val="000000"/>
        </w:rPr>
        <w:tab/>
      </w:r>
    </w:p>
    <w:p>
      <w:pPr>
        <w:pStyle w:val="style219"/>
        <w:spacing w:line="360" w:lineRule="auto"/>
        <w:jc w:val="both"/>
      </w:pPr>
      <w:r>
        <w:rPr>
          <w:color w:val="000000"/>
        </w:rPr>
        <w:tab/>
      </w:r>
      <w:r>
        <w:rPr>
          <w:rFonts w:ascii="Arial" w:cs="Arial" w:hAnsi="Arial"/>
          <w:color w:val="000000"/>
          <w:sz w:val="24"/>
        </w:rPr>
        <w:t>Para cubrir el pago del personal técnico especializado (experto)  se debe solicitar con una exposición de motivo a Oficina de Planificación y Presupuesto la creación de una partida presupuestaria para establecer el compromiso anual que será ejecutado por parte de la organización por cumplir metas específicas dentro de un corto plazo</w:t>
      </w:r>
      <w:r>
        <w:rPr>
          <w:color w:val="000000"/>
        </w:rPr>
        <w:t>.</w:t>
      </w:r>
    </w:p>
    <w:p>
      <w:pPr>
        <w:pStyle w:val="style219"/>
        <w:spacing w:line="360" w:lineRule="auto"/>
        <w:jc w:val="both"/>
      </w:pPr>
      <w:r>
        <w:rPr>
          <w:color w:val="000000"/>
        </w:rPr>
      </w:r>
    </w:p>
    <w:p>
      <w:pPr>
        <w:pStyle w:val="style219"/>
        <w:spacing w:line="360" w:lineRule="auto"/>
        <w:jc w:val="both"/>
      </w:pPr>
      <w:r>
        <w:rPr>
          <w:color w:val="000000"/>
        </w:rPr>
        <w:tab/>
      </w:r>
      <w:r>
        <w:rPr>
          <w:rFonts w:ascii="Arial" w:cs="Arial" w:hAnsi="Arial"/>
          <w:color w:val="000000"/>
          <w:sz w:val="24"/>
        </w:rPr>
        <w:t xml:space="preserve">Impulsar la  alianzas estratégicas con otra empresa del ramo  siderúrgica del sector público; aunque en las normativas exceptúa </w:t>
      </w:r>
      <w:r>
        <w:rPr>
          <w:rFonts w:ascii="Arial" w:cs="Arial" w:hAnsi="Arial"/>
          <w:color w:val="000000"/>
          <w:sz w:val="24"/>
          <w:szCs w:val="24"/>
        </w:rPr>
        <w:t>las ventas o permuta de bienes cuyo adquiriente sea otro ente u órgano del Sector Público;</w:t>
      </w:r>
      <w:r>
        <w:rPr>
          <w:rFonts w:ascii="Arial" w:cs="Arial" w:hAnsi="Arial"/>
          <w:color w:val="000000"/>
          <w:sz w:val="24"/>
        </w:rPr>
        <w:t xml:space="preserve"> siempre y cuando tenga  previa autorización de la Superintendencia de Bienes Públicos, en caso de que los proceso de licitación no se ejecutara en el lapso previsto o no se presente  ningún comprador, esta estrategia resultarían bien provechosas, lográndose   el intercambio por permuta o por dinero, ó en su efecto por resolución ó decreto de Presidencial emanada por el Presidente de la República Bolivariana de Venezuela  en Consejo de Ministros donde  decidan recolectar todos los bienes públicos en estado de obsolescencia, deterioro y corrosión que se encuentren ocupando   espacios en las instituciones públicas y que los mismos no estén funcionando.</w:t>
      </w:r>
    </w:p>
    <w:p>
      <w:pPr>
        <w:pStyle w:val="style219"/>
        <w:spacing w:line="360" w:lineRule="auto"/>
        <w:jc w:val="both"/>
      </w:pPr>
      <w:r>
        <w:rPr>
          <w:rFonts w:ascii="Arial" w:cs="Arial" w:hAnsi="Arial"/>
          <w:color w:val="000000"/>
          <w:sz w:val="24"/>
        </w:rPr>
      </w:r>
    </w:p>
    <w:p>
      <w:pPr>
        <w:pStyle w:val="style219"/>
        <w:spacing w:line="360" w:lineRule="auto"/>
        <w:jc w:val="both"/>
      </w:pPr>
      <w:r>
        <w:rPr>
          <w:rFonts w:ascii="Arial" w:cs="Arial" w:hAnsi="Arial"/>
          <w:color w:val="000000"/>
          <w:sz w:val="24"/>
        </w:rPr>
        <w:tab/>
        <w:t>Esta estrategia traerá como beneficio la desincorporación de los bienes en mal estado y dejando los espació disponible para su uso.</w:t>
      </w:r>
    </w:p>
    <w:p>
      <w:pPr>
        <w:pStyle w:val="style219"/>
        <w:spacing w:line="360" w:lineRule="auto"/>
        <w:jc w:val="both"/>
      </w:pPr>
      <w:r>
        <w:rPr>
          <w:rFonts w:ascii="Arial" w:cs="Arial" w:hAnsi="Arial"/>
          <w:color w:val="000000"/>
          <w:sz w:val="24"/>
        </w:rPr>
      </w:r>
    </w:p>
    <w:p>
      <w:pPr>
        <w:pStyle w:val="style219"/>
        <w:spacing w:line="360" w:lineRule="auto"/>
        <w:jc w:val="both"/>
      </w:pPr>
      <w:r>
        <w:rPr>
          <w:rFonts w:ascii="Arial" w:cs="Arial" w:hAnsi="Arial"/>
          <w:color w:val="000000"/>
          <w:sz w:val="24"/>
          <w:szCs w:val="24"/>
        </w:rPr>
        <w:tab/>
        <w:t>Proponer un fondo rotativo   a fin de permitir   sufragar aquellos gastos emergentes para cubrir sus compromisos y necesidades de carácter urgente  por conceptos específicos aprobados, y cuyo pago pueda tramitarse también de inmediato en forma directa, afectando el presupuesto de la institución.</w:t>
      </w:r>
    </w:p>
    <w:p>
      <w:pPr>
        <w:pStyle w:val="style219"/>
        <w:spacing w:line="360" w:lineRule="auto"/>
        <w:jc w:val="both"/>
      </w:pPr>
      <w:r>
        <w:rPr>
          <w:rFonts w:ascii="Arial" w:cs="Arial" w:hAnsi="Arial"/>
          <w:color w:val="000000"/>
          <w:sz w:val="24"/>
          <w:szCs w:val="24"/>
        </w:rPr>
      </w:r>
    </w:p>
    <w:p>
      <w:pPr>
        <w:pStyle w:val="style219"/>
        <w:spacing w:line="360" w:lineRule="auto"/>
        <w:jc w:val="both"/>
      </w:pPr>
      <w:r>
        <w:rPr>
          <w:rFonts w:ascii="Arial" w:cs="Arial" w:hAnsi="Arial"/>
          <w:color w:val="000000"/>
          <w:sz w:val="24"/>
          <w:szCs w:val="24"/>
        </w:rPr>
        <w:tab/>
        <w:t>En virtud de que los materiales en etapa de obsolescencia, deterioro y corrosión tienen demanda esta se puede ofrecer a las empresas recuperadoras como permuta o ventas a través de adjudicación directa según la oferta que más ofrezca beneficios económicos a la institución.</w:t>
      </w:r>
    </w:p>
    <w:p>
      <w:pPr>
        <w:pStyle w:val="style219"/>
        <w:spacing w:line="360" w:lineRule="auto"/>
        <w:jc w:val="both"/>
      </w:pPr>
      <w:r>
        <w:rPr>
          <w:rFonts w:ascii="Arial" w:cs="Arial" w:hAnsi="Arial"/>
          <w:color w:val="000000"/>
          <w:sz w:val="24"/>
          <w:szCs w:val="24"/>
        </w:rPr>
      </w:r>
    </w:p>
    <w:p>
      <w:pPr>
        <w:pStyle w:val="style219"/>
        <w:spacing w:line="360" w:lineRule="auto"/>
        <w:jc w:val="both"/>
      </w:pPr>
      <w:r>
        <w:rPr>
          <w:rFonts w:ascii="Arial" w:cs="Arial" w:hAnsi="Arial"/>
          <w:color w:val="000000"/>
          <w:sz w:val="24"/>
          <w:szCs w:val="24"/>
        </w:rPr>
        <w:tab/>
        <w:t>Realizar un estudio de sustentabilidad donde se  i</w:t>
      </w:r>
      <w:r>
        <w:rPr>
          <w:rFonts w:ascii="Arial" w:cs="Arial" w:hAnsi="Arial"/>
          <w:color w:val="000000"/>
          <w:sz w:val="24"/>
          <w:szCs w:val="36"/>
        </w:rPr>
        <w:t>dentifiqué los bienes muebles susceptibles de ser desincorporados determinando su viabilidad técnica, legal y económica, con el fin de llevar a cabo su enajenación para la obtención de ingresos extraordinarios o bien brindar beneficios para algún sector social. Así establecer un registro o inventario de inmobiliario actualizado, que permita la mejor toma de decisiones en cuanto a su administración</w:t>
      </w:r>
      <w:r>
        <w:rPr>
          <w:rFonts w:ascii="Arial" w:cs="Arial" w:hAnsi="Arial"/>
          <w:b/>
          <w:color w:val="000000"/>
          <w:sz w:val="36"/>
          <w:szCs w:val="36"/>
        </w:rPr>
        <w:t>.</w:t>
      </w:r>
    </w:p>
    <w:p>
      <w:pPr>
        <w:pStyle w:val="style219"/>
        <w:spacing w:line="360" w:lineRule="auto"/>
        <w:jc w:val="both"/>
      </w:pPr>
      <w:r>
        <w:rPr>
          <w:rFonts w:ascii="Arial" w:cs="Arial" w:hAnsi="Arial"/>
          <w:color w:val="000000"/>
          <w:sz w:val="24"/>
        </w:rPr>
      </w:r>
    </w:p>
    <w:p>
      <w:pPr>
        <w:pStyle w:val="style219"/>
        <w:spacing w:line="360" w:lineRule="auto"/>
        <w:jc w:val="both"/>
      </w:pPr>
      <w:r>
        <w:rPr>
          <w:rFonts w:ascii="Arial" w:cs="Arial" w:hAnsi="Arial"/>
          <w:color w:val="000000"/>
          <w:sz w:val="24"/>
        </w:rPr>
        <w:tab/>
        <w:t>Finalmente con las estrategias financieras se depuraran  los estados financieros de la institución, aquí se actualizará los mismos, se registrará en caso de ventas si se produjo ganancias por ventas de activos fijos, en caso de permuta se registrará los bienes que ingresen y lo que se desincorpore por el intercambio y si fuera por donación solo se registrará las salidas y las pérdidas que genere el mismo   en caso de que los bienes tenga valor de recate.</w:t>
      </w:r>
    </w:p>
    <w:p>
      <w:pPr>
        <w:pStyle w:val="style196"/>
        <w:spacing w:line="360" w:lineRule="auto"/>
        <w:ind w:hanging="0" w:left="720" w:right="0"/>
        <w:jc w:val="both"/>
      </w:pPr>
      <w:r>
        <w:rPr>
          <w:rFonts w:ascii="Arial" w:cs="Arial" w:hAnsi="Arial"/>
          <w:bCs/>
          <w:color w:val="000000"/>
          <w:sz w:val="24"/>
          <w:szCs w:val="24"/>
        </w:rPr>
      </w:r>
    </w:p>
    <w:p>
      <w:pPr>
        <w:pStyle w:val="style196"/>
        <w:spacing w:line="360" w:lineRule="auto"/>
        <w:jc w:val="both"/>
      </w:pPr>
      <w:r>
        <w:rPr/>
      </w:r>
    </w:p>
    <w:p>
      <w:pPr>
        <w:pStyle w:val="style0"/>
        <w:pageBreakBefore/>
        <w:spacing w:line="360" w:lineRule="auto"/>
        <w:jc w:val="center"/>
      </w:pPr>
      <w:r>
        <w:rPr>
          <w:rFonts w:ascii="Arial" w:cs="Arial" w:hAnsi="Arial"/>
          <w:b/>
          <w:color w:val="000000"/>
          <w:sz w:val="24"/>
        </w:rPr>
        <w:t>CONCLUSIONES</w:t>
      </w:r>
    </w:p>
    <w:p>
      <w:pPr>
        <w:pStyle w:val="style0"/>
        <w:spacing w:line="360" w:lineRule="auto"/>
        <w:jc w:val="center"/>
      </w:pPr>
      <w:r>
        <w:rPr>
          <w:rFonts w:ascii="Arial" w:cs="Arial" w:hAnsi="Arial"/>
          <w:b/>
          <w:color w:val="000000"/>
          <w:sz w:val="24"/>
        </w:rPr>
      </w:r>
    </w:p>
    <w:p>
      <w:pPr>
        <w:pStyle w:val="style0"/>
        <w:spacing w:line="360" w:lineRule="auto"/>
        <w:jc w:val="center"/>
      </w:pPr>
      <w:r>
        <w:rPr>
          <w:rFonts w:ascii="Arial" w:cs="Arial" w:hAnsi="Arial"/>
          <w:b/>
          <w:color w:val="000000"/>
          <w:sz w:val="24"/>
        </w:rPr>
      </w:r>
    </w:p>
    <w:p>
      <w:pPr>
        <w:pStyle w:val="style0"/>
        <w:spacing w:line="360" w:lineRule="auto"/>
        <w:jc w:val="both"/>
      </w:pPr>
      <w:r>
        <w:rPr>
          <w:rFonts w:ascii="Arial" w:cs="Arial" w:eastAsia="Arial" w:hAnsi="Arial"/>
          <w:color w:val="000000"/>
        </w:rPr>
        <w:t xml:space="preserve"> </w:t>
      </w:r>
      <w:r>
        <w:rPr>
          <w:rFonts w:ascii="Arial" w:cs="Arial" w:hAnsi="Arial"/>
          <w:color w:val="000000"/>
        </w:rPr>
        <w:tab/>
        <w:t xml:space="preserve">  </w:t>
      </w:r>
      <w:r>
        <w:rPr>
          <w:rFonts w:ascii="Arial" w:cs="Arial" w:hAnsi="Arial"/>
          <w:color w:val="000000"/>
          <w:sz w:val="24"/>
        </w:rPr>
        <w:t>En esta sección   del trabajo de grado, se presentará de manera resumida todo lo expuesto con anterioridad durante el desarrollo de la investigación, profundizando en aquellas situaciones que fueron observadas y analizadas como una debilidad para convertirla en fortalezas y las consideradas amenazas en oportunidades</w:t>
      </w:r>
      <w:r>
        <w:rPr>
          <w:color w:val="000000"/>
          <w:sz w:val="24"/>
        </w:rPr>
        <w:t>.</w:t>
      </w:r>
    </w:p>
    <w:p>
      <w:pPr>
        <w:pStyle w:val="style0"/>
        <w:spacing w:line="360" w:lineRule="auto"/>
        <w:jc w:val="both"/>
      </w:pPr>
      <w:r>
        <w:rPr>
          <w:rFonts w:ascii="Arial" w:cs="Arial" w:hAnsi="Arial"/>
          <w:sz w:val="24"/>
          <w:szCs w:val="24"/>
        </w:rPr>
        <w:tab/>
        <w:t xml:space="preserve">La investigación fue desarrollada en una institución del  sector público específicamente en el Instituto Universitario de Tecnología de Yaracuy con la finalidad de proponer las posibles estrategias que  ayudara a solucionar  a la problemática que en ella se presenta en la desincorporación por la vía de enajenación de los bienes nacionales en estado de obsolescencia, deterioro y corrosión, donde se recolectó la información precisa y relevante que dio respuesta al problema anteriormente planteado. </w:t>
      </w:r>
    </w:p>
    <w:p>
      <w:pPr>
        <w:pStyle w:val="style0"/>
        <w:spacing w:line="360" w:lineRule="auto"/>
        <w:jc w:val="both"/>
      </w:pPr>
      <w:r>
        <w:rPr>
          <w:rFonts w:ascii="Arial" w:cs="Arial" w:hAnsi="Arial"/>
          <w:sz w:val="24"/>
        </w:rPr>
        <w:tab/>
        <w:t>Por otra parte es importante señalar que los objetivos propuestos en la investigación fueron cubiertos de manera satisfactoria, permitiendo alcanzar de esta manera la elaboración de una propuesta, la cual conlleva a la implementación de estrategias operacionales y financieras para optimizar</w:t>
      </w:r>
    </w:p>
    <w:p>
      <w:pPr>
        <w:pStyle w:val="style0"/>
        <w:spacing w:line="360" w:lineRule="auto"/>
        <w:jc w:val="both"/>
      </w:pPr>
      <w:r>
        <w:rPr/>
        <w:tab/>
      </w:r>
      <w:r>
        <w:rPr>
          <w:rFonts w:ascii="Arial" w:cs="Arial" w:hAnsi="Arial"/>
          <w:sz w:val="24"/>
          <w:szCs w:val="24"/>
        </w:rPr>
        <w:t>De acuerdo a los objetivos propuestos se desarrollaran las conclusiones y las recomendaciones</w:t>
      </w:r>
      <w:r>
        <w:rPr>
          <w:rFonts w:ascii="Arial" w:cs="Arial" w:hAnsi="Arial"/>
          <w:color w:val="000000"/>
        </w:rPr>
        <w:t xml:space="preserve">, </w:t>
      </w:r>
      <w:r>
        <w:rPr>
          <w:rFonts w:ascii="Arial" w:cs="Arial" w:hAnsi="Arial"/>
          <w:color w:val="000000"/>
          <w:sz w:val="24"/>
        </w:rPr>
        <w:t xml:space="preserve">considerando; el diagnostico de la situación actual de los bienes  de dominio público en etapa de Deterioro, Obsolescencia   y Corrosión  del Instituto Universitario de Tecnología de Yaracuy </w:t>
      </w:r>
      <w:r>
        <w:rPr>
          <w:rFonts w:ascii="Arial" w:cs="Arial" w:hAnsi="Arial"/>
          <w:color w:val="000000"/>
          <w:sz w:val="24"/>
          <w:szCs w:val="24"/>
        </w:rPr>
        <w:t>con respecto</w:t>
      </w:r>
      <w:r>
        <w:rPr>
          <w:rFonts w:ascii="Arial" w:cs="Arial" w:hAnsi="Arial"/>
          <w:sz w:val="24"/>
          <w:szCs w:val="24"/>
        </w:rPr>
        <w:t xml:space="preserve"> a las políticas en los procesos  para la enajenación de estos bienes además  del aprovechamiento en el uso de los mismos  como materia prima para ser reciclados y transformado en un nuevo metal y que los mismos sean incorporados en la Producción Automotriz y a la Construcción Civil en Venezuela; donde actualmente el sector construcción políticas gubernamentales en la misión vivienda vive una situación difícil debido a la escasez del material ferroso y el abuso en  los altos costos entre otros.</w:t>
      </w:r>
    </w:p>
    <w:p>
      <w:pPr>
        <w:pStyle w:val="style0"/>
        <w:spacing w:line="240" w:lineRule="auto"/>
        <w:jc w:val="both"/>
      </w:pPr>
      <w:r>
        <w:rPr>
          <w:rFonts w:ascii="Arial" w:cs="Arial" w:hAnsi="Arial"/>
          <w:sz w:val="24"/>
        </w:rPr>
        <w:t>Por lo tanto se concluye;</w:t>
      </w:r>
    </w:p>
    <w:p>
      <w:pPr>
        <w:pStyle w:val="style0"/>
        <w:spacing w:line="240" w:lineRule="auto"/>
        <w:jc w:val="both"/>
      </w:pPr>
      <w:r>
        <w:rPr/>
      </w:r>
    </w:p>
    <w:p>
      <w:pPr>
        <w:pStyle w:val="style0"/>
        <w:numPr>
          <w:ilvl w:val="0"/>
          <w:numId w:val="21"/>
        </w:numPr>
        <w:spacing w:line="360" w:lineRule="auto"/>
        <w:jc w:val="both"/>
      </w:pPr>
      <w:r>
        <w:rPr>
          <w:rFonts w:ascii="Arial" w:cs="Arial" w:hAnsi="Arial"/>
          <w:sz w:val="24"/>
          <w:szCs w:val="24"/>
        </w:rPr>
        <w:t>Existe un manual de normas y procedimientos para unidad  de Bienes Nacionales  pero el mismo se encuentra desactualizado con respecto al Decreto con rango fuerza valor de Ley de Bienes Públicos,</w:t>
      </w:r>
      <w:r>
        <w:rPr>
          <w:sz w:val="24"/>
          <w:szCs w:val="24"/>
        </w:rPr>
        <w:t xml:space="preserve"> </w:t>
      </w:r>
      <w:r>
        <w:rPr>
          <w:rFonts w:ascii="Arial" w:cs="Arial" w:hAnsi="Arial"/>
          <w:sz w:val="24"/>
          <w:szCs w:val="24"/>
        </w:rPr>
        <w:t xml:space="preserve"> situación que contraviene los artículos 36 y 37 de LOCGR y el artículo 134 LYAFSP, los cuales establecen  que corresponden a la máxima autoridades  jerárquicas de cada ente la responsabilidad de organizar, establecer, mantener y evaluar el sistema de control interno, el cual debe ser adecuado a la naturaleza, estructura y fines del ente.</w:t>
      </w:r>
    </w:p>
    <w:p>
      <w:pPr>
        <w:pStyle w:val="style0"/>
        <w:numPr>
          <w:ilvl w:val="0"/>
          <w:numId w:val="21"/>
        </w:numPr>
        <w:spacing w:line="360" w:lineRule="auto"/>
        <w:jc w:val="both"/>
      </w:pPr>
      <w:r>
        <w:rPr>
          <w:rFonts w:ascii="Arial" w:cs="Arial" w:hAnsi="Arial"/>
          <w:sz w:val="24"/>
          <w:szCs w:val="24"/>
        </w:rPr>
        <w:t>Con la concentración de estos materiales convertidos en chatarras se visualiza parte de los espacios físicos de la institución sub utilizado, por ende se busca a través de la enajenación la desincorporación de los mismos para darle utilidad a esos espacios, a parte de los beneficios económico que los mismos traerá a la institución ya sea en efectivo o por otro bien, de igual forma  la enajenación de esos bienes o materiales aportará  bienestar al ambiente.</w:t>
      </w:r>
    </w:p>
    <w:p>
      <w:pPr>
        <w:pStyle w:val="style0"/>
        <w:numPr>
          <w:ilvl w:val="0"/>
          <w:numId w:val="21"/>
        </w:numPr>
        <w:spacing w:line="360" w:lineRule="auto"/>
        <w:jc w:val="both"/>
      </w:pPr>
      <w:r>
        <w:rPr>
          <w:rFonts w:ascii="Arial" w:cs="Arial" w:hAnsi="Arial"/>
          <w:sz w:val="24"/>
          <w:szCs w:val="24"/>
        </w:rPr>
        <w:t>Por lo restringido de los en los presupuestos asignados al  sector público y debido al control en los gastos por la disminución de la renta petrolera la institución no cuenta con una partida presupuestaria para la contratación del personal especializado para realizar los avalúos, erogación que sobrepasa a la ofertas de las empresa recuperadas interesadas en adquirir el material ferroso en las condiciones que se encuentra se concluye solicitar el apoyo de la superintendencia de Bienes en cuanto a la designación de ese personal para realizar los avalúos o capacitar e estimularlo a inscribirse en la Superintendencia de Bienes   algunos de los ingenieros de la plantilla de  la institución para realizar esa labor.</w:t>
      </w:r>
    </w:p>
    <w:p>
      <w:pPr>
        <w:pStyle w:val="style0"/>
        <w:numPr>
          <w:ilvl w:val="0"/>
          <w:numId w:val="21"/>
        </w:numPr>
        <w:spacing w:line="360" w:lineRule="auto"/>
        <w:jc w:val="both"/>
      </w:pPr>
      <w:r>
        <w:rPr>
          <w:rFonts w:ascii="Arial" w:cs="Arial" w:hAnsi="Arial"/>
          <w:sz w:val="24"/>
          <w:szCs w:val="24"/>
        </w:rPr>
        <w:t>Solicitar un lapso de respuesta para los procesos que se ejecute.</w:t>
      </w:r>
    </w:p>
    <w:p>
      <w:pPr>
        <w:pStyle w:val="style197"/>
        <w:numPr>
          <w:ilvl w:val="0"/>
          <w:numId w:val="21"/>
        </w:numPr>
        <w:spacing w:after="0" w:before="0" w:line="360" w:lineRule="auto"/>
        <w:jc w:val="both"/>
      </w:pPr>
      <w:r>
        <w:rPr>
          <w:rFonts w:ascii="Arial" w:cs="Arial" w:hAnsi="Arial"/>
        </w:rPr>
        <w:t>En la definición e identificación de la planificación estratégica, se observó que tanto la misión, la visión, los objetivos y las metas están bien establecidos y formalizados estos elementos, sin embargo es necesario  acentuar que no han sido divulgados a todo el personal de Administración, por lo que se sugiere colocar en un lugar visible la misión y la visión de la Institución y cada vez que se realice un proceso de envergadura informar a la comunidad universitaria para que conozca y este informado de las actividades que se realizan en la institución.</w:t>
      </w:r>
    </w:p>
    <w:p>
      <w:pPr>
        <w:pStyle w:val="style0"/>
        <w:spacing w:line="360" w:lineRule="auto"/>
        <w:ind w:firstLine="708" w:left="0" w:right="0"/>
        <w:jc w:val="both"/>
      </w:pPr>
      <w:r>
        <w:rPr/>
      </w:r>
    </w:p>
    <w:p>
      <w:pPr>
        <w:pStyle w:val="style0"/>
        <w:spacing w:line="360" w:lineRule="auto"/>
        <w:ind w:firstLine="708" w:left="0" w:right="0"/>
        <w:jc w:val="both"/>
      </w:pPr>
      <w:r>
        <w:rPr>
          <w:rFonts w:ascii="Arial" w:cs="Arial" w:hAnsi="Arial"/>
          <w:sz w:val="24"/>
          <w:szCs w:val="24"/>
        </w:rPr>
        <w:t xml:space="preserve">Articulando todas estas debilidades observadas   los directivos han hecho el mejor de los esfuerzos para desincorporarar eso bienes nacionales en etapa de deterioro, obsoleto y en corrosión pero esos intentos han sido frustrados  por los trámites burocráticos y el tiempo para darle  respuesta a los procesos. Ahora bien esto puede mejorar si se establecen métodos de mejora, acciones correctivas en aquellos procedimientos o procesos donde se observaron fallas. Esta es la intensión de ésta investigación   proponer estrategias financieras – operacionales dirigidas a la oficina de bienes públicos. </w:t>
      </w:r>
    </w:p>
    <w:p>
      <w:pPr>
        <w:pStyle w:val="style0"/>
        <w:pageBreakBefore/>
        <w:spacing w:line="360" w:lineRule="auto"/>
        <w:ind w:firstLine="708" w:left="0" w:right="0"/>
        <w:jc w:val="both"/>
      </w:pPr>
      <w:r>
        <w:rPr>
          <w:rFonts w:ascii="Arial" w:cs="Arial" w:hAnsi="Arial"/>
          <w:sz w:val="28"/>
          <w:szCs w:val="24"/>
        </w:rPr>
      </w:r>
    </w:p>
    <w:p>
      <w:pPr>
        <w:pStyle w:val="style0"/>
        <w:spacing w:line="360" w:lineRule="auto"/>
        <w:jc w:val="center"/>
      </w:pPr>
      <w:r>
        <w:rPr>
          <w:rFonts w:ascii="Arial" w:cs="Arial" w:hAnsi="Arial"/>
          <w:b/>
          <w:color w:val="000000"/>
          <w:sz w:val="24"/>
        </w:rPr>
        <w:t>RECOMENDACIONES</w:t>
      </w:r>
    </w:p>
    <w:p>
      <w:pPr>
        <w:pStyle w:val="style0"/>
        <w:spacing w:line="360" w:lineRule="auto"/>
        <w:jc w:val="both"/>
      </w:pPr>
      <w:r>
        <w:rPr>
          <w:rFonts w:ascii="Arial" w:cs="Arial" w:hAnsi="Arial"/>
          <w:color w:val="000000"/>
          <w:sz w:val="24"/>
        </w:rPr>
      </w:r>
    </w:p>
    <w:p>
      <w:pPr>
        <w:pStyle w:val="style0"/>
        <w:spacing w:line="360" w:lineRule="auto"/>
        <w:jc w:val="both"/>
      </w:pPr>
      <w:r>
        <w:rPr>
          <w:rFonts w:ascii="Arial" w:cs="Arial" w:hAnsi="Arial"/>
          <w:color w:val="000000"/>
          <w:sz w:val="24"/>
        </w:rPr>
      </w:r>
    </w:p>
    <w:p>
      <w:pPr>
        <w:pStyle w:val="style0"/>
        <w:numPr>
          <w:ilvl w:val="0"/>
          <w:numId w:val="3"/>
        </w:numPr>
        <w:spacing w:line="360" w:lineRule="auto"/>
        <w:jc w:val="both"/>
      </w:pPr>
      <w:r>
        <w:rPr>
          <w:rFonts w:ascii="Arial" w:cs="Arial" w:hAnsi="Arial"/>
          <w:color w:val="000000"/>
          <w:sz w:val="24"/>
        </w:rPr>
        <w:t xml:space="preserve">Preparar parte del personal de ingeniería que conforma la plantilla de docente de la institución para que realice la función de perito tasador y así minimizar los gastos correspondientes a la erogación por  la contratación de personal especializado (Perito). </w:t>
      </w:r>
    </w:p>
    <w:p>
      <w:pPr>
        <w:pStyle w:val="style0"/>
        <w:numPr>
          <w:ilvl w:val="0"/>
          <w:numId w:val="3"/>
        </w:numPr>
        <w:spacing w:line="360" w:lineRule="auto"/>
        <w:jc w:val="both"/>
      </w:pPr>
      <w:r>
        <w:rPr>
          <w:rFonts w:ascii="Arial" w:cs="Arial" w:hAnsi="Arial"/>
          <w:color w:val="000000"/>
          <w:sz w:val="24"/>
        </w:rPr>
        <w:t xml:space="preserve">Para los efectos la investigación tiene una visión social se propone que el costo de peritaje o personal técnico especializado para la determinación de los precios y avalúos se haga mediante los peritos asignados por la Superintendencia de Bienes puesto que este órgano cuenta con el personal y lo que actúan en caso de expropiaciones que por aplicación analógica de la norma sean facultados para realizar y ejecutar estos avalúos.   </w:t>
      </w:r>
    </w:p>
    <w:p>
      <w:pPr>
        <w:pStyle w:val="style0"/>
        <w:numPr>
          <w:ilvl w:val="0"/>
          <w:numId w:val="3"/>
        </w:numPr>
        <w:spacing w:line="360" w:lineRule="auto"/>
        <w:jc w:val="both"/>
      </w:pPr>
      <w:r>
        <w:rPr>
          <w:rFonts w:ascii="Arial" w:cs="Arial" w:hAnsi="Arial"/>
          <w:sz w:val="24"/>
          <w:szCs w:val="24"/>
        </w:rPr>
        <w:t xml:space="preserve">Adaptar el manual de normas y procedimientos y adecuarlos con respecto al  Decreto con Rango Valor y Fuerza de Ley de Bienes Públicos y divulgar estas normas para que todo en personal involucrado en los proceso de enajenación por desincorporación de bienes en etapa de deterioro, obsolescencia y corrosión realicen e sus funciones de manera optima y alcanzando los niveles de eficiencia esperados por la organización. </w:t>
      </w:r>
    </w:p>
    <w:p>
      <w:pPr>
        <w:pStyle w:val="style0"/>
        <w:numPr>
          <w:ilvl w:val="0"/>
          <w:numId w:val="3"/>
        </w:numPr>
        <w:spacing w:line="360" w:lineRule="auto"/>
        <w:jc w:val="both"/>
      </w:pPr>
      <w:r>
        <w:rPr>
          <w:rFonts w:ascii="Arial" w:cs="Arial" w:hAnsi="Arial"/>
          <w:sz w:val="24"/>
          <w:szCs w:val="24"/>
        </w:rPr>
        <w:t>Establecer mecanismos para que la comunicación entre las distintas dependencias u organismos  involucradas en los proceso de enajenación por desincorporación de bienes en etapa de deterioro, obsolescencia y corrosión sean más efectivas, esto quiere decir; reuniones permanentes, visita a los entes rectores, uso de internet, telefonía móvil, entre otros.</w:t>
      </w:r>
    </w:p>
    <w:p>
      <w:pPr>
        <w:pStyle w:val="style0"/>
        <w:numPr>
          <w:ilvl w:val="0"/>
          <w:numId w:val="3"/>
        </w:numPr>
        <w:spacing w:line="360" w:lineRule="auto"/>
        <w:jc w:val="both"/>
      </w:pPr>
      <w:r>
        <w:rPr>
          <w:rFonts w:ascii="Arial" w:cs="Arial" w:hAnsi="Arial"/>
          <w:color w:val="000000"/>
          <w:sz w:val="24"/>
          <w:szCs w:val="24"/>
        </w:rPr>
        <w:t xml:space="preserve">En ocasión a la Ley Habilitante que tiene en su poder el Presidente de la República la posibilidad de un decreto que  nivel nacional ordene la recolección de todos los materiales ferrosos ó chatarra de la administración pública eliminando cualquier traba jurídica y administrativa para facilitar de forma expedita que este material sea utilizado como materia prima para la construcción de obra pública específicamente en la misión vivienda. </w:t>
      </w:r>
    </w:p>
    <w:p>
      <w:pPr>
        <w:pStyle w:val="style0"/>
        <w:numPr>
          <w:ilvl w:val="0"/>
          <w:numId w:val="3"/>
        </w:numPr>
        <w:spacing w:line="360" w:lineRule="auto"/>
        <w:jc w:val="both"/>
      </w:pPr>
      <w:r>
        <w:rPr>
          <w:rFonts w:ascii="Arial" w:cs="Arial" w:hAnsi="Arial"/>
          <w:color w:val="000000"/>
          <w:sz w:val="24"/>
          <w:szCs w:val="24"/>
        </w:rPr>
        <w:t xml:space="preserve">Dentro de la lógica que impera actualmente como forma de hacer los gastos públicos la solución inmediata sería solicitar la creación de una partida presupuestaria para cubrir legalmente la erogación que genera la contratación de un personal especializado. Sin embargo  como estamos perfilando a un nuevo modelo de Estado  tal como lo principios fundamentales en los artículo 1 AL 9, se considera que es conducente que actuando dentro de los principios de cooperación, reciprocidad que deben regirse la actuación de la administración pública se debe crear un mecanismo que permita que este tipo de material ferroso sea transferido a la empresa Siderúrgica del Estado para su  reciclaje para convertirlo en cabillas   y así beneficiar  a la instituciones pública   que impulse  programas sociales en favor de la población Venezolana. </w:t>
      </w:r>
    </w:p>
    <w:p>
      <w:pPr>
        <w:pStyle w:val="style0"/>
        <w:numPr>
          <w:ilvl w:val="0"/>
          <w:numId w:val="3"/>
        </w:numPr>
        <w:spacing w:line="360" w:lineRule="auto"/>
        <w:jc w:val="both"/>
      </w:pPr>
      <w:r>
        <w:rPr>
          <w:rFonts w:ascii="Arial" w:cs="Arial" w:hAnsi="Arial"/>
          <w:color w:val="000000"/>
          <w:sz w:val="24"/>
          <w:szCs w:val="24"/>
        </w:rPr>
        <w:t>Impulsar un programa de ecoeficiencia dentro de la institución para qué este genere ingresos adicionales o beneficios económicos con la enajenación de los bienes en etapa de deterioro, obsolescencia y corrosión y otros materiales que se puedan reciclar para  así mantener un fondo,  para minimizar los costos que genere la contratación de un personal técnico, además este programa va permitir utilizar de manera responsable los recursos naturales, minimizar la contaminación, ayudar al mantenimiento,  orden y limpieza de la institución, también va ayudar a mantener un control de inventario eficiente de los bienes de la institución y por último a impulsar la reutilización y el reciclaje en la institución debido a que existe una unidad curricular que engloba la conservación de los recursos naturales renovables  y por ende del ambiente.</w:t>
      </w:r>
    </w:p>
    <w:p>
      <w:pPr>
        <w:pStyle w:val="style190"/>
        <w:pageBreakBefore/>
        <w:ind w:hanging="142" w:left="142" w:right="0"/>
        <w:jc w:val="center"/>
      </w:pPr>
      <w:r>
        <w:rPr>
          <w:rFonts w:ascii="Arial" w:cs="Arial" w:hAnsi="Arial"/>
          <w:b/>
          <w:bCs/>
          <w:sz w:val="24"/>
          <w:szCs w:val="24"/>
        </w:rPr>
        <w:t>REFERENCIAS BIBLIOGRAFICAS</w:t>
      </w:r>
    </w:p>
    <w:p>
      <w:pPr>
        <w:pStyle w:val="style190"/>
        <w:ind w:hanging="142" w:left="142" w:right="0"/>
        <w:jc w:val="center"/>
      </w:pPr>
      <w:r>
        <w:rPr>
          <w:rFonts w:ascii="Arial" w:cs="Arial" w:hAnsi="Arial"/>
          <w:b/>
          <w:bCs/>
          <w:sz w:val="24"/>
          <w:szCs w:val="24"/>
        </w:rPr>
      </w:r>
    </w:p>
    <w:p>
      <w:pPr>
        <w:pStyle w:val="style190"/>
        <w:ind w:hanging="142" w:left="142" w:right="0"/>
        <w:jc w:val="center"/>
      </w:pPr>
      <w:r>
        <w:rPr>
          <w:rFonts w:ascii="Arial" w:cs="Arial" w:hAnsi="Arial"/>
          <w:b/>
          <w:bCs/>
          <w:sz w:val="24"/>
          <w:szCs w:val="24"/>
        </w:rPr>
      </w:r>
    </w:p>
    <w:p>
      <w:pPr>
        <w:pStyle w:val="style190"/>
        <w:ind w:hanging="567" w:left="567" w:right="0"/>
        <w:jc w:val="both"/>
      </w:pPr>
      <w:r>
        <w:rPr>
          <w:rFonts w:ascii="Arial" w:cs="Arial" w:hAnsi="Arial"/>
          <w:bCs/>
          <w:color w:val="000000"/>
          <w:sz w:val="24"/>
          <w:szCs w:val="24"/>
        </w:rPr>
        <w:t xml:space="preserve">Álvarez, R. Giacolone, R. y Sandovla, J. </w:t>
      </w:r>
      <w:r>
        <w:rPr>
          <w:rFonts w:ascii="Arial" w:cs="Arial" w:hAnsi="Arial"/>
          <w:b/>
          <w:i/>
          <w:color w:val="000000"/>
          <w:sz w:val="24"/>
          <w:szCs w:val="24"/>
        </w:rPr>
        <w:t xml:space="preserve">GLOBALIZACIÓN, INTEGRACIÓN Y FRONTERAS EN AMÉRICA LATINA. </w:t>
      </w:r>
      <w:r>
        <w:rPr>
          <w:rFonts w:ascii="Arial" w:cs="Arial" w:hAnsi="Arial"/>
          <w:i/>
          <w:color w:val="000000"/>
          <w:sz w:val="24"/>
          <w:szCs w:val="24"/>
        </w:rPr>
        <w:t>Biblioteca Digital Andina.</w:t>
      </w:r>
      <w:r>
        <w:rPr>
          <w:rFonts w:ascii="Arial" w:cs="Arial" w:hAnsi="Arial"/>
          <w:color w:val="000000"/>
          <w:sz w:val="24"/>
          <w:szCs w:val="24"/>
        </w:rPr>
        <w:t xml:space="preserve"> Universidad de los Andes, Mérida, Venezuela </w:t>
      </w:r>
      <w:r>
        <w:rPr>
          <w:rFonts w:ascii="Arial" w:cs="Arial" w:hAnsi="Arial"/>
          <w:i/>
          <w:color w:val="000000"/>
          <w:sz w:val="24"/>
          <w:szCs w:val="24"/>
        </w:rPr>
        <w:t xml:space="preserve"> 2004.</w:t>
      </w:r>
    </w:p>
    <w:p>
      <w:pPr>
        <w:pStyle w:val="style190"/>
        <w:ind w:hanging="567" w:left="567" w:right="0"/>
        <w:jc w:val="both"/>
      </w:pPr>
      <w:r>
        <w:rPr>
          <w:rFonts w:ascii="Arial" w:cs="Arial" w:hAnsi="Arial"/>
          <w:color w:val="000000"/>
          <w:sz w:val="24"/>
          <w:szCs w:val="24"/>
        </w:rPr>
        <w:t>Armijo, A. (2011).</w:t>
      </w:r>
      <w:r>
        <w:rPr>
          <w:rFonts w:ascii="Arial" w:cs="Arial" w:hAnsi="Arial"/>
          <w:b/>
          <w:color w:val="000000"/>
          <w:sz w:val="24"/>
          <w:szCs w:val="24"/>
        </w:rPr>
        <w:t xml:space="preserve"> Planificación Estratégica e Indicadores de Desempeño en el Sector Público.</w:t>
      </w:r>
      <w:r>
        <w:rPr>
          <w:rFonts w:ascii="Arial" w:cs="Arial" w:hAnsi="Arial"/>
          <w:color w:val="000000"/>
          <w:sz w:val="24"/>
          <w:szCs w:val="24"/>
        </w:rPr>
        <w:t xml:space="preserve"> Instituto Latinoamericano y del Caribe de Planificación Económica y Social (ILPES)</w:t>
      </w:r>
      <w:r>
        <w:rPr>
          <w:rFonts w:ascii="Arial" w:cs="Arial" w:hAnsi="Arial"/>
          <w:b/>
          <w:color w:val="000000"/>
          <w:sz w:val="24"/>
          <w:szCs w:val="24"/>
        </w:rPr>
        <w:t xml:space="preserve">. </w:t>
      </w:r>
      <w:r>
        <w:rPr>
          <w:rFonts w:ascii="Arial" w:cs="Arial" w:hAnsi="Arial"/>
          <w:color w:val="000000"/>
          <w:sz w:val="24"/>
          <w:szCs w:val="24"/>
        </w:rPr>
        <w:t>Naciones Unidads CEPAL.  Santiago de Chile.</w:t>
      </w:r>
    </w:p>
    <w:p>
      <w:pPr>
        <w:pStyle w:val="style190"/>
        <w:ind w:hanging="567" w:left="567" w:right="0"/>
        <w:jc w:val="both"/>
      </w:pPr>
      <w:r>
        <w:rPr>
          <w:rFonts w:ascii="Arial" w:cs="Arial" w:hAnsi="Arial"/>
          <w:bCs/>
          <w:color w:val="000000"/>
          <w:sz w:val="24"/>
          <w:szCs w:val="24"/>
        </w:rPr>
        <w:t>Arias, F</w:t>
      </w:r>
      <w:r>
        <w:rPr>
          <w:rFonts w:ascii="Arial" w:cs="Arial" w:hAnsi="Arial"/>
          <w:b/>
          <w:bCs/>
          <w:color w:val="000000"/>
          <w:sz w:val="24"/>
          <w:szCs w:val="24"/>
        </w:rPr>
        <w:t xml:space="preserve">. </w:t>
      </w:r>
      <w:r>
        <w:rPr>
          <w:rFonts w:ascii="Arial" w:cs="Arial" w:hAnsi="Arial"/>
          <w:b/>
          <w:bCs/>
          <w:i/>
          <w:color w:val="000000"/>
          <w:sz w:val="24"/>
          <w:szCs w:val="24"/>
        </w:rPr>
        <w:t>El Proyecto de Investigación</w:t>
      </w:r>
      <w:r>
        <w:rPr>
          <w:rFonts w:ascii="Arial" w:cs="Arial" w:hAnsi="Arial"/>
          <w:b/>
          <w:bCs/>
          <w:color w:val="000000"/>
          <w:sz w:val="24"/>
          <w:szCs w:val="24"/>
        </w:rPr>
        <w:t xml:space="preserve"> </w:t>
      </w:r>
      <w:r>
        <w:rPr>
          <w:rFonts w:ascii="Arial" w:cs="Arial" w:hAnsi="Arial"/>
          <w:bCs/>
          <w:color w:val="000000"/>
          <w:sz w:val="24"/>
          <w:szCs w:val="24"/>
        </w:rPr>
        <w:t xml:space="preserve">Editorial Episteme•O R I A L E D I C I O N E S 3 era. Edición. </w:t>
      </w:r>
      <w:r>
        <w:rPr>
          <w:rFonts w:ascii="Arial" w:cs="Arial" w:hAnsi="Arial"/>
          <w:color w:val="000000"/>
          <w:sz w:val="24"/>
          <w:szCs w:val="24"/>
        </w:rPr>
        <w:t>Caracas, 1999.</w:t>
      </w:r>
    </w:p>
    <w:p>
      <w:pPr>
        <w:pStyle w:val="style0"/>
        <w:autoSpaceDE w:val="false"/>
        <w:spacing w:after="0" w:before="0" w:line="240" w:lineRule="auto"/>
        <w:ind w:hanging="567" w:left="567" w:right="0"/>
        <w:jc w:val="both"/>
      </w:pPr>
      <w:r>
        <w:rPr>
          <w:rFonts w:ascii="Arial" w:cs="Arial" w:hAnsi="Arial"/>
          <w:color w:val="000000"/>
          <w:sz w:val="24"/>
          <w:szCs w:val="24"/>
          <w:lang w:val="es-ES"/>
        </w:rPr>
        <w:t xml:space="preserve">Balestrini, M. </w:t>
      </w:r>
      <w:r>
        <w:rPr>
          <w:rFonts w:ascii="Arial" w:cs="Arial" w:hAnsi="Arial"/>
          <w:b/>
          <w:i/>
          <w:color w:val="000000"/>
          <w:sz w:val="24"/>
          <w:szCs w:val="24"/>
          <w:lang w:val="es-ES"/>
        </w:rPr>
        <w:t>Como se Elabora el Proyecto  de Investigación</w:t>
      </w:r>
      <w:r>
        <w:rPr>
          <w:rFonts w:ascii="Arial" w:cs="Arial" w:hAnsi="Arial"/>
          <w:i/>
          <w:color w:val="000000"/>
          <w:sz w:val="24"/>
          <w:szCs w:val="24"/>
          <w:lang w:val="es-ES"/>
        </w:rPr>
        <w:t xml:space="preserve">. </w:t>
      </w:r>
      <w:r>
        <w:rPr>
          <w:rFonts w:ascii="Arial" w:cs="Arial" w:hAnsi="Arial"/>
          <w:color w:val="000000"/>
          <w:sz w:val="24"/>
          <w:szCs w:val="24"/>
          <w:lang w:val="es-ES"/>
        </w:rPr>
        <w:t>Caracas: Editorial Consultores Asociados Bl. (2006).</w:t>
      </w:r>
    </w:p>
    <w:p>
      <w:pPr>
        <w:pStyle w:val="style0"/>
        <w:autoSpaceDE w:val="false"/>
        <w:spacing w:after="0" w:before="0" w:line="240" w:lineRule="auto"/>
        <w:ind w:hanging="567" w:left="567" w:right="0"/>
        <w:jc w:val="both"/>
      </w:pPr>
      <w:r>
        <w:rPr>
          <w:rFonts w:ascii="Arial" w:cs="Arial" w:hAnsi="Arial"/>
          <w:color w:val="000000"/>
          <w:sz w:val="24"/>
          <w:szCs w:val="24"/>
          <w:lang w:val="es-ES"/>
        </w:rPr>
      </w:r>
    </w:p>
    <w:p>
      <w:pPr>
        <w:pStyle w:val="style0"/>
        <w:autoSpaceDE w:val="false"/>
        <w:spacing w:after="0" w:before="0" w:line="240" w:lineRule="auto"/>
        <w:ind w:hanging="567" w:left="567" w:right="0"/>
        <w:jc w:val="both"/>
      </w:pPr>
      <w:r>
        <w:rPr>
          <w:rFonts w:ascii="Arial" w:cs="Arial" w:hAnsi="Arial"/>
          <w:color w:val="000000"/>
          <w:sz w:val="24"/>
          <w:szCs w:val="24"/>
        </w:rPr>
        <w:t xml:space="preserve">Barradas, R. </w:t>
      </w:r>
      <w:r>
        <w:rPr>
          <w:rFonts w:ascii="Arial" w:cs="Arial" w:hAnsi="Arial"/>
          <w:b/>
          <w:i/>
          <w:color w:val="000000"/>
          <w:sz w:val="24"/>
          <w:szCs w:val="24"/>
        </w:rPr>
        <w:t xml:space="preserve">Gestión Integral de Residuos Sólidos Municipales Estado del Arte. </w:t>
      </w:r>
      <w:r>
        <w:rPr>
          <w:rFonts w:ascii="Arial" w:cs="Arial" w:hAnsi="Arial"/>
          <w:i/>
          <w:color w:val="000000"/>
          <w:sz w:val="24"/>
          <w:szCs w:val="24"/>
        </w:rPr>
        <w:t>Madríd – España</w:t>
      </w:r>
      <w:r>
        <w:rPr>
          <w:rFonts w:ascii="Arial" w:cs="Arial" w:hAnsi="Arial"/>
          <w:b/>
          <w:i/>
          <w:color w:val="000000"/>
          <w:sz w:val="24"/>
          <w:szCs w:val="24"/>
        </w:rPr>
        <w:t xml:space="preserve"> </w:t>
      </w:r>
      <w:r>
        <w:rPr>
          <w:rFonts w:ascii="Arial" w:cs="Arial" w:hAnsi="Arial"/>
          <w:i/>
          <w:color w:val="000000"/>
          <w:sz w:val="24"/>
          <w:szCs w:val="24"/>
        </w:rPr>
        <w:t>(2010)</w:t>
      </w:r>
    </w:p>
    <w:p>
      <w:pPr>
        <w:pStyle w:val="style0"/>
        <w:autoSpaceDE w:val="false"/>
        <w:spacing w:after="0" w:before="0" w:line="240" w:lineRule="auto"/>
        <w:ind w:hanging="567" w:left="567" w:right="0"/>
        <w:jc w:val="both"/>
      </w:pPr>
      <w:r>
        <w:rPr>
          <w:rFonts w:ascii="Arial" w:cs="Arial" w:hAnsi="Arial"/>
          <w:color w:val="000000"/>
          <w:sz w:val="24"/>
          <w:szCs w:val="24"/>
          <w:lang w:val="es-ES"/>
        </w:rPr>
      </w:r>
    </w:p>
    <w:p>
      <w:pPr>
        <w:pStyle w:val="style0"/>
        <w:autoSpaceDE w:val="false"/>
        <w:spacing w:after="0" w:before="0" w:line="240" w:lineRule="auto"/>
        <w:ind w:hanging="567" w:left="567" w:right="0"/>
        <w:jc w:val="both"/>
      </w:pPr>
      <w:r>
        <w:rPr>
          <w:rFonts w:ascii="Arial" w:cs="Arial" w:hAnsi="Arial"/>
          <w:color w:val="000000"/>
          <w:sz w:val="24"/>
          <w:szCs w:val="24"/>
          <w:lang w:val="es-ES"/>
        </w:rPr>
        <w:t xml:space="preserve">Brealey, R. y Myes, S. </w:t>
      </w:r>
      <w:r>
        <w:rPr>
          <w:rFonts w:ascii="Arial" w:cs="Arial" w:hAnsi="Arial"/>
          <w:b/>
          <w:i/>
          <w:color w:val="000000"/>
          <w:sz w:val="24"/>
          <w:szCs w:val="24"/>
          <w:lang w:val="es-ES"/>
        </w:rPr>
        <w:t>Fundamentos de Financiación Empresarial</w:t>
      </w:r>
      <w:r>
        <w:rPr>
          <w:rFonts w:ascii="Arial" w:cs="Arial" w:hAnsi="Arial"/>
          <w:color w:val="000000"/>
          <w:sz w:val="24"/>
          <w:szCs w:val="24"/>
          <w:lang w:val="es-ES"/>
        </w:rPr>
        <w:t>. Madrid. Mc Graw- Hiññ. 2007</w:t>
      </w:r>
    </w:p>
    <w:p>
      <w:pPr>
        <w:pStyle w:val="style0"/>
        <w:autoSpaceDE w:val="false"/>
        <w:spacing w:after="0" w:before="0" w:line="240" w:lineRule="auto"/>
        <w:ind w:hanging="567" w:left="567" w:right="0"/>
        <w:jc w:val="both"/>
      </w:pPr>
      <w:r>
        <w:rPr>
          <w:rFonts w:ascii="Arial" w:cs="Arial" w:hAnsi="Arial"/>
          <w:color w:val="000000"/>
          <w:sz w:val="24"/>
          <w:szCs w:val="24"/>
          <w:lang w:val="es-ES"/>
        </w:rPr>
      </w:r>
    </w:p>
    <w:p>
      <w:pPr>
        <w:pStyle w:val="style0"/>
        <w:autoSpaceDE w:val="false"/>
        <w:spacing w:after="0" w:before="0" w:line="240" w:lineRule="auto"/>
        <w:ind w:hanging="567" w:left="567" w:right="0"/>
        <w:jc w:val="both"/>
      </w:pPr>
      <w:r>
        <w:rPr>
          <w:rFonts w:ascii="Arial" w:cs="Arial" w:hAnsi="Arial"/>
          <w:color w:val="000000"/>
          <w:sz w:val="24"/>
          <w:szCs w:val="24"/>
        </w:rPr>
        <w:t xml:space="preserve">Briones, G. (2007). </w:t>
      </w:r>
      <w:r>
        <w:rPr>
          <w:rFonts w:ascii="Arial" w:cs="Arial" w:hAnsi="Arial"/>
          <w:b/>
          <w:i/>
          <w:color w:val="000000"/>
          <w:sz w:val="24"/>
          <w:szCs w:val="24"/>
        </w:rPr>
        <w:t>Métodos y Técnicas de Investigación para las Ciencias Sociales</w:t>
      </w:r>
      <w:r>
        <w:rPr>
          <w:rFonts w:ascii="Arial" w:cs="Arial" w:hAnsi="Arial"/>
          <w:color w:val="000000"/>
          <w:sz w:val="24"/>
          <w:szCs w:val="24"/>
        </w:rPr>
        <w:t>, 2ª. reimp., Ed. Trillas, México</w:t>
      </w:r>
    </w:p>
    <w:p>
      <w:pPr>
        <w:pStyle w:val="style0"/>
        <w:autoSpaceDE w:val="false"/>
        <w:spacing w:after="0" w:before="0" w:line="240" w:lineRule="auto"/>
        <w:ind w:hanging="567" w:left="567" w:right="0"/>
        <w:jc w:val="both"/>
      </w:pPr>
      <w:r>
        <w:rPr>
          <w:rFonts w:ascii="Arial" w:cs="Arial" w:hAnsi="Arial"/>
          <w:color w:val="000000"/>
          <w:sz w:val="24"/>
          <w:szCs w:val="24"/>
        </w:rPr>
      </w:r>
    </w:p>
    <w:p>
      <w:pPr>
        <w:pStyle w:val="style0"/>
        <w:autoSpaceDE w:val="false"/>
        <w:spacing w:after="0" w:before="0" w:line="240" w:lineRule="auto"/>
        <w:ind w:hanging="567" w:left="567" w:right="0"/>
        <w:jc w:val="both"/>
      </w:pPr>
      <w:r>
        <w:rPr>
          <w:rFonts w:ascii="Arial" w:cs="Arial" w:hAnsi="Arial"/>
          <w:color w:val="000000"/>
          <w:sz w:val="24"/>
          <w:szCs w:val="24"/>
        </w:rPr>
        <w:t xml:space="preserve">Caldera, R. </w:t>
      </w:r>
      <w:r>
        <w:rPr>
          <w:rFonts w:ascii="Arial" w:cs="Arial" w:hAnsi="Arial"/>
          <w:b/>
          <w:i/>
          <w:color w:val="000000"/>
          <w:sz w:val="24"/>
          <w:szCs w:val="24"/>
        </w:rPr>
        <w:t>Planeación Estratégica de Recursos Humanos</w:t>
      </w:r>
      <w:r>
        <w:rPr>
          <w:rFonts w:ascii="Arial" w:cs="Arial" w:hAnsi="Arial"/>
          <w:color w:val="000000"/>
          <w:sz w:val="24"/>
          <w:szCs w:val="24"/>
        </w:rPr>
        <w:t xml:space="preserve">. Estrategika-Consultoria, S.A Conceptos y Teoría sobre Planeación Efectiva de Recursos Humanos Diciembre 2004 </w:t>
      </w:r>
    </w:p>
    <w:p>
      <w:pPr>
        <w:pStyle w:val="style0"/>
        <w:autoSpaceDE w:val="false"/>
        <w:spacing w:after="0" w:before="0" w:line="240" w:lineRule="auto"/>
        <w:ind w:hanging="567" w:left="567" w:right="0"/>
        <w:jc w:val="both"/>
      </w:pPr>
      <w:r>
        <w:rPr>
          <w:rFonts w:ascii="Arial" w:cs="Arial" w:hAnsi="Arial"/>
          <w:color w:val="000000"/>
          <w:sz w:val="24"/>
          <w:szCs w:val="24"/>
        </w:rPr>
      </w:r>
    </w:p>
    <w:p>
      <w:pPr>
        <w:pStyle w:val="style0"/>
        <w:autoSpaceDE w:val="false"/>
        <w:spacing w:after="0" w:before="0" w:line="240" w:lineRule="auto"/>
        <w:ind w:hanging="567" w:left="567" w:right="0"/>
        <w:jc w:val="both"/>
      </w:pPr>
      <w:r>
        <w:rPr>
          <w:rFonts w:ascii="Arial" w:cs="Arial" w:hAnsi="Arial"/>
          <w:color w:val="000000"/>
          <w:sz w:val="24"/>
          <w:szCs w:val="24"/>
          <w:shd w:fill="FFFFFF" w:val="clear"/>
        </w:rPr>
        <w:t xml:space="preserve">Chase, R.; Jacobs, R. y Aquilano, N. </w:t>
      </w:r>
      <w:r>
        <w:rPr>
          <w:rFonts w:ascii="Arial" w:cs="Arial" w:hAnsi="Arial"/>
          <w:b/>
          <w:i/>
          <w:color w:val="000000"/>
          <w:sz w:val="24"/>
          <w:szCs w:val="24"/>
          <w:shd w:fill="FFFFFF" w:val="clear"/>
        </w:rPr>
        <w:t>Administración de Operaciones</w:t>
      </w:r>
      <w:r>
        <w:rPr>
          <w:rFonts w:ascii="Arial" w:cs="Arial" w:hAnsi="Arial"/>
          <w:color w:val="000000"/>
          <w:sz w:val="24"/>
          <w:szCs w:val="24"/>
          <w:shd w:fill="FFFFFF" w:val="clear"/>
        </w:rPr>
        <w:t>, Producción y Cadena de Suministros. Mc Graw Hil Duodécima Edición, 2000</w:t>
      </w:r>
    </w:p>
    <w:p>
      <w:pPr>
        <w:pStyle w:val="style0"/>
        <w:autoSpaceDE w:val="false"/>
        <w:spacing w:after="0" w:before="0" w:line="240" w:lineRule="auto"/>
        <w:ind w:hanging="567" w:left="567" w:right="0"/>
        <w:jc w:val="both"/>
      </w:pPr>
      <w:r>
        <w:rPr>
          <w:rFonts w:ascii="Arial" w:cs="Arial" w:hAnsi="Arial"/>
          <w:color w:val="000000"/>
          <w:sz w:val="24"/>
          <w:szCs w:val="24"/>
          <w:shd w:fill="FFFFFF" w:val="clear"/>
        </w:rPr>
      </w:r>
    </w:p>
    <w:p>
      <w:pPr>
        <w:pStyle w:val="style0"/>
        <w:autoSpaceDE w:val="false"/>
        <w:spacing w:after="0" w:before="0" w:line="240" w:lineRule="auto"/>
        <w:ind w:hanging="567" w:left="567" w:right="0"/>
        <w:jc w:val="both"/>
      </w:pPr>
      <w:r>
        <w:rPr>
          <w:rFonts w:ascii="Arial" w:cs="Arial" w:hAnsi="Arial"/>
          <w:color w:val="000000"/>
          <w:sz w:val="24"/>
          <w:szCs w:val="24"/>
        </w:rPr>
        <w:t>Chiavenato; I.  Introducción a la Teoría General de la Administración. Séptima Edición 7ª edición  Editora McGraw-Hill.  2004</w:t>
      </w:r>
    </w:p>
    <w:p>
      <w:pPr>
        <w:pStyle w:val="style0"/>
        <w:autoSpaceDE w:val="false"/>
        <w:spacing w:after="0" w:before="0" w:line="240" w:lineRule="auto"/>
        <w:ind w:hanging="567" w:left="567" w:right="0"/>
        <w:jc w:val="both"/>
      </w:pPr>
      <w:r>
        <w:rPr>
          <w:rFonts w:ascii="Arial" w:cs="Arial" w:hAnsi="Arial"/>
          <w:color w:val="000000"/>
          <w:sz w:val="24"/>
          <w:szCs w:val="24"/>
        </w:rPr>
      </w:r>
    </w:p>
    <w:p>
      <w:pPr>
        <w:pStyle w:val="style0"/>
        <w:autoSpaceDE w:val="false"/>
        <w:spacing w:after="0" w:before="0" w:line="240" w:lineRule="auto"/>
        <w:ind w:hanging="567" w:left="567" w:right="0"/>
        <w:jc w:val="both"/>
      </w:pPr>
      <w:r>
        <w:rPr>
          <w:rFonts w:ascii="Arial" w:cs="Arial" w:hAnsi="Arial"/>
          <w:color w:val="000000"/>
          <w:sz w:val="24"/>
          <w:szCs w:val="24"/>
        </w:rPr>
        <w:t>Conesa Fdez.-Vítora Vicente, Auditorías Ambientales – Guía Metodológica. Ediciones Mundi-Prensa, Madrid, (2007)</w:t>
      </w:r>
    </w:p>
    <w:p>
      <w:pPr>
        <w:pStyle w:val="style0"/>
        <w:autoSpaceDE w:val="false"/>
        <w:spacing w:after="0" w:before="0" w:line="240" w:lineRule="auto"/>
        <w:ind w:hanging="567" w:left="567" w:right="0"/>
        <w:jc w:val="both"/>
      </w:pPr>
      <w:r>
        <w:rPr>
          <w:rFonts w:ascii="Arial" w:cs="Arial" w:hAnsi="Arial"/>
          <w:color w:val="000000"/>
          <w:sz w:val="24"/>
          <w:szCs w:val="24"/>
        </w:rPr>
      </w:r>
    </w:p>
    <w:p>
      <w:pPr>
        <w:pStyle w:val="style0"/>
        <w:ind w:hanging="567" w:left="567" w:right="0"/>
        <w:jc w:val="both"/>
      </w:pPr>
      <w:r>
        <w:rPr>
          <w:rFonts w:ascii="Arial" w:cs="Arial" w:hAnsi="Arial"/>
          <w:color w:val="000000"/>
          <w:sz w:val="24"/>
          <w:szCs w:val="24"/>
        </w:rPr>
        <w:t xml:space="preserve">Escalona, A. Jefe de Transporte  del Instituto Universitario de Tecnologia de Yaracuy . 2015 </w:t>
      </w:r>
    </w:p>
    <w:p>
      <w:pPr>
        <w:pStyle w:val="style0"/>
        <w:ind w:hanging="567" w:left="567" w:right="0"/>
        <w:jc w:val="both"/>
      </w:pPr>
      <w:r>
        <w:rPr>
          <w:rFonts w:ascii="Arial" w:cs="Arial" w:hAnsi="Arial"/>
          <w:color w:val="000000"/>
          <w:sz w:val="24"/>
          <w:szCs w:val="24"/>
        </w:rPr>
        <w:t xml:space="preserve">Fayol, H. </w:t>
      </w:r>
      <w:r>
        <w:rPr>
          <w:rFonts w:ascii="Arial" w:cs="Arial" w:hAnsi="Arial"/>
          <w:b/>
          <w:i/>
          <w:color w:val="000000"/>
          <w:sz w:val="24"/>
          <w:szCs w:val="24"/>
        </w:rPr>
        <w:t>Elaborar  un Plan y Asegura el Éxitos</w:t>
      </w:r>
      <w:r>
        <w:rPr>
          <w:rFonts w:ascii="Arial" w:cs="Arial" w:hAnsi="Arial"/>
          <w:color w:val="000000"/>
          <w:sz w:val="24"/>
          <w:szCs w:val="24"/>
        </w:rPr>
        <w:t xml:space="preserve">. Paris 1916 </w:t>
      </w:r>
    </w:p>
    <w:p>
      <w:pPr>
        <w:pStyle w:val="style0"/>
        <w:ind w:hanging="567" w:left="567" w:right="0"/>
        <w:jc w:val="both"/>
      </w:pPr>
      <w:r>
        <w:rPr>
          <w:rFonts w:ascii="Arial" w:cs="Arial" w:hAnsi="Arial"/>
          <w:color w:val="000000"/>
          <w:sz w:val="24"/>
          <w:szCs w:val="24"/>
          <w:shd w:fill="FFFFFF" w:val="clear"/>
        </w:rPr>
        <w:t xml:space="preserve">Farías, E. </w:t>
      </w:r>
      <w:r>
        <w:rPr>
          <w:rFonts w:ascii="Arial" w:cs="Arial" w:hAnsi="Arial"/>
          <w:b/>
          <w:i/>
          <w:color w:val="000000"/>
          <w:sz w:val="24"/>
          <w:szCs w:val="24"/>
          <w:shd w:fill="FFFFFF" w:val="clear"/>
        </w:rPr>
        <w:t>Procesos Administrativos</w:t>
      </w:r>
      <w:r>
        <w:rPr>
          <w:rFonts w:ascii="Arial" w:cs="Arial" w:hAnsi="Arial"/>
          <w:color w:val="000000"/>
          <w:sz w:val="24"/>
          <w:szCs w:val="24"/>
          <w:shd w:fill="FFFFFF" w:val="clear"/>
        </w:rPr>
        <w:t>. 2003</w:t>
      </w:r>
    </w:p>
    <w:p>
      <w:pPr>
        <w:pStyle w:val="style0"/>
        <w:ind w:hanging="567" w:left="567" w:right="0"/>
        <w:jc w:val="both"/>
      </w:pPr>
      <w:r>
        <w:rPr>
          <w:rFonts w:ascii="Arial" w:cs="Arial" w:hAnsi="Arial"/>
          <w:color w:val="000000"/>
          <w:sz w:val="24"/>
          <w:szCs w:val="24"/>
        </w:rPr>
        <w:t xml:space="preserve">Gallardo, E. </w:t>
      </w:r>
      <w:r>
        <w:rPr>
          <w:rFonts w:ascii="Arial" w:cs="Arial" w:hAnsi="Arial"/>
          <w:b/>
          <w:i/>
          <w:color w:val="000000"/>
          <w:sz w:val="24"/>
          <w:szCs w:val="24"/>
        </w:rPr>
        <w:t>Fundamento de la Administración.</w:t>
      </w:r>
      <w:r>
        <w:rPr>
          <w:rFonts w:ascii="Arial" w:cs="Arial" w:hAnsi="Arial"/>
          <w:i/>
          <w:color w:val="000000"/>
          <w:sz w:val="24"/>
          <w:szCs w:val="24"/>
        </w:rPr>
        <w:t xml:space="preserve"> </w:t>
      </w:r>
      <w:r>
        <w:rPr>
          <w:rFonts w:ascii="Arial" w:cs="Arial" w:hAnsi="Arial"/>
          <w:color w:val="000000"/>
          <w:sz w:val="24"/>
          <w:szCs w:val="24"/>
        </w:rPr>
        <w:t xml:space="preserve">Departamento de Economía y Organización de Empresa. 2011 </w:t>
      </w:r>
    </w:p>
    <w:p>
      <w:pPr>
        <w:pStyle w:val="style0"/>
        <w:ind w:hanging="567" w:left="567" w:right="0"/>
        <w:jc w:val="both"/>
      </w:pPr>
      <w:r>
        <w:rPr>
          <w:rFonts w:ascii="Arial" w:cs="Arial" w:eastAsia="Times New Roman" w:hAnsi="Arial"/>
          <w:color w:val="000000"/>
          <w:sz w:val="24"/>
          <w:szCs w:val="24"/>
          <w:lang w:eastAsia="es-ES"/>
        </w:rPr>
        <w:t>Greenpace</w:t>
      </w:r>
      <w:r>
        <w:rPr>
          <w:rFonts w:ascii="Arial" w:cs="Arial" w:eastAsia="Times New Roman" w:hAnsi="Arial"/>
          <w:b/>
          <w:i/>
          <w:color w:val="000000"/>
          <w:sz w:val="24"/>
          <w:szCs w:val="24"/>
          <w:lang w:eastAsia="es-ES"/>
        </w:rPr>
        <w:t>.   Regla para el Cuidado del Medio Ambiente</w:t>
      </w:r>
      <w:r>
        <w:rPr>
          <w:rFonts w:ascii="Arial" w:cs="Arial" w:eastAsia="Times New Roman" w:hAnsi="Arial"/>
          <w:color w:val="000000"/>
          <w:sz w:val="24"/>
          <w:szCs w:val="24"/>
          <w:lang w:eastAsia="es-ES"/>
        </w:rPr>
        <w:t>. 2006</w:t>
      </w:r>
    </w:p>
    <w:p>
      <w:pPr>
        <w:pStyle w:val="style0"/>
        <w:ind w:hanging="567" w:left="567" w:right="0"/>
        <w:jc w:val="both"/>
      </w:pPr>
      <w:r>
        <w:rPr>
          <w:rFonts w:ascii="Arial" w:cs="Arial" w:hAnsi="Arial"/>
          <w:color w:val="000000"/>
          <w:sz w:val="24"/>
          <w:szCs w:val="24"/>
          <w:shd w:fill="FFFFFF" w:val="clear"/>
        </w:rPr>
        <w:t xml:space="preserve">Giannuzzo, A. Los Estudios Sobre el Ambiente y la Ciencia Ambiental. </w:t>
      </w:r>
      <w:hyperlink r:id="rId62">
        <w:r>
          <w:rPr>
            <w:rStyle w:val="style148"/>
            <w:rStyle w:val="style148"/>
            <w:rFonts w:ascii="Arial" w:cs="Arial" w:hAnsi="Arial"/>
            <w:color w:val="000000"/>
            <w:sz w:val="24"/>
            <w:szCs w:val="24"/>
          </w:rPr>
          <w:t>Scientiae Studia</w:t>
        </w:r>
      </w:hyperlink>
      <w:r>
        <w:rPr>
          <w:rFonts w:ascii="Arial" w:cs="Arial" w:hAnsi="Arial"/>
          <w:color w:val="000000"/>
          <w:sz w:val="24"/>
          <w:szCs w:val="24"/>
        </w:rPr>
        <w:t xml:space="preserve"> </w:t>
      </w:r>
      <w:r>
        <w:rPr>
          <w:rStyle w:val="style151"/>
          <w:rFonts w:ascii="Arial" w:cs="Arial" w:hAnsi="Arial"/>
          <w:color w:val="000000"/>
          <w:sz w:val="24"/>
          <w:szCs w:val="24"/>
        </w:rPr>
        <w:t>Print</w:t>
      </w:r>
      <w:r>
        <w:rPr>
          <w:rStyle w:val="style151"/>
          <w:rFonts w:ascii="Arial" w:cs="Arial" w:hAnsi="Arial"/>
          <w:b/>
          <w:bCs/>
          <w:color w:val="000000"/>
          <w:sz w:val="24"/>
          <w:szCs w:val="24"/>
        </w:rPr>
        <w:t xml:space="preserve"> versión </w:t>
      </w:r>
      <w:r>
        <w:rPr>
          <w:rFonts w:ascii="Arial" w:cs="Arial" w:hAnsi="Arial"/>
          <w:color w:val="000000"/>
          <w:sz w:val="24"/>
          <w:szCs w:val="24"/>
        </w:rPr>
        <w:t> ISSN</w:t>
      </w:r>
      <w:r>
        <w:rPr>
          <w:rStyle w:val="style147"/>
          <w:rFonts w:ascii="Arial" w:cs="Arial" w:hAnsi="Arial"/>
          <w:color w:val="000000"/>
          <w:sz w:val="24"/>
          <w:szCs w:val="24"/>
        </w:rPr>
        <w:t> </w:t>
      </w:r>
      <w:r>
        <w:rPr>
          <w:rFonts w:ascii="Arial" w:cs="Arial" w:hAnsi="Arial"/>
          <w:color w:val="000000"/>
          <w:sz w:val="24"/>
          <w:szCs w:val="24"/>
        </w:rPr>
        <w:t>1678-3166 Sci. Stud.  vol.8 no.1 São Paulo  Jan./Mar. 2010</w:t>
      </w:r>
    </w:p>
    <w:p>
      <w:pPr>
        <w:pStyle w:val="style0"/>
        <w:ind w:hanging="567" w:left="567" w:right="0"/>
        <w:jc w:val="both"/>
      </w:pPr>
      <w:r>
        <w:rPr>
          <w:rFonts w:ascii="Arial" w:cs="Arial" w:hAnsi="Arial"/>
          <w:color w:val="000000"/>
          <w:sz w:val="24"/>
          <w:szCs w:val="24"/>
        </w:rPr>
        <w:t xml:space="preserve">Gitman, L. </w:t>
      </w:r>
      <w:r>
        <w:rPr>
          <w:rFonts w:ascii="Arial" w:cs="Arial" w:hAnsi="Arial"/>
          <w:b/>
          <w:i/>
          <w:color w:val="000000"/>
          <w:sz w:val="24"/>
          <w:szCs w:val="24"/>
        </w:rPr>
        <w:t>Principios de Administración Financiera</w:t>
      </w:r>
      <w:r>
        <w:rPr>
          <w:rFonts w:ascii="Arial" w:cs="Arial" w:hAnsi="Arial"/>
          <w:color w:val="000000"/>
          <w:sz w:val="24"/>
          <w:szCs w:val="24"/>
        </w:rPr>
        <w:t>. México. Editorial Pearson Educación. 2007.</w:t>
      </w:r>
    </w:p>
    <w:p>
      <w:pPr>
        <w:pStyle w:val="style190"/>
        <w:ind w:hanging="567" w:left="567" w:right="0"/>
        <w:jc w:val="both"/>
      </w:pPr>
      <w:r>
        <w:rPr>
          <w:rFonts w:ascii="Arial" w:cs="Arial" w:hAnsi="Arial"/>
          <w:color w:val="000000"/>
          <w:sz w:val="24"/>
          <w:szCs w:val="24"/>
        </w:rPr>
        <w:t xml:space="preserve">Guerrero, O. </w:t>
      </w:r>
      <w:r>
        <w:rPr>
          <w:rFonts w:ascii="Arial" w:cs="Arial" w:hAnsi="Arial"/>
          <w:b/>
          <w:i/>
          <w:color w:val="000000"/>
          <w:sz w:val="24"/>
          <w:szCs w:val="24"/>
        </w:rPr>
        <w:t>Principios de Administración Pública</w:t>
      </w:r>
      <w:r>
        <w:rPr>
          <w:rFonts w:ascii="Arial" w:cs="Arial" w:hAnsi="Arial"/>
          <w:b/>
          <w:color w:val="000000"/>
          <w:sz w:val="24"/>
          <w:szCs w:val="24"/>
        </w:rPr>
        <w:t>,</w:t>
      </w:r>
      <w:r>
        <w:rPr>
          <w:rFonts w:ascii="Arial" w:cs="Arial" w:hAnsi="Arial"/>
          <w:color w:val="000000"/>
          <w:sz w:val="24"/>
          <w:szCs w:val="24"/>
        </w:rPr>
        <w:t xml:space="preserve"> ESAP • Santa Fe de Bogotá, Septiembre 8 de 1997</w:t>
      </w:r>
    </w:p>
    <w:p>
      <w:pPr>
        <w:pStyle w:val="style0"/>
        <w:autoSpaceDE w:val="false"/>
        <w:spacing w:after="0" w:before="0" w:line="240" w:lineRule="auto"/>
        <w:ind w:hanging="567" w:left="567" w:right="0"/>
        <w:jc w:val="both"/>
      </w:pPr>
      <w:r>
        <w:rPr>
          <w:rFonts w:ascii="Arial" w:cs="Arial" w:hAnsi="Arial"/>
          <w:color w:val="000000"/>
          <w:sz w:val="24"/>
          <w:szCs w:val="24"/>
        </w:rPr>
        <w:t xml:space="preserve">Hernandez, R., Fernández, C., y Baptista,Pilar. (1991). </w:t>
      </w:r>
      <w:r>
        <w:rPr>
          <w:rFonts w:ascii="Arial" w:cs="Arial" w:hAnsi="Arial"/>
          <w:b/>
          <w:i/>
          <w:color w:val="000000"/>
          <w:sz w:val="24"/>
          <w:szCs w:val="24"/>
        </w:rPr>
        <w:t>Metodología de la Investigación</w:t>
      </w:r>
      <w:r>
        <w:rPr>
          <w:rFonts w:ascii="Arial" w:cs="Arial" w:hAnsi="Arial"/>
          <w:b/>
          <w:color w:val="000000"/>
          <w:sz w:val="24"/>
          <w:szCs w:val="24"/>
        </w:rPr>
        <w:t xml:space="preserve"> </w:t>
      </w:r>
      <w:r>
        <w:rPr>
          <w:rFonts w:ascii="Arial" w:cs="Arial" w:hAnsi="Arial"/>
          <w:color w:val="000000"/>
          <w:sz w:val="24"/>
          <w:szCs w:val="24"/>
        </w:rPr>
        <w:t>(2ª ed). Mexico: MGraw-Hill.p. 215 – 216.</w:t>
      </w:r>
    </w:p>
    <w:p>
      <w:pPr>
        <w:pStyle w:val="style0"/>
        <w:autoSpaceDE w:val="false"/>
        <w:spacing w:after="0" w:before="0" w:line="240" w:lineRule="auto"/>
        <w:ind w:hanging="567" w:left="567" w:right="0"/>
        <w:jc w:val="both"/>
      </w:pPr>
      <w:r>
        <w:rPr>
          <w:rFonts w:ascii="Arial" w:cs="Arial" w:hAnsi="Arial"/>
          <w:color w:val="000000"/>
          <w:sz w:val="24"/>
          <w:szCs w:val="24"/>
        </w:rPr>
      </w:r>
    </w:p>
    <w:p>
      <w:pPr>
        <w:pStyle w:val="style0"/>
        <w:autoSpaceDE w:val="false"/>
        <w:spacing w:after="0" w:before="0" w:line="240" w:lineRule="auto"/>
        <w:ind w:hanging="567" w:left="567" w:right="0"/>
        <w:jc w:val="both"/>
      </w:pPr>
      <w:r>
        <w:rPr>
          <w:rFonts w:ascii="Arial" w:cs="Arial" w:hAnsi="Arial"/>
          <w:color w:val="000000"/>
          <w:sz w:val="24"/>
          <w:szCs w:val="24"/>
        </w:rPr>
        <w:t xml:space="preserve">Hernández, R., Fernández, C., y Baptista, Pilar. (2006). </w:t>
      </w:r>
      <w:r>
        <w:rPr>
          <w:rFonts w:ascii="Arial" w:cs="Arial" w:hAnsi="Arial"/>
          <w:b/>
          <w:i/>
          <w:color w:val="000000"/>
          <w:sz w:val="24"/>
          <w:szCs w:val="24"/>
        </w:rPr>
        <w:t>Metodología de la Investigación</w:t>
      </w:r>
      <w:r>
        <w:rPr>
          <w:rFonts w:ascii="Arial" w:cs="Arial" w:hAnsi="Arial"/>
          <w:b/>
          <w:color w:val="000000"/>
          <w:sz w:val="24"/>
          <w:szCs w:val="24"/>
        </w:rPr>
        <w:t xml:space="preserve"> </w:t>
      </w:r>
      <w:r>
        <w:rPr>
          <w:rFonts w:ascii="Arial" w:cs="Arial" w:hAnsi="Arial"/>
          <w:color w:val="000000"/>
          <w:sz w:val="24"/>
          <w:szCs w:val="24"/>
        </w:rPr>
        <w:t>(2ª ed). México: MGraw-Hill.</w:t>
      </w:r>
    </w:p>
    <w:p>
      <w:pPr>
        <w:pStyle w:val="style0"/>
        <w:autoSpaceDE w:val="false"/>
        <w:spacing w:after="0" w:before="0" w:line="240" w:lineRule="auto"/>
        <w:ind w:hanging="567" w:left="567" w:right="0"/>
        <w:jc w:val="both"/>
      </w:pPr>
      <w:r>
        <w:rPr>
          <w:rFonts w:ascii="Arial" w:cs="Arial" w:hAnsi="Arial"/>
          <w:color w:val="000000"/>
          <w:sz w:val="24"/>
          <w:szCs w:val="24"/>
        </w:rPr>
      </w:r>
    </w:p>
    <w:p>
      <w:pPr>
        <w:pStyle w:val="style0"/>
        <w:autoSpaceDE w:val="false"/>
        <w:spacing w:after="0" w:before="0" w:line="240" w:lineRule="auto"/>
        <w:ind w:hanging="567" w:left="567" w:right="0"/>
        <w:jc w:val="both"/>
      </w:pPr>
      <w:r>
        <w:rPr>
          <w:rFonts w:ascii="Arial" w:cs="Arial" w:hAnsi="Arial"/>
          <w:color w:val="000000"/>
          <w:sz w:val="24"/>
          <w:szCs w:val="24"/>
        </w:rPr>
        <w:t xml:space="preserve">Hiebing, Román G. </w:t>
      </w:r>
      <w:r>
        <w:rPr>
          <w:rFonts w:ascii="Arial" w:cs="Arial" w:eastAsia="Times New Roman" w:hAnsi="Arial"/>
          <w:b/>
          <w:color w:val="000000"/>
          <w:sz w:val="24"/>
          <w:szCs w:val="24"/>
          <w:lang w:eastAsia="es-ES"/>
        </w:rPr>
        <w:t>Cómo preparar el exitoso plan de mercadotecnia</w:t>
      </w:r>
      <w:r>
        <w:rPr>
          <w:rFonts w:ascii="Arial" w:cs="Arial" w:eastAsia="Times New Roman" w:hAnsi="Arial"/>
          <w:color w:val="000000"/>
          <w:sz w:val="24"/>
          <w:szCs w:val="24"/>
          <w:lang w:eastAsia="es-ES"/>
        </w:rPr>
        <w:t>. México: McGraw-Hill Interamericana, 1992</w:t>
      </w:r>
    </w:p>
    <w:p>
      <w:pPr>
        <w:pStyle w:val="style0"/>
        <w:autoSpaceDE w:val="false"/>
        <w:spacing w:after="0" w:before="0" w:line="240" w:lineRule="auto"/>
        <w:ind w:hanging="567" w:left="567" w:right="0"/>
        <w:jc w:val="both"/>
      </w:pPr>
      <w:r>
        <w:rPr>
          <w:rFonts w:ascii="Arial" w:cs="Arial" w:hAnsi="Arial"/>
          <w:color w:val="000000"/>
          <w:sz w:val="24"/>
          <w:szCs w:val="24"/>
        </w:rPr>
      </w:r>
    </w:p>
    <w:p>
      <w:pPr>
        <w:pStyle w:val="style0"/>
        <w:spacing w:line="240" w:lineRule="auto"/>
        <w:ind w:hanging="567" w:left="567" w:right="0"/>
        <w:jc w:val="both"/>
      </w:pPr>
      <w:r>
        <w:rPr>
          <w:rFonts w:ascii="Arial" w:cs="Arial" w:hAnsi="Arial"/>
          <w:color w:val="000000"/>
          <w:sz w:val="24"/>
          <w:szCs w:val="24"/>
          <w:lang w:val="es-MX"/>
        </w:rPr>
        <w:t xml:space="preserve">Hurtado, J., (1999). </w:t>
      </w:r>
      <w:r>
        <w:rPr>
          <w:rFonts w:ascii="Arial" w:cs="Arial" w:hAnsi="Arial"/>
          <w:b/>
          <w:i/>
          <w:color w:val="000000"/>
          <w:sz w:val="24"/>
          <w:szCs w:val="24"/>
          <w:lang w:val="es-MX"/>
        </w:rPr>
        <w:t>Investigación holística.</w:t>
      </w:r>
      <w:r>
        <w:rPr>
          <w:rFonts w:ascii="Arial" w:cs="Arial" w:hAnsi="Arial"/>
          <w:color w:val="000000"/>
          <w:sz w:val="24"/>
          <w:szCs w:val="24"/>
          <w:lang w:val="es-MX"/>
        </w:rPr>
        <w:t xml:space="preserve"> Conicit, Fundacite, Sypal, Instituto Universitario de Tecnología de Caripito. Caracas, Venezuela. 27 y 28 de mayo</w:t>
      </w:r>
    </w:p>
    <w:p>
      <w:pPr>
        <w:pStyle w:val="style0"/>
        <w:ind w:hanging="567" w:left="567" w:right="0"/>
        <w:jc w:val="both"/>
      </w:pPr>
      <w:r>
        <w:rPr>
          <w:rFonts w:ascii="Arial" w:cs="Arial" w:hAnsi="Arial"/>
          <w:color w:val="000000"/>
          <w:sz w:val="24"/>
          <w:szCs w:val="24"/>
        </w:rPr>
        <w:t xml:space="preserve">I Conferencia de las Naciones Unidas. </w:t>
      </w:r>
      <w:r>
        <w:rPr>
          <w:rFonts w:ascii="Arial" w:cs="Arial" w:hAnsi="Arial"/>
          <w:b/>
          <w:i/>
          <w:color w:val="000000"/>
          <w:sz w:val="24"/>
          <w:szCs w:val="24"/>
        </w:rPr>
        <w:t>Medioambiente Humano</w:t>
      </w:r>
      <w:r>
        <w:rPr>
          <w:rFonts w:ascii="Arial" w:cs="Arial" w:hAnsi="Arial"/>
          <w:color w:val="000000"/>
          <w:sz w:val="24"/>
          <w:szCs w:val="24"/>
        </w:rPr>
        <w:t>. Estocolmo (1972).</w:t>
      </w:r>
    </w:p>
    <w:p>
      <w:pPr>
        <w:pStyle w:val="style190"/>
        <w:ind w:hanging="567" w:left="567" w:right="0"/>
        <w:jc w:val="both"/>
      </w:pPr>
      <w:r>
        <w:rPr>
          <w:rFonts w:ascii="Arial" w:cs="Arial" w:hAnsi="Arial"/>
          <w:color w:val="000000"/>
          <w:sz w:val="24"/>
          <w:szCs w:val="24"/>
          <w:shd w:fill="FFFFFF" w:val="clear"/>
        </w:rPr>
        <w:t>Koontz, H. y Heinz W.</w:t>
      </w:r>
      <w:r>
        <w:rPr>
          <w:rFonts w:ascii="Arial" w:cs="Arial" w:hAnsi="Arial"/>
          <w:b/>
          <w:bCs/>
          <w:color w:val="000000"/>
          <w:sz w:val="24"/>
          <w:szCs w:val="24"/>
          <w:shd w:fill="FFFFFF" w:val="clear"/>
        </w:rPr>
        <w:t xml:space="preserve"> </w:t>
      </w:r>
      <w:r>
        <w:rPr>
          <w:rFonts w:ascii="Arial" w:cs="Arial" w:hAnsi="Arial"/>
          <w:b/>
          <w:bCs/>
          <w:i/>
          <w:color w:val="000000"/>
          <w:sz w:val="24"/>
          <w:szCs w:val="24"/>
          <w:shd w:fill="FFFFFF" w:val="clear"/>
        </w:rPr>
        <w:t>ADMINISTRACION UNA PERSPECTIVA GLOBAL</w:t>
      </w:r>
      <w:r>
        <w:rPr>
          <w:rFonts w:ascii="Arial" w:cs="Arial" w:hAnsi="Arial"/>
          <w:color w:val="000000"/>
          <w:sz w:val="24"/>
          <w:szCs w:val="24"/>
          <w:shd w:fill="FFFFFF" w:val="clear"/>
        </w:rPr>
        <w:t xml:space="preserve"> Chile. 2003 </w:t>
      </w:r>
    </w:p>
    <w:p>
      <w:pPr>
        <w:pStyle w:val="style190"/>
        <w:ind w:hanging="567" w:left="567" w:right="0"/>
        <w:jc w:val="both"/>
      </w:pPr>
      <w:r>
        <w:rPr>
          <w:rFonts w:ascii="Arial" w:cs="Arial" w:hAnsi="Arial"/>
          <w:color w:val="000000"/>
          <w:sz w:val="24"/>
          <w:szCs w:val="24"/>
        </w:rPr>
        <w:t xml:space="preserve">López, E. (2012). </w:t>
      </w:r>
      <w:r>
        <w:rPr>
          <w:rFonts w:ascii="Arial" w:cs="Arial" w:hAnsi="Arial"/>
          <w:color w:val="000000"/>
          <w:sz w:val="24"/>
          <w:szCs w:val="24"/>
          <w:shd w:fill="FFFFFF" w:val="clear"/>
        </w:rPr>
        <w:t xml:space="preserve"> </w:t>
      </w:r>
      <w:r>
        <w:rPr>
          <w:rFonts w:ascii="Arial" w:cs="Arial" w:hAnsi="Arial"/>
          <w:b/>
          <w:i/>
          <w:color w:val="000000"/>
          <w:sz w:val="24"/>
          <w:szCs w:val="24"/>
        </w:rPr>
        <w:t>Gerencia Ambiental y Cultura de Reciclaje en los Centros Comerciales</w:t>
      </w:r>
      <w:r>
        <w:rPr>
          <w:rFonts w:ascii="Arial" w:cs="Arial" w:hAnsi="Arial"/>
          <w:b/>
          <w:color w:val="000000"/>
          <w:sz w:val="24"/>
          <w:szCs w:val="24"/>
        </w:rPr>
        <w:t xml:space="preserve">. </w:t>
      </w:r>
      <w:r>
        <w:rPr>
          <w:rFonts w:ascii="Arial" w:cs="Arial" w:hAnsi="Arial"/>
          <w:color w:val="000000"/>
          <w:sz w:val="24"/>
          <w:szCs w:val="24"/>
        </w:rPr>
        <w:t>Tesis Grado Doctoral de la Universidad Dr. Rafael Belloso Chacín. Venezuela 2012</w:t>
      </w:r>
    </w:p>
    <w:p>
      <w:pPr>
        <w:pStyle w:val="style190"/>
        <w:ind w:hanging="567" w:left="567" w:right="0"/>
        <w:jc w:val="both"/>
      </w:pPr>
      <w:r>
        <w:rPr>
          <w:rFonts w:ascii="Arial" w:cs="Arial" w:hAnsi="Arial"/>
          <w:color w:val="000000"/>
          <w:sz w:val="24"/>
          <w:szCs w:val="24"/>
        </w:rPr>
        <w:t>Loppacher</w:t>
      </w:r>
      <w:r>
        <w:rPr>
          <w:rFonts w:ascii="Arial" w:cs="Arial" w:hAnsi="Arial"/>
          <w:b/>
          <w:color w:val="000000"/>
          <w:sz w:val="24"/>
          <w:szCs w:val="24"/>
        </w:rPr>
        <w:t xml:space="preserve">, </w:t>
      </w:r>
      <w:r>
        <w:rPr>
          <w:rFonts w:ascii="Arial" w:cs="Arial" w:hAnsi="Arial"/>
          <w:color w:val="000000"/>
          <w:sz w:val="24"/>
          <w:szCs w:val="24"/>
        </w:rPr>
        <w:t>O</w:t>
      </w:r>
      <w:r>
        <w:rPr>
          <w:rFonts w:ascii="Arial" w:cs="Arial" w:hAnsi="Arial"/>
          <w:b/>
          <w:color w:val="000000"/>
          <w:sz w:val="24"/>
          <w:szCs w:val="24"/>
        </w:rPr>
        <w:t xml:space="preserve"> </w:t>
      </w:r>
      <w:r>
        <w:rPr>
          <w:rFonts w:ascii="Arial" w:cs="Arial" w:hAnsi="Arial"/>
          <w:color w:val="000000"/>
          <w:sz w:val="24"/>
          <w:szCs w:val="24"/>
        </w:rPr>
        <w:t xml:space="preserve">(2011). </w:t>
      </w:r>
      <w:r>
        <w:rPr>
          <w:rFonts w:ascii="Arial" w:cs="Arial" w:hAnsi="Arial"/>
          <w:b/>
          <w:i/>
          <w:color w:val="000000"/>
          <w:sz w:val="24"/>
          <w:szCs w:val="24"/>
        </w:rPr>
        <w:t>La Comunicación Ambiental en Reciclado de Envases de Aluminio por parte de los Adolescentes: Talleres Educativos y Mensajes SMS</w:t>
      </w:r>
      <w:r>
        <w:rPr>
          <w:rFonts w:ascii="Arial" w:cs="Arial" w:hAnsi="Arial"/>
          <w:color w:val="000000"/>
          <w:sz w:val="24"/>
          <w:szCs w:val="24"/>
        </w:rPr>
        <w:t xml:space="preserve"> Tesis Grado Doctoral de la Universidad Internacional de Catalunya (UIC) Barcelona  2011</w:t>
      </w:r>
    </w:p>
    <w:p>
      <w:pPr>
        <w:pStyle w:val="style190"/>
        <w:ind w:hanging="567" w:left="567" w:right="0"/>
        <w:jc w:val="both"/>
      </w:pPr>
      <w:r>
        <w:rPr>
          <w:rFonts w:ascii="Arial" w:cs="Arial" w:hAnsi="Arial"/>
          <w:b/>
          <w:bCs/>
          <w:i/>
          <w:color w:val="000000"/>
          <w:sz w:val="24"/>
          <w:szCs w:val="24"/>
        </w:rPr>
        <w:t>Manual de Trabajo Especial de Grado de la UPEL</w:t>
      </w:r>
      <w:r>
        <w:rPr>
          <w:rFonts w:ascii="Arial" w:cs="Arial" w:hAnsi="Arial"/>
          <w:bCs/>
          <w:color w:val="000000"/>
          <w:sz w:val="24"/>
          <w:szCs w:val="24"/>
        </w:rPr>
        <w:t xml:space="preserve">. Caracas.  2006 </w:t>
      </w:r>
    </w:p>
    <w:p>
      <w:pPr>
        <w:pStyle w:val="style190"/>
        <w:ind w:hanging="567" w:left="567" w:right="0"/>
        <w:jc w:val="both"/>
      </w:pPr>
      <w:r>
        <w:rPr>
          <w:rFonts w:ascii="Arial" w:cs="Arial" w:hAnsi="Arial"/>
          <w:b/>
          <w:bCs/>
          <w:i/>
          <w:color w:val="000000"/>
          <w:sz w:val="24"/>
          <w:szCs w:val="24"/>
        </w:rPr>
        <w:t>Manual de Normas y Procedimientos para el Registro y Control de los Bienes Nacionales de los Institutos y Colegios Universitarios</w:t>
      </w:r>
      <w:r>
        <w:rPr>
          <w:rFonts w:ascii="Arial" w:cs="Arial" w:hAnsi="Arial"/>
          <w:bCs/>
          <w:color w:val="000000"/>
          <w:sz w:val="24"/>
          <w:szCs w:val="24"/>
        </w:rPr>
        <w:t xml:space="preserve">  2007</w:t>
      </w:r>
    </w:p>
    <w:p>
      <w:pPr>
        <w:pStyle w:val="style0"/>
        <w:autoSpaceDE w:val="false"/>
        <w:spacing w:after="0" w:before="0" w:line="240" w:lineRule="auto"/>
        <w:ind w:hanging="567" w:left="567" w:right="0"/>
        <w:jc w:val="both"/>
      </w:pPr>
      <w:r>
        <w:rPr>
          <w:rFonts w:ascii="Arial" w:cs="Arial" w:hAnsi="Arial"/>
          <w:bCs/>
          <w:color w:val="000000"/>
          <w:sz w:val="24"/>
          <w:szCs w:val="24"/>
        </w:rPr>
        <w:t>Maldonado, M.</w:t>
      </w:r>
      <w:r>
        <w:rPr>
          <w:rFonts w:ascii="Arial" w:cs="Arial" w:hAnsi="Arial"/>
          <w:b/>
          <w:bCs/>
          <w:color w:val="000000"/>
          <w:sz w:val="24"/>
          <w:szCs w:val="24"/>
        </w:rPr>
        <w:t xml:space="preserve"> </w:t>
      </w:r>
      <w:r>
        <w:rPr>
          <w:rFonts w:ascii="Arial" w:cs="Arial" w:hAnsi="Arial"/>
          <w:b/>
          <w:bCs/>
          <w:i/>
          <w:color w:val="000000"/>
          <w:sz w:val="24"/>
          <w:szCs w:val="24"/>
        </w:rPr>
        <w:t xml:space="preserve">Proceso Administrativo. </w:t>
      </w:r>
      <w:r>
        <w:rPr>
          <w:rFonts w:ascii="Arial" w:cs="Arial" w:hAnsi="Arial"/>
          <w:bCs/>
          <w:i/>
          <w:color w:val="000000"/>
          <w:sz w:val="24"/>
          <w:szCs w:val="24"/>
        </w:rPr>
        <w:t>2014</w:t>
      </w:r>
    </w:p>
    <w:p>
      <w:pPr>
        <w:pStyle w:val="style0"/>
        <w:autoSpaceDE w:val="false"/>
        <w:spacing w:after="0" w:before="0" w:line="240" w:lineRule="auto"/>
        <w:ind w:hanging="567" w:left="567" w:right="0"/>
        <w:jc w:val="both"/>
      </w:pPr>
      <w:r>
        <w:rPr>
          <w:rFonts w:ascii="Arial" w:cs="Arial" w:hAnsi="Arial"/>
          <w:bCs/>
          <w:i/>
          <w:color w:val="000000"/>
          <w:sz w:val="24"/>
          <w:szCs w:val="24"/>
        </w:rPr>
      </w:r>
    </w:p>
    <w:p>
      <w:pPr>
        <w:pStyle w:val="style0"/>
        <w:autoSpaceDE w:val="false"/>
        <w:spacing w:after="0" w:before="0" w:line="240" w:lineRule="auto"/>
        <w:ind w:hanging="567" w:left="567" w:right="0"/>
        <w:jc w:val="both"/>
      </w:pPr>
      <w:r>
        <w:rPr>
          <w:rFonts w:ascii="Arial" w:cs="Arial" w:hAnsi="Arial"/>
          <w:color w:val="000000"/>
          <w:sz w:val="24"/>
          <w:szCs w:val="24"/>
        </w:rPr>
        <w:t>M</w:t>
      </w:r>
      <w:r>
        <w:rPr>
          <w:rFonts w:ascii="Arial" w:cs="Arial" w:hAnsi="Arial"/>
          <w:bCs/>
          <w:color w:val="000000"/>
          <w:sz w:val="24"/>
          <w:szCs w:val="24"/>
        </w:rPr>
        <w:t>alave, N</w:t>
      </w:r>
      <w:r>
        <w:rPr>
          <w:rFonts w:ascii="Arial" w:cs="Arial" w:hAnsi="Arial"/>
          <w:b/>
          <w:bCs/>
          <w:color w:val="000000"/>
          <w:sz w:val="24"/>
          <w:szCs w:val="24"/>
        </w:rPr>
        <w:t xml:space="preserve">. Trabajo Modelo para Enfoques de Investigación Acción Participativa Programas Nacionales de Formación. Escala Tipo Likert. </w:t>
      </w:r>
      <w:r>
        <w:rPr>
          <w:rFonts w:ascii="Arial" w:cs="Arial" w:hAnsi="Arial"/>
          <w:bCs/>
          <w:color w:val="000000"/>
          <w:sz w:val="24"/>
          <w:szCs w:val="24"/>
        </w:rPr>
        <w:t>Maturín. (2007)</w:t>
      </w:r>
    </w:p>
    <w:p>
      <w:pPr>
        <w:pStyle w:val="style0"/>
        <w:autoSpaceDE w:val="false"/>
        <w:spacing w:after="0" w:before="0" w:line="240" w:lineRule="auto"/>
        <w:ind w:hanging="567" w:left="567" w:right="0"/>
        <w:jc w:val="both"/>
      </w:pPr>
      <w:r>
        <w:rPr>
          <w:rFonts w:ascii="Arial" w:cs="Arial" w:hAnsi="Arial"/>
          <w:b/>
          <w:bCs/>
          <w:color w:val="000000"/>
          <w:sz w:val="24"/>
          <w:szCs w:val="24"/>
        </w:rPr>
      </w:r>
    </w:p>
    <w:p>
      <w:pPr>
        <w:pStyle w:val="style190"/>
        <w:ind w:hanging="567" w:left="567" w:right="0"/>
        <w:jc w:val="both"/>
      </w:pPr>
      <w:r>
        <w:rPr>
          <w:rFonts w:ascii="Arial" w:cs="Arial" w:hAnsi="Arial"/>
          <w:color w:val="000000"/>
          <w:sz w:val="24"/>
          <w:szCs w:val="24"/>
        </w:rPr>
        <w:t xml:space="preserve">Márquez, B. </w:t>
      </w:r>
      <w:r>
        <w:rPr>
          <w:rFonts w:ascii="Arial" w:cs="Arial" w:hAnsi="Arial"/>
          <w:b/>
          <w:i/>
          <w:color w:val="000000"/>
          <w:sz w:val="24"/>
          <w:szCs w:val="24"/>
        </w:rPr>
        <w:t>Manual para el Reciclaje de Materiales de Escombros Provenientes de Construcciones para nuevas Edificaciones</w:t>
      </w:r>
      <w:r>
        <w:rPr>
          <w:rFonts w:ascii="Arial" w:cs="Arial" w:hAnsi="Arial"/>
          <w:color w:val="000000"/>
          <w:sz w:val="24"/>
          <w:szCs w:val="24"/>
        </w:rPr>
        <w:t>. Universidad Rafael Urdaneta. Zulia – Venezuela.  2007</w:t>
      </w:r>
    </w:p>
    <w:p>
      <w:pPr>
        <w:pStyle w:val="style190"/>
        <w:ind w:hanging="567" w:left="567" w:right="0"/>
        <w:jc w:val="both"/>
      </w:pPr>
      <w:r>
        <w:rPr>
          <w:rFonts w:ascii="Arial" w:cs="Arial" w:hAnsi="Arial"/>
          <w:color w:val="000000"/>
          <w:sz w:val="24"/>
          <w:szCs w:val="24"/>
        </w:rPr>
        <w:t>Matus, C.</w:t>
      </w:r>
      <w:r>
        <w:rPr>
          <w:rFonts w:ascii="Arial" w:cs="Arial" w:hAnsi="Arial"/>
          <w:b/>
          <w:color w:val="000000"/>
          <w:sz w:val="24"/>
          <w:szCs w:val="24"/>
        </w:rPr>
        <w:t xml:space="preserve"> Introducción a la Planificación.</w:t>
      </w:r>
      <w:r>
        <w:rPr>
          <w:rFonts w:ascii="Arial" w:cs="Arial" w:eastAsia="Times New Roman" w:hAnsi="Arial"/>
          <w:color w:val="000000"/>
          <w:sz w:val="24"/>
          <w:szCs w:val="24"/>
        </w:rPr>
        <w:t xml:space="preserve"> Buenos Aires, </w:t>
      </w:r>
      <w:r>
        <w:rPr>
          <w:rFonts w:ascii="Arial" w:cs="Arial" w:hAnsi="Arial"/>
          <w:color w:val="000000"/>
          <w:sz w:val="24"/>
          <w:szCs w:val="24"/>
        </w:rPr>
        <w:t xml:space="preserve">1987. </w:t>
      </w:r>
    </w:p>
    <w:p>
      <w:pPr>
        <w:pStyle w:val="style0"/>
        <w:autoSpaceDE w:val="false"/>
        <w:spacing w:after="0" w:before="0" w:line="240" w:lineRule="auto"/>
        <w:ind w:hanging="567" w:left="567" w:right="0"/>
        <w:jc w:val="both"/>
      </w:pPr>
      <w:r>
        <w:rPr>
          <w:rFonts w:ascii="Arial" w:cs="Arial" w:hAnsi="Arial"/>
          <w:bCs/>
          <w:color w:val="000000"/>
          <w:sz w:val="24"/>
          <w:szCs w:val="24"/>
        </w:rPr>
        <w:t>Mintzberg, H.</w:t>
      </w:r>
      <w:r>
        <w:rPr>
          <w:rFonts w:ascii="Arial" w:cs="Arial" w:hAnsi="Arial"/>
          <w:b/>
          <w:bCs/>
          <w:color w:val="000000"/>
          <w:sz w:val="24"/>
          <w:szCs w:val="24"/>
        </w:rPr>
        <w:t xml:space="preserve"> </w:t>
      </w:r>
      <w:r>
        <w:rPr>
          <w:rFonts w:ascii="Arial" w:cs="Arial" w:hAnsi="Arial"/>
          <w:b/>
          <w:bCs/>
          <w:i/>
          <w:color w:val="000000"/>
          <w:sz w:val="24"/>
          <w:szCs w:val="24"/>
        </w:rPr>
        <w:t>Planeación Estratégica</w:t>
      </w:r>
      <w:r>
        <w:rPr>
          <w:rFonts w:ascii="Arial" w:cs="Arial" w:hAnsi="Arial"/>
          <w:b/>
          <w:bCs/>
          <w:color w:val="000000"/>
          <w:sz w:val="24"/>
          <w:szCs w:val="24"/>
        </w:rPr>
        <w:t xml:space="preserve">. </w:t>
      </w:r>
      <w:r>
        <w:rPr>
          <w:rFonts w:ascii="Arial" w:cs="Arial" w:hAnsi="Arial"/>
          <w:color w:val="000000"/>
          <w:sz w:val="24"/>
          <w:szCs w:val="24"/>
        </w:rPr>
        <w:t>Universidad Nacional de Colombia Sede Palmira Fundamentos de la Administración 2007</w:t>
      </w:r>
      <w:r>
        <w:rPr>
          <w:rFonts w:ascii="Arial" w:cs="Arial" w:hAnsi="Arial"/>
          <w:b/>
          <w:bCs/>
          <w:color w:val="000000"/>
          <w:sz w:val="24"/>
          <w:szCs w:val="24"/>
        </w:rPr>
        <w:t xml:space="preserve"> </w:t>
      </w:r>
    </w:p>
    <w:p>
      <w:pPr>
        <w:pStyle w:val="style0"/>
        <w:autoSpaceDE w:val="false"/>
        <w:spacing w:after="0" w:before="0" w:line="240" w:lineRule="auto"/>
        <w:ind w:hanging="567" w:left="567" w:right="0"/>
        <w:jc w:val="both"/>
      </w:pPr>
      <w:r>
        <w:rPr>
          <w:rFonts w:ascii="Arial" w:cs="Arial" w:hAnsi="Arial"/>
          <w:b/>
          <w:bCs/>
          <w:color w:val="000000"/>
          <w:sz w:val="24"/>
          <w:szCs w:val="24"/>
        </w:rPr>
      </w:r>
    </w:p>
    <w:p>
      <w:pPr>
        <w:pStyle w:val="style0"/>
        <w:autoSpaceDE w:val="false"/>
        <w:spacing w:after="0" w:before="0" w:line="240" w:lineRule="auto"/>
        <w:ind w:hanging="567" w:left="567" w:right="0"/>
        <w:jc w:val="both"/>
      </w:pPr>
      <w:r>
        <w:rPr>
          <w:rFonts w:ascii="Arial" w:cs="Arial" w:hAnsi="Arial"/>
          <w:color w:val="000000"/>
          <w:sz w:val="24"/>
          <w:szCs w:val="24"/>
        </w:rPr>
        <w:t xml:space="preserve">Organización Mundial del Comercio. </w:t>
      </w:r>
      <w:r>
        <w:rPr>
          <w:rFonts w:ascii="Arial" w:cs="Arial" w:hAnsi="Arial"/>
          <w:b/>
          <w:i/>
          <w:color w:val="000000"/>
          <w:sz w:val="24"/>
          <w:szCs w:val="24"/>
        </w:rPr>
        <w:t>Problema Ambiental</w:t>
      </w:r>
      <w:r>
        <w:rPr>
          <w:rFonts w:ascii="Arial" w:cs="Arial" w:hAnsi="Arial"/>
          <w:color w:val="000000"/>
          <w:sz w:val="24"/>
          <w:szCs w:val="24"/>
        </w:rPr>
        <w:t xml:space="preserve"> (2010)</w:t>
      </w:r>
    </w:p>
    <w:p>
      <w:pPr>
        <w:pStyle w:val="style0"/>
        <w:autoSpaceDE w:val="false"/>
        <w:spacing w:after="0" w:before="0" w:line="240" w:lineRule="auto"/>
        <w:ind w:hanging="567" w:left="567" w:right="0"/>
        <w:jc w:val="both"/>
      </w:pPr>
      <w:r>
        <w:rPr>
          <w:rFonts w:ascii="Arial" w:cs="Arial" w:hAnsi="Arial"/>
          <w:color w:val="000000"/>
          <w:sz w:val="24"/>
          <w:szCs w:val="24"/>
        </w:rPr>
      </w:r>
    </w:p>
    <w:p>
      <w:pPr>
        <w:pStyle w:val="style0"/>
        <w:autoSpaceDE w:val="false"/>
        <w:spacing w:after="0" w:before="0" w:line="240" w:lineRule="auto"/>
        <w:ind w:hanging="567" w:left="567" w:right="0"/>
        <w:jc w:val="both"/>
      </w:pPr>
      <w:r>
        <w:rPr>
          <w:rFonts w:ascii="Arial" w:cs="Arial" w:hAnsi="Arial"/>
          <w:color w:val="000000"/>
          <w:sz w:val="24"/>
          <w:szCs w:val="24"/>
        </w:rPr>
        <w:t xml:space="preserve">Ossorio, A. </w:t>
      </w:r>
      <w:r>
        <w:rPr>
          <w:rFonts w:ascii="Arial" w:cs="Arial" w:hAnsi="Arial"/>
          <w:b/>
          <w:i/>
          <w:color w:val="000000"/>
          <w:sz w:val="24"/>
          <w:szCs w:val="24"/>
        </w:rPr>
        <w:t>Planeamiento Estratégico</w:t>
      </w:r>
      <w:r>
        <w:rPr>
          <w:rFonts w:ascii="Arial" w:cs="Arial" w:hAnsi="Arial"/>
          <w:color w:val="000000"/>
          <w:sz w:val="24"/>
          <w:szCs w:val="24"/>
        </w:rPr>
        <w:t>. Dirección Nacional del Instituto de Administración Pública. 2003</w:t>
      </w:r>
    </w:p>
    <w:p>
      <w:pPr>
        <w:pStyle w:val="style0"/>
        <w:autoSpaceDE w:val="false"/>
        <w:spacing w:after="0" w:before="0" w:line="240" w:lineRule="auto"/>
        <w:ind w:hanging="567" w:left="567" w:right="0"/>
        <w:jc w:val="both"/>
      </w:pPr>
      <w:r>
        <w:rPr>
          <w:rFonts w:ascii="Arial" w:cs="Arial" w:hAnsi="Arial"/>
          <w:color w:val="000000"/>
          <w:sz w:val="24"/>
          <w:szCs w:val="24"/>
        </w:rPr>
      </w:r>
    </w:p>
    <w:p>
      <w:pPr>
        <w:pStyle w:val="style0"/>
        <w:autoSpaceDE w:val="false"/>
        <w:spacing w:after="0" w:before="0" w:line="240" w:lineRule="auto"/>
        <w:ind w:hanging="567" w:left="567" w:right="0"/>
        <w:jc w:val="both"/>
      </w:pPr>
      <w:r>
        <w:rPr>
          <w:rFonts w:ascii="Arial" w:cs="Arial" w:hAnsi="Arial"/>
          <w:color w:val="000000"/>
          <w:sz w:val="24"/>
          <w:szCs w:val="24"/>
        </w:rPr>
        <w:t>Ortiz, A. (2005). Gerencia financiera y diagnostico estratégico. 2ª Edición. Editorial Mc Graw-Hill. Colombia.</w:t>
      </w:r>
    </w:p>
    <w:p>
      <w:pPr>
        <w:pStyle w:val="style0"/>
        <w:autoSpaceDE w:val="false"/>
        <w:spacing w:after="0" w:before="0" w:line="240" w:lineRule="auto"/>
        <w:ind w:hanging="567" w:left="567" w:right="0"/>
        <w:jc w:val="both"/>
      </w:pPr>
      <w:r>
        <w:rPr>
          <w:rFonts w:ascii="Arial" w:cs="Arial" w:hAnsi="Arial"/>
          <w:color w:val="000000"/>
          <w:sz w:val="24"/>
          <w:szCs w:val="24"/>
        </w:rPr>
      </w:r>
    </w:p>
    <w:p>
      <w:pPr>
        <w:pStyle w:val="style0"/>
        <w:autoSpaceDE w:val="false"/>
        <w:spacing w:after="0" w:before="0" w:line="240" w:lineRule="auto"/>
        <w:ind w:hanging="567" w:left="567" w:right="0"/>
        <w:jc w:val="both"/>
      </w:pPr>
      <w:r>
        <w:rPr>
          <w:rFonts w:ascii="Arial" w:cs="Arial" w:hAnsi="Arial"/>
          <w:color w:val="000000"/>
          <w:sz w:val="24"/>
          <w:szCs w:val="24"/>
        </w:rPr>
        <w:t xml:space="preserve">Paz de H, N. </w:t>
      </w:r>
      <w:r>
        <w:rPr>
          <w:rFonts w:ascii="Arial" w:cs="Arial" w:hAnsi="Arial"/>
          <w:b/>
          <w:i/>
          <w:color w:val="000000"/>
          <w:sz w:val="24"/>
          <w:szCs w:val="24"/>
        </w:rPr>
        <w:t>EL ROL DE LA ADMINISTRACIÓN PÚBLICA EN LA APLICACIÓN, PROTECCIÓN Y DESARROLLO DE LA PARTICIPACIÓN CIUDADANA</w:t>
      </w:r>
      <w:r>
        <w:rPr>
          <w:rFonts w:ascii="Arial" w:cs="Arial" w:hAnsi="Arial"/>
          <w:color w:val="000000"/>
          <w:sz w:val="24"/>
          <w:szCs w:val="24"/>
        </w:rPr>
        <w:t>. Docente e Investigadora Instituto de Derecho Comparado Facultad de Ciencias Jurídicas y Políticas Universidad de Carabobo. ANUARIO Nº 29 (2006) ISSN 1316-5852</w:t>
      </w:r>
    </w:p>
    <w:p>
      <w:pPr>
        <w:pStyle w:val="style0"/>
        <w:autoSpaceDE w:val="false"/>
        <w:spacing w:after="0" w:before="0" w:line="240" w:lineRule="auto"/>
        <w:ind w:hanging="567" w:left="567" w:right="0"/>
        <w:jc w:val="both"/>
      </w:pPr>
      <w:r>
        <w:rPr>
          <w:rFonts w:ascii="Arial" w:cs="Arial" w:hAnsi="Arial"/>
          <w:color w:val="000000"/>
          <w:sz w:val="24"/>
          <w:szCs w:val="24"/>
        </w:rPr>
      </w:r>
    </w:p>
    <w:p>
      <w:pPr>
        <w:pStyle w:val="style190"/>
        <w:ind w:hanging="567" w:left="567" w:right="0"/>
        <w:jc w:val="both"/>
      </w:pPr>
      <w:hyperlink r:id="rId63">
        <w:r>
          <w:rPr>
            <w:rStyle w:val="style147"/>
            <w:rStyle w:val="style148"/>
            <w:rFonts w:ascii="Arial" w:eastAsia="Arial" w:hAnsi="Arial"/>
            <w:color w:val="000000"/>
            <w:sz w:val="24"/>
            <w:szCs w:val="24"/>
            <w:shd w:fill="FFFFFF" w:val="clear"/>
          </w:rPr>
          <w:t xml:space="preserve"> </w:t>
        </w:r>
        <w:r>
          <w:rPr>
            <w:rStyle w:val="style148"/>
            <w:rStyle w:val="style148"/>
            <w:rFonts w:ascii="Arial" w:hAnsi="Arial"/>
            <w:sz w:val="24"/>
            <w:szCs w:val="24"/>
            <w:shd w:fill="FFFFFF" w:val="clear"/>
          </w:rPr>
          <w:t>Rivadeneira</w:t>
        </w:r>
      </w:hyperlink>
      <w:r>
        <w:rPr>
          <w:rFonts w:ascii="Arial" w:cs="Arial" w:hAnsi="Arial"/>
          <w:color w:val="000000"/>
          <w:sz w:val="24"/>
          <w:szCs w:val="24"/>
        </w:rPr>
        <w:t xml:space="preserve">, D. </w:t>
      </w:r>
      <w:r>
        <w:rPr>
          <w:rFonts w:ascii="Arial" w:cs="Arial" w:hAnsi="Arial"/>
          <w:b/>
          <w:i/>
          <w:color w:val="000000"/>
          <w:sz w:val="24"/>
          <w:szCs w:val="24"/>
        </w:rPr>
        <w:t>La Comercialización. 2012.</w:t>
      </w:r>
    </w:p>
    <w:p>
      <w:pPr>
        <w:pStyle w:val="style190"/>
        <w:ind w:hanging="567" w:left="567" w:right="0"/>
        <w:jc w:val="both"/>
      </w:pPr>
      <w:r>
        <w:rPr>
          <w:rFonts w:ascii="Arial" w:cs="Arial" w:hAnsi="Arial"/>
          <w:color w:val="000000"/>
          <w:sz w:val="24"/>
          <w:szCs w:val="24"/>
        </w:rPr>
        <w:t>Robbins, S. y De Cenzo, D</w:t>
      </w:r>
      <w:r>
        <w:rPr>
          <w:rFonts w:ascii="Arial" w:cs="Arial" w:hAnsi="Arial"/>
          <w:i/>
          <w:color w:val="000000"/>
          <w:sz w:val="24"/>
          <w:szCs w:val="24"/>
        </w:rPr>
        <w:t xml:space="preserve">.  </w:t>
      </w:r>
      <w:r>
        <w:rPr>
          <w:rFonts w:ascii="Arial" w:cs="Arial" w:hAnsi="Arial"/>
          <w:b/>
          <w:i/>
          <w:color w:val="000000"/>
          <w:sz w:val="24"/>
          <w:szCs w:val="24"/>
        </w:rPr>
        <w:t>Fundamento de la Administración</w:t>
      </w:r>
      <w:r>
        <w:rPr>
          <w:rFonts w:ascii="Arial" w:cs="Arial" w:hAnsi="Arial"/>
          <w:b/>
          <w:color w:val="000000"/>
          <w:sz w:val="24"/>
          <w:szCs w:val="24"/>
        </w:rPr>
        <w:t xml:space="preserve">. </w:t>
      </w:r>
      <w:r>
        <w:rPr>
          <w:rFonts w:ascii="Arial" w:cs="Arial" w:hAnsi="Arial"/>
          <w:color w:val="000000"/>
          <w:sz w:val="24"/>
          <w:szCs w:val="24"/>
        </w:rPr>
        <w:t>Tercera Edición  México 2002</w:t>
      </w:r>
    </w:p>
    <w:p>
      <w:pPr>
        <w:pStyle w:val="style190"/>
        <w:ind w:hanging="567" w:left="567" w:right="0"/>
        <w:jc w:val="both"/>
      </w:pPr>
      <w:r>
        <w:rPr>
          <w:rFonts w:ascii="Arial" w:cs="Arial" w:hAnsi="Arial"/>
          <w:color w:val="000000"/>
          <w:sz w:val="24"/>
          <w:szCs w:val="24"/>
        </w:rPr>
        <w:t>Rumbos, D</w:t>
      </w:r>
      <w:r>
        <w:rPr>
          <w:rFonts w:ascii="Arial" w:cs="Arial" w:hAnsi="Arial"/>
          <w:b/>
          <w:color w:val="000000"/>
          <w:sz w:val="24"/>
          <w:szCs w:val="24"/>
        </w:rPr>
        <w:t xml:space="preserve">. </w:t>
      </w:r>
      <w:r>
        <w:rPr>
          <w:rFonts w:ascii="Arial" w:cs="Arial" w:hAnsi="Arial"/>
          <w:b/>
          <w:i/>
          <w:color w:val="000000"/>
          <w:sz w:val="24"/>
          <w:szCs w:val="24"/>
        </w:rPr>
        <w:t>PROPUESTA DE UN MODELO DE GESTIÓN DE INVENTARIOS  A TRAVÉS DE UN SISTEMA DE PLANIFICACIÓN DE REQUERIMIENTOS DE MATERIALES (MRP)  EN EL SECTOR CONSTRUCCIÓN DEL MUNICIPIO VALENCIA ESTADO CARABOBO</w:t>
      </w:r>
      <w:r>
        <w:rPr>
          <w:rFonts w:ascii="Arial" w:cs="Arial" w:hAnsi="Arial"/>
          <w:b/>
          <w:color w:val="000000"/>
          <w:sz w:val="24"/>
          <w:szCs w:val="24"/>
        </w:rPr>
        <w:t xml:space="preserve">. </w:t>
      </w:r>
      <w:r>
        <w:rPr>
          <w:rFonts w:ascii="Arial" w:cs="Arial" w:hAnsi="Arial"/>
          <w:color w:val="000000"/>
          <w:sz w:val="24"/>
          <w:szCs w:val="24"/>
        </w:rPr>
        <w:t>2010</w:t>
      </w:r>
    </w:p>
    <w:p>
      <w:pPr>
        <w:pStyle w:val="style0"/>
        <w:autoSpaceDE w:val="false"/>
        <w:spacing w:after="0" w:before="0" w:line="240" w:lineRule="auto"/>
        <w:ind w:hanging="567" w:left="567" w:right="0"/>
        <w:jc w:val="both"/>
      </w:pPr>
      <w:r>
        <w:rPr>
          <w:rFonts w:ascii="Arial" w:cs="Arial" w:hAnsi="Arial"/>
          <w:bCs/>
          <w:color w:val="000000"/>
          <w:sz w:val="24"/>
          <w:szCs w:val="24"/>
        </w:rPr>
        <w:t>Sabino, C</w:t>
      </w:r>
      <w:r>
        <w:rPr>
          <w:rFonts w:ascii="Arial" w:cs="Arial" w:hAnsi="Arial"/>
          <w:b/>
          <w:bCs/>
          <w:color w:val="000000"/>
          <w:sz w:val="24"/>
          <w:szCs w:val="24"/>
        </w:rPr>
        <w:t xml:space="preserve">. </w:t>
      </w:r>
      <w:r>
        <w:rPr>
          <w:rFonts w:ascii="Arial" w:cs="Arial" w:hAnsi="Arial"/>
          <w:b/>
          <w:bCs/>
          <w:i/>
          <w:color w:val="000000"/>
          <w:sz w:val="24"/>
          <w:szCs w:val="24"/>
        </w:rPr>
        <w:t>Como Hacer una Tesis</w:t>
      </w:r>
      <w:r>
        <w:rPr>
          <w:rFonts w:ascii="Arial" w:cs="Arial" w:hAnsi="Arial"/>
          <w:b/>
          <w:bCs/>
          <w:color w:val="000000"/>
          <w:sz w:val="24"/>
          <w:szCs w:val="24"/>
        </w:rPr>
        <w:t xml:space="preserve">. </w:t>
      </w:r>
      <w:r>
        <w:rPr>
          <w:rFonts w:ascii="Arial" w:cs="Arial" w:hAnsi="Arial"/>
          <w:color w:val="000000"/>
          <w:sz w:val="24"/>
          <w:szCs w:val="24"/>
        </w:rPr>
        <w:t>Ed. Panapo, Caracas, 1994, 240 págs.</w:t>
      </w:r>
    </w:p>
    <w:p>
      <w:pPr>
        <w:pStyle w:val="style0"/>
        <w:spacing w:line="360" w:lineRule="auto"/>
        <w:ind w:hanging="567" w:left="567" w:right="0"/>
        <w:jc w:val="both"/>
      </w:pPr>
      <w:r>
        <w:rPr>
          <w:rFonts w:ascii="Arial" w:cs="Arial" w:hAnsi="Arial"/>
          <w:color w:val="000000"/>
          <w:sz w:val="24"/>
          <w:szCs w:val="24"/>
        </w:rPr>
        <w:tab/>
        <w:t>Editado también por Panamericana, Bogotá, y Lumen, Buenos Aires.</w:t>
      </w:r>
    </w:p>
    <w:p>
      <w:pPr>
        <w:pStyle w:val="style0"/>
        <w:spacing w:line="360" w:lineRule="auto"/>
        <w:ind w:hanging="567" w:left="567" w:right="0"/>
        <w:jc w:val="both"/>
      </w:pPr>
      <w:r>
        <w:rPr>
          <w:rFonts w:ascii="Arial" w:cs="Arial" w:eastAsia="Arial" w:hAnsi="Arial"/>
          <w:b/>
          <w:bCs/>
          <w:color w:val="000000"/>
          <w:sz w:val="24"/>
          <w:szCs w:val="24"/>
          <w:shd w:fill="FFFFFF" w:val="clear"/>
        </w:rPr>
        <w:t xml:space="preserve">  </w:t>
      </w:r>
      <w:r>
        <w:rPr>
          <w:rFonts w:ascii="Arial" w:cs="Arial" w:hAnsi="Arial"/>
          <w:b/>
          <w:bCs/>
          <w:color w:val="000000"/>
          <w:sz w:val="24"/>
          <w:szCs w:val="24"/>
          <w:shd w:fill="FFFFFF" w:val="clear"/>
        </w:rPr>
        <w:t xml:space="preserve">Sánchez, J.  </w:t>
      </w:r>
      <w:r>
        <w:rPr>
          <w:rFonts w:ascii="Arial" w:cs="Arial" w:hAnsi="Arial"/>
          <w:b/>
          <w:i/>
          <w:iCs/>
          <w:color w:val="000000"/>
          <w:sz w:val="24"/>
          <w:szCs w:val="24"/>
          <w:shd w:fill="FFFFFF" w:val="clear"/>
        </w:rPr>
        <w:t>Plan de Marketing: Estrategias de Comercialización</w:t>
      </w:r>
      <w:r>
        <w:rPr>
          <w:rFonts w:ascii="Arial" w:cs="Arial" w:hAnsi="Arial"/>
          <w:i/>
          <w:iCs/>
          <w:color w:val="000000"/>
          <w:sz w:val="24"/>
          <w:szCs w:val="24"/>
          <w:shd w:fill="FFFFFF" w:val="clear"/>
        </w:rPr>
        <w:t>. Caso: leche la ordeña - Colima, México</w:t>
      </w:r>
      <w:r>
        <w:rPr>
          <w:rFonts w:ascii="Arial" w:cs="Arial" w:hAnsi="Arial"/>
          <w:color w:val="000000"/>
          <w:sz w:val="24"/>
          <w:szCs w:val="24"/>
          <w:shd w:fill="FFFFFF" w:val="clear"/>
        </w:rPr>
        <w:t>"</w:t>
      </w:r>
      <w:r>
        <w:rPr>
          <w:rFonts w:ascii="Arial" w:cs="Arial" w:hAnsi="Arial"/>
          <w:color w:val="000000"/>
          <w:sz w:val="24"/>
          <w:szCs w:val="24"/>
        </w:rPr>
        <w:t xml:space="preserve"> </w:t>
      </w:r>
      <w:r>
        <w:rPr>
          <w:rFonts w:ascii="Arial" w:cs="Arial" w:hAnsi="Arial"/>
          <w:color w:val="000000"/>
          <w:sz w:val="24"/>
          <w:szCs w:val="24"/>
          <w:shd w:fill="FFFFFF" w:val="clear"/>
        </w:rPr>
        <w:t>en</w:t>
      </w:r>
      <w:r>
        <w:rPr>
          <w:rFonts w:ascii="Arial" w:cs="Arial" w:hAnsi="Arial"/>
          <w:color w:val="000000"/>
          <w:sz w:val="24"/>
          <w:szCs w:val="24"/>
        </w:rPr>
        <w:t xml:space="preserve"> </w:t>
      </w:r>
      <w:r>
        <w:rPr>
          <w:rFonts w:ascii="Arial" w:cs="Arial" w:hAnsi="Arial"/>
          <w:color w:val="000000"/>
          <w:sz w:val="24"/>
          <w:szCs w:val="24"/>
          <w:shd w:fill="FFFFFF" w:val="clear"/>
        </w:rPr>
        <w:t xml:space="preserve">Observatorio de la Economía Latinoamericana, Nº 130, 2009  </w:t>
      </w:r>
    </w:p>
    <w:p>
      <w:pPr>
        <w:pStyle w:val="style0"/>
        <w:spacing w:line="360" w:lineRule="auto"/>
        <w:ind w:hanging="567" w:left="567" w:right="0"/>
        <w:jc w:val="both"/>
      </w:pPr>
      <w:r>
        <w:rPr>
          <w:rFonts w:ascii="Arial" w:cs="Arial" w:hAnsi="Arial"/>
          <w:color w:val="000000"/>
          <w:sz w:val="24"/>
          <w:szCs w:val="24"/>
        </w:rPr>
        <w:t xml:space="preserve">Spiegel, S. </w:t>
      </w:r>
      <w:r>
        <w:rPr>
          <w:rFonts w:ascii="Arial" w:cs="Arial" w:hAnsi="Arial"/>
          <w:b/>
          <w:i/>
          <w:color w:val="000000"/>
          <w:sz w:val="24"/>
          <w:szCs w:val="24"/>
        </w:rPr>
        <w:t>POLÍTICAS MACROECONÓMICAS Y DE CRECIMIENTO</w:t>
      </w:r>
      <w:r>
        <w:rPr>
          <w:rFonts w:ascii="Arial" w:cs="Arial" w:hAnsi="Arial"/>
          <w:color w:val="000000"/>
          <w:sz w:val="24"/>
          <w:szCs w:val="24"/>
        </w:rPr>
        <w:t>. NACIONES UNIDAS DEPARTAMENTO DE ASUNTOS ECONÓMICOS Y SOCIALES (ONU DAES/ UN DESA)</w:t>
      </w:r>
    </w:p>
    <w:p>
      <w:pPr>
        <w:pStyle w:val="style190"/>
        <w:ind w:hanging="567" w:left="567" w:right="0"/>
        <w:jc w:val="both"/>
      </w:pPr>
      <w:r>
        <w:rPr>
          <w:rFonts w:ascii="Arial" w:cs="Arial" w:hAnsi="Arial"/>
          <w:color w:val="000000"/>
          <w:sz w:val="24"/>
          <w:szCs w:val="24"/>
          <w:shd w:fill="FFFFFF" w:val="clear"/>
        </w:rPr>
        <w:t>Sierra, E. y Rico, C. O</w:t>
      </w:r>
      <w:r>
        <w:rPr>
          <w:rStyle w:val="style151"/>
          <w:rFonts w:ascii="Arial" w:hAnsi="Arial"/>
          <w:b/>
          <w:bCs/>
          <w:i w:val="false"/>
          <w:iCs w:val="false"/>
          <w:color w:val="000000"/>
          <w:sz w:val="24"/>
          <w:szCs w:val="24"/>
          <w:shd w:fill="FFFFFF" w:val="clear"/>
        </w:rPr>
        <w:t xml:space="preserve"> Reflexiones sobre finanzas internacionales en un entorno globalizado</w:t>
      </w:r>
      <w:r>
        <w:rPr>
          <w:rFonts w:ascii="Arial" w:cs="Arial" w:hAnsi="Arial"/>
          <w:color w:val="000000"/>
          <w:sz w:val="24"/>
          <w:szCs w:val="24"/>
          <w:shd w:fill="FFFFFF" w:val="clear"/>
        </w:rPr>
        <w:t>. Journal: INNOVAR. Revista de Ciencias Administrativas y Sociales 2004 Universidad Nacional de Colombia. P.p. 75-78</w:t>
      </w:r>
    </w:p>
    <w:p>
      <w:pPr>
        <w:pStyle w:val="style0"/>
        <w:spacing w:line="240" w:lineRule="auto"/>
        <w:ind w:hanging="567" w:left="567" w:right="0"/>
        <w:jc w:val="both"/>
      </w:pPr>
      <w:r>
        <w:rPr>
          <w:rFonts w:ascii="Arial" w:cs="Arial" w:hAnsi="Arial"/>
          <w:color w:val="000000"/>
          <w:sz w:val="24"/>
          <w:szCs w:val="24"/>
        </w:rPr>
        <w:t xml:space="preserve">Trujillo L. </w:t>
      </w:r>
      <w:r>
        <w:rPr>
          <w:rFonts w:ascii="Arial" w:cs="Arial" w:hAnsi="Arial"/>
          <w:b/>
          <w:i/>
          <w:color w:val="000000"/>
          <w:sz w:val="24"/>
          <w:szCs w:val="24"/>
        </w:rPr>
        <w:t>Reflexiones sobre Finanzas Internacionales En un Entorno Globalizado</w:t>
      </w:r>
      <w:r>
        <w:rPr>
          <w:rFonts w:ascii="Arial" w:cs="Arial" w:hAnsi="Arial"/>
          <w:b/>
          <w:color w:val="000000"/>
          <w:sz w:val="24"/>
          <w:szCs w:val="24"/>
        </w:rPr>
        <w:t xml:space="preserve"> INNOVAR</w:t>
      </w:r>
      <w:r>
        <w:rPr>
          <w:rFonts w:ascii="Arial" w:cs="Arial" w:hAnsi="Arial"/>
          <w:color w:val="000000"/>
          <w:sz w:val="24"/>
          <w:szCs w:val="24"/>
        </w:rPr>
        <w:t>, revista de ciencias administrativas y sociales. No. 23, enero - junio de 2004</w:t>
      </w:r>
    </w:p>
    <w:p>
      <w:pPr>
        <w:pStyle w:val="style0"/>
        <w:spacing w:line="360" w:lineRule="auto"/>
        <w:ind w:hanging="567" w:left="567" w:right="0"/>
        <w:jc w:val="both"/>
      </w:pPr>
      <w:r>
        <w:rPr>
          <w:rFonts w:ascii="Arial" w:cs="Arial" w:hAnsi="Arial"/>
          <w:bCs/>
          <w:color w:val="000000"/>
          <w:sz w:val="24"/>
          <w:szCs w:val="24"/>
          <w:shd w:fill="FFFFFF" w:val="clear"/>
        </w:rPr>
        <w:t xml:space="preserve">Turado, M. </w:t>
      </w:r>
      <w:r>
        <w:rPr>
          <w:rFonts w:ascii="Arial" w:cs="Arial" w:hAnsi="Arial"/>
          <w:b/>
          <w:bCs/>
          <w:i/>
          <w:color w:val="000000"/>
          <w:sz w:val="24"/>
          <w:szCs w:val="24"/>
          <w:shd w:fill="FFFFFF" w:val="clear"/>
        </w:rPr>
        <w:t>Perito Tasador</w:t>
      </w:r>
      <w:r>
        <w:rPr>
          <w:rFonts w:ascii="Arial" w:cs="Arial" w:hAnsi="Arial"/>
          <w:bCs/>
          <w:color w:val="000000"/>
          <w:sz w:val="24"/>
          <w:szCs w:val="24"/>
          <w:shd w:fill="FFFFFF" w:val="clear"/>
        </w:rPr>
        <w:t>, San Felipe – Yaracuy 2010.</w:t>
      </w:r>
    </w:p>
    <w:p>
      <w:pPr>
        <w:pStyle w:val="style0"/>
        <w:spacing w:line="360" w:lineRule="auto"/>
        <w:ind w:hanging="567" w:left="567" w:right="0"/>
        <w:jc w:val="both"/>
      </w:pPr>
      <w:r>
        <w:rPr>
          <w:rFonts w:ascii="Arial" w:cs="Arial" w:hAnsi="Arial"/>
          <w:b/>
          <w:bCs/>
          <w:color w:val="000000"/>
          <w:sz w:val="24"/>
          <w:szCs w:val="24"/>
        </w:rPr>
        <w:t xml:space="preserve">Universidad Pedagógica Experimental Libertador </w:t>
      </w:r>
      <w:hyperlink r:id="rId64">
        <w:r>
          <w:rPr>
            <w:rStyle w:val="style148"/>
            <w:rStyle w:val="style148"/>
            <w:rFonts w:ascii="Arial" w:hAnsi="Arial"/>
            <w:bCs/>
            <w:i/>
            <w:sz w:val="24"/>
            <w:szCs w:val="24"/>
          </w:rPr>
          <w:t>Manual</w:t>
        </w:r>
      </w:hyperlink>
      <w:r>
        <w:rPr>
          <w:rFonts w:ascii="Arial" w:cs="Arial" w:hAnsi="Arial"/>
          <w:bCs/>
          <w:i/>
          <w:color w:val="000000"/>
          <w:sz w:val="24"/>
          <w:szCs w:val="24"/>
        </w:rPr>
        <w:t xml:space="preserve"> de Trabajo de Grado de Especialización y Maestría y Tesis Doctoral</w:t>
      </w:r>
      <w:r>
        <w:rPr>
          <w:rFonts w:ascii="Arial" w:cs="Arial" w:hAnsi="Arial"/>
          <w:bCs/>
          <w:color w:val="000000"/>
          <w:sz w:val="24"/>
          <w:szCs w:val="24"/>
        </w:rPr>
        <w:t xml:space="preserve">. </w:t>
      </w:r>
      <w:r>
        <w:rPr>
          <w:rFonts w:ascii="Arial" w:cs="Arial" w:hAnsi="Arial"/>
          <w:b/>
          <w:bCs/>
          <w:color w:val="000000"/>
          <w:sz w:val="24"/>
          <w:szCs w:val="24"/>
        </w:rPr>
        <w:t xml:space="preserve">Vicerrectorado de Investigación y Postgrado Caracas - Venezuela 2006. </w:t>
      </w:r>
    </w:p>
    <w:p>
      <w:pPr>
        <w:pStyle w:val="style0"/>
        <w:ind w:hanging="567" w:left="567" w:right="0"/>
        <w:jc w:val="both"/>
      </w:pPr>
      <w:r>
        <w:rPr>
          <w:rFonts w:ascii="Arial" w:cs="Arial" w:hAnsi="Arial"/>
          <w:color w:val="000000"/>
          <w:sz w:val="24"/>
          <w:szCs w:val="24"/>
        </w:rPr>
        <w:t xml:space="preserve">Valera, A. </w:t>
      </w:r>
      <w:r>
        <w:rPr>
          <w:rFonts w:ascii="Arial" w:cs="Arial" w:hAnsi="Arial"/>
          <w:b/>
          <w:i/>
          <w:color w:val="000000"/>
          <w:sz w:val="24"/>
          <w:szCs w:val="24"/>
        </w:rPr>
        <w:t>La Auditoría Ambiental como Herramienta para el Cumplimiento de una Empresa Socialmente Responsable Caso Estudio: Empresa Venezolana de Reciclaje, C.A. (VENRECICLA)</w:t>
      </w:r>
      <w:r>
        <w:rPr>
          <w:rFonts w:ascii="Arial" w:cs="Arial" w:hAnsi="Arial"/>
          <w:color w:val="000000"/>
          <w:sz w:val="24"/>
          <w:szCs w:val="24"/>
        </w:rPr>
        <w:t>, Universidad Centro Occidental Lisandro Alvarado, Lara – Venezuela.  2009.</w:t>
      </w:r>
    </w:p>
    <w:p>
      <w:pPr>
        <w:pStyle w:val="style0"/>
        <w:ind w:hanging="567" w:left="567" w:right="0"/>
        <w:jc w:val="both"/>
      </w:pPr>
      <w:r>
        <w:rPr>
          <w:rFonts w:ascii="Arial" w:cs="Arial" w:hAnsi="Arial"/>
          <w:color w:val="000000"/>
          <w:sz w:val="24"/>
          <w:szCs w:val="24"/>
        </w:rPr>
        <w:t xml:space="preserve">Van H. y Wachowicz, J. </w:t>
      </w:r>
      <w:r>
        <w:rPr>
          <w:rFonts w:ascii="Arial" w:cs="Arial" w:hAnsi="Arial"/>
          <w:b/>
          <w:i/>
          <w:color w:val="000000"/>
          <w:sz w:val="24"/>
          <w:szCs w:val="24"/>
        </w:rPr>
        <w:t>Administración Financiera</w:t>
      </w:r>
      <w:r>
        <w:rPr>
          <w:rFonts w:ascii="Arial" w:cs="Arial" w:hAnsi="Arial"/>
          <w:color w:val="000000"/>
          <w:sz w:val="24"/>
          <w:szCs w:val="24"/>
        </w:rPr>
        <w:t>. Editorial México. Mc Gaw- Hll</w:t>
      </w:r>
    </w:p>
    <w:p>
      <w:pPr>
        <w:pStyle w:val="style0"/>
        <w:ind w:hanging="567" w:left="567" w:right="0"/>
        <w:jc w:val="both"/>
      </w:pPr>
      <w:r>
        <w:rPr>
          <w:rFonts w:ascii="Arial" w:cs="Arial" w:hAnsi="Arial"/>
          <w:color w:val="000000"/>
          <w:sz w:val="24"/>
          <w:szCs w:val="24"/>
        </w:rPr>
        <w:t>Verastegui, E. Relator de la Problemática del IUTY. Yaracuy – Venezuela 2013</w:t>
      </w:r>
    </w:p>
    <w:p>
      <w:pPr>
        <w:pStyle w:val="style0"/>
        <w:autoSpaceDE w:val="false"/>
        <w:spacing w:after="0" w:before="0" w:line="240" w:lineRule="auto"/>
        <w:ind w:hanging="567" w:left="567" w:right="0"/>
        <w:jc w:val="both"/>
      </w:pPr>
      <w:r>
        <w:rPr>
          <w:rFonts w:ascii="Arial" w:cs="Arial" w:hAnsi="Arial"/>
          <w:color w:val="000000"/>
          <w:sz w:val="24"/>
          <w:szCs w:val="24"/>
        </w:rPr>
        <w:t xml:space="preserve">Zarraga, V. (2011). </w:t>
      </w:r>
      <w:r>
        <w:rPr>
          <w:rFonts w:ascii="Arial" w:cs="Arial" w:hAnsi="Arial"/>
          <w:b/>
          <w:bCs/>
          <w:i/>
          <w:color w:val="000000"/>
          <w:sz w:val="24"/>
          <w:szCs w:val="24"/>
        </w:rPr>
        <w:t>Modelo Gerencial para el Impulso y Desarrollo del Reciclaje en las Empresas de Producción Social en el Municipio Guácara</w:t>
      </w:r>
    </w:p>
    <w:p>
      <w:pPr>
        <w:pStyle w:val="style0"/>
        <w:spacing w:line="240" w:lineRule="auto"/>
        <w:ind w:hanging="567" w:left="567" w:right="0"/>
        <w:jc w:val="both"/>
      </w:pPr>
      <w:r>
        <w:rPr>
          <w:rFonts w:ascii="Arial" w:cs="Arial" w:eastAsia="Arial" w:hAnsi="Arial"/>
          <w:i/>
          <w:color w:val="000000"/>
          <w:sz w:val="24"/>
          <w:szCs w:val="24"/>
        </w:rPr>
        <w:t xml:space="preserve"> </w:t>
      </w:r>
    </w:p>
    <w:p>
      <w:pPr>
        <w:pStyle w:val="style0"/>
        <w:ind w:hanging="567" w:left="567" w:right="0"/>
        <w:jc w:val="both"/>
      </w:pPr>
      <w:r>
        <w:rPr>
          <w:rFonts w:ascii="Arial" w:cs="Arial" w:hAnsi="Arial"/>
          <w:b/>
          <w:color w:val="000000"/>
          <w:sz w:val="24"/>
          <w:szCs w:val="24"/>
        </w:rPr>
        <w:t>Leyes</w:t>
      </w:r>
      <w:r>
        <w:rPr>
          <w:rFonts w:ascii="Arial" w:cs="Arial" w:hAnsi="Arial"/>
          <w:color w:val="000000"/>
          <w:sz w:val="24"/>
          <w:szCs w:val="24"/>
        </w:rPr>
        <w:t xml:space="preserve">: </w:t>
      </w:r>
    </w:p>
    <w:p>
      <w:pPr>
        <w:pStyle w:val="style2"/>
        <w:numPr>
          <w:ilvl w:val="1"/>
          <w:numId w:val="1"/>
        </w:numPr>
        <w:shd w:fill="FFFFFF" w:val="clear"/>
        <w:ind w:hanging="567" w:left="567" w:right="0"/>
        <w:jc w:val="both"/>
      </w:pPr>
      <w:r>
        <w:rPr>
          <w:rFonts w:ascii="Arial" w:cs="Arial" w:hAnsi="Arial"/>
          <w:color w:val="000000"/>
          <w:sz w:val="24"/>
          <w:szCs w:val="24"/>
        </w:rPr>
        <w:t>Civil  Venezolano vigente (CCV)</w:t>
      </w:r>
      <w:r>
        <w:rPr>
          <w:rFonts w:ascii="Arial" w:cs="Arial" w:hAnsi="Arial"/>
          <w:b w:val="false"/>
          <w:color w:val="000000"/>
          <w:sz w:val="24"/>
          <w:szCs w:val="24"/>
        </w:rPr>
        <w:t xml:space="preserve">. 1982 </w:t>
      </w:r>
    </w:p>
    <w:p>
      <w:pPr>
        <w:pStyle w:val="style2"/>
        <w:numPr>
          <w:ilvl w:val="1"/>
          <w:numId w:val="1"/>
        </w:numPr>
        <w:shd w:fill="FFFFFF" w:val="clear"/>
        <w:ind w:hanging="567" w:left="567" w:right="0"/>
        <w:jc w:val="both"/>
      </w:pPr>
      <w:r>
        <w:rPr>
          <w:rFonts w:ascii="Arial" w:cs="Arial" w:hAnsi="Arial"/>
          <w:color w:val="000000"/>
          <w:sz w:val="24"/>
          <w:szCs w:val="24"/>
        </w:rPr>
        <w:t>Constitución de la República Bolivariana de Venezuela</w:t>
      </w:r>
      <w:r>
        <w:rPr>
          <w:rFonts w:ascii="Arial" w:cs="Arial" w:hAnsi="Arial"/>
          <w:b w:val="false"/>
          <w:color w:val="000000"/>
          <w:sz w:val="24"/>
          <w:szCs w:val="24"/>
        </w:rPr>
        <w:t xml:space="preserve"> Publicada en Gaceta Oficial del jueves 30 de diciembre de 1999, N° 36.860</w:t>
      </w:r>
    </w:p>
    <w:p>
      <w:pPr>
        <w:pStyle w:val="style2"/>
        <w:numPr>
          <w:ilvl w:val="1"/>
          <w:numId w:val="1"/>
        </w:numPr>
        <w:shd w:fill="FFFFFF" w:val="clear"/>
        <w:ind w:hanging="567" w:left="567" w:right="0"/>
        <w:jc w:val="both"/>
      </w:pPr>
      <w:r>
        <w:rPr>
          <w:rFonts w:ascii="Arial" w:cs="Arial" w:hAnsi="Arial"/>
          <w:color w:val="000000"/>
          <w:sz w:val="24"/>
          <w:szCs w:val="24"/>
        </w:rPr>
        <w:t xml:space="preserve">CONTRALORIA GENERAL DE LA REPUBLICA. Cuaderno de Auditoria N º 3. Metodología para la Auditoria de Gestión. Venezuela. </w:t>
      </w:r>
    </w:p>
    <w:p>
      <w:pPr>
        <w:pStyle w:val="style197"/>
        <w:spacing w:after="0" w:before="0"/>
        <w:ind w:hanging="567" w:left="567" w:right="0"/>
        <w:jc w:val="both"/>
      </w:pPr>
      <w:r>
        <w:rPr>
          <w:rFonts w:ascii="Arial" w:cs="Arial" w:hAnsi="Arial"/>
          <w:color w:val="000000"/>
        </w:rPr>
        <w:t>Decreto con Rango y Fuerza de Ley Orgánica de Bienes Públicos (LOBP) N º 1432 (20014)</w:t>
      </w:r>
    </w:p>
    <w:p>
      <w:pPr>
        <w:pStyle w:val="style197"/>
        <w:spacing w:after="0" w:before="0"/>
        <w:ind w:hanging="567" w:left="567" w:right="0"/>
        <w:jc w:val="both"/>
      </w:pPr>
      <w:r>
        <w:rPr>
          <w:rFonts w:ascii="Arial" w:cs="Arial" w:hAnsi="Arial"/>
          <w:color w:val="000000"/>
        </w:rPr>
      </w:r>
    </w:p>
    <w:p>
      <w:pPr>
        <w:pStyle w:val="style197"/>
        <w:spacing w:after="0" w:before="0"/>
        <w:ind w:hanging="567" w:left="567" w:right="0"/>
        <w:jc w:val="both"/>
      </w:pPr>
      <w:r>
        <w:rPr>
          <w:rFonts w:ascii="Arial" w:cs="Arial" w:hAnsi="Arial"/>
          <w:color w:val="000000"/>
        </w:rPr>
        <w:t>Ley de Residuos y Desechos Sólidos</w:t>
      </w:r>
      <w:r>
        <w:rPr>
          <w:rFonts w:ascii="Arial" w:cs="Arial" w:hAnsi="Arial"/>
          <w:b/>
          <w:color w:val="000000"/>
        </w:rPr>
        <w:t>. 02 de noviembre de 1990, publicado en la Gaceta Oficial de la República de Venezuela Nº 34.678, de fecha 19 de marzo de 1991</w:t>
      </w:r>
    </w:p>
    <w:p>
      <w:pPr>
        <w:pStyle w:val="style197"/>
        <w:spacing w:after="0" w:before="0"/>
        <w:ind w:hanging="567" w:left="567" w:right="0"/>
        <w:jc w:val="both"/>
      </w:pPr>
      <w:r>
        <w:rPr>
          <w:rFonts w:ascii="Arial" w:cs="Arial" w:hAnsi="Arial"/>
          <w:color w:val="000000"/>
        </w:rPr>
      </w:r>
    </w:p>
    <w:p>
      <w:pPr>
        <w:pStyle w:val="style197"/>
        <w:spacing w:after="0" w:before="0"/>
        <w:ind w:hanging="567" w:left="567" w:right="0"/>
        <w:jc w:val="both"/>
      </w:pPr>
      <w:r>
        <w:rPr>
          <w:rFonts w:ascii="Arial" w:cs="Arial" w:hAnsi="Arial"/>
          <w:color w:val="000000"/>
        </w:rPr>
        <w:t>Ley Orgánica de la Contraloría General de la Republica.  Venezuela Gaceta Oficial N º 37.347. (2001)</w:t>
      </w:r>
    </w:p>
    <w:p>
      <w:pPr>
        <w:pStyle w:val="style197"/>
        <w:spacing w:after="0" w:before="0"/>
        <w:ind w:hanging="567" w:left="567" w:right="0"/>
        <w:jc w:val="both"/>
      </w:pPr>
      <w:r>
        <w:rPr>
          <w:rFonts w:ascii="Arial" w:cs="Arial" w:hAnsi="Arial"/>
          <w:color w:val="000000"/>
        </w:rPr>
      </w:r>
    </w:p>
    <w:p>
      <w:pPr>
        <w:pStyle w:val="style197"/>
        <w:spacing w:after="0" w:before="0"/>
        <w:ind w:hanging="567" w:left="567" w:right="0"/>
        <w:jc w:val="both"/>
      </w:pPr>
      <w:r>
        <w:rPr>
          <w:rFonts w:ascii="Arial" w:cs="Arial" w:hAnsi="Arial"/>
          <w:color w:val="000000"/>
          <w:lang w:eastAsia="es-ES"/>
        </w:rPr>
        <w:t>Ley de Contrataciones Públicas 2014</w:t>
      </w:r>
    </w:p>
    <w:p>
      <w:pPr>
        <w:pStyle w:val="style197"/>
        <w:spacing w:after="0" w:before="0"/>
        <w:ind w:hanging="567" w:left="567" w:right="0"/>
        <w:jc w:val="both"/>
      </w:pPr>
      <w:r>
        <w:rPr>
          <w:rFonts w:ascii="Arial" w:cs="Arial" w:hAnsi="Arial"/>
          <w:b/>
          <w:color w:val="000000"/>
        </w:rPr>
        <w:t xml:space="preserve">Normas Internacionales de Contabilidad </w:t>
      </w:r>
      <w:r>
        <w:rPr>
          <w:rFonts w:ascii="Arial" w:cs="Arial" w:hAnsi="Arial"/>
          <w:color w:val="000000"/>
        </w:rPr>
        <w:t>(2005).</w:t>
      </w:r>
    </w:p>
    <w:p>
      <w:pPr>
        <w:pStyle w:val="style197"/>
        <w:spacing w:after="0" w:before="0"/>
        <w:ind w:hanging="567" w:left="567" w:right="0"/>
        <w:jc w:val="both"/>
      </w:pPr>
      <w:r>
        <w:rPr>
          <w:rFonts w:ascii="Arial" w:cs="Arial" w:hAnsi="Arial"/>
          <w:color w:val="000000"/>
        </w:rPr>
      </w:r>
    </w:p>
    <w:p>
      <w:pPr>
        <w:pStyle w:val="style197"/>
        <w:spacing w:after="0" w:before="0"/>
        <w:ind w:hanging="567" w:left="567" w:right="0"/>
        <w:jc w:val="both"/>
      </w:pPr>
      <w:r>
        <w:rPr>
          <w:rFonts w:ascii="Arial" w:cs="Arial" w:hAnsi="Arial"/>
          <w:b/>
          <w:color w:val="000000"/>
        </w:rPr>
        <w:t>Norma Internacionales de Información Financiera</w:t>
      </w:r>
      <w:r>
        <w:rPr>
          <w:rFonts w:ascii="Arial" w:cs="Arial" w:hAnsi="Arial"/>
          <w:color w:val="000000"/>
        </w:rPr>
        <w:t xml:space="preserve"> (NIFF) emitida el primero (1) de Enero de 2012</w:t>
      </w:r>
    </w:p>
    <w:p>
      <w:pPr>
        <w:pStyle w:val="style197"/>
        <w:spacing w:after="0" w:before="0"/>
        <w:ind w:hanging="567" w:left="567" w:right="0"/>
        <w:jc w:val="both"/>
      </w:pPr>
      <w:r>
        <w:rPr>
          <w:rFonts w:ascii="Arial" w:cs="Arial" w:hAnsi="Arial"/>
          <w:color w:val="000000"/>
        </w:rPr>
      </w:r>
    </w:p>
    <w:p>
      <w:pPr>
        <w:pStyle w:val="style0"/>
        <w:spacing w:line="240" w:lineRule="auto"/>
        <w:ind w:hanging="567" w:left="567" w:right="0"/>
        <w:jc w:val="both"/>
      </w:pPr>
      <w:r>
        <w:rPr>
          <w:rFonts w:ascii="Arial" w:cs="Arial" w:hAnsi="Arial"/>
          <w:color w:val="000000"/>
          <w:sz w:val="24"/>
          <w:szCs w:val="24"/>
        </w:rPr>
        <w:t xml:space="preserve">Norma Internacional de Información Financiera para las PYMES Una </w:t>
      </w:r>
      <w:r>
        <w:rPr>
          <w:rFonts w:ascii="Arial" w:cs="Arial" w:hAnsi="Arial"/>
          <w:b/>
          <w:color w:val="000000"/>
          <w:sz w:val="24"/>
          <w:szCs w:val="24"/>
        </w:rPr>
        <w:t xml:space="preserve">Guía para Micro Entidades que apliquen la NIIF para las PYMES </w:t>
      </w:r>
      <w:r>
        <w:rPr>
          <w:rFonts w:ascii="Arial" w:cs="Arial" w:hAnsi="Arial"/>
          <w:color w:val="000000"/>
          <w:sz w:val="24"/>
          <w:szCs w:val="24"/>
        </w:rPr>
        <w:t xml:space="preserve"> (2009)</w:t>
      </w:r>
    </w:p>
    <w:p>
      <w:pPr>
        <w:pStyle w:val="style197"/>
        <w:spacing w:after="0" w:before="0" w:line="360" w:lineRule="auto"/>
        <w:ind w:hanging="567" w:left="567" w:right="0"/>
        <w:jc w:val="both"/>
      </w:pPr>
      <w:r>
        <w:rPr>
          <w:rFonts w:ascii="Arial" w:cs="Arial" w:hAnsi="Arial"/>
          <w:color w:val="000000"/>
        </w:rPr>
        <w:t>Normas General de Contabilidad del Sector Publico publicada en Gaceta Ofician n º 36100 el 4 de diciembre del 1996.</w:t>
      </w:r>
    </w:p>
    <w:p>
      <w:pPr>
        <w:pStyle w:val="style197"/>
        <w:spacing w:after="0" w:before="0"/>
        <w:ind w:hanging="567" w:left="567" w:right="0"/>
        <w:jc w:val="both"/>
      </w:pPr>
      <w:r>
        <w:rPr>
          <w:rFonts w:ascii="Arial" w:cs="Arial" w:hAnsi="Arial"/>
          <w:color w:val="000000"/>
        </w:rPr>
      </w:r>
    </w:p>
    <w:p>
      <w:pPr>
        <w:pStyle w:val="style197"/>
        <w:spacing w:after="0" w:before="0" w:line="360" w:lineRule="auto"/>
        <w:ind w:hanging="567" w:left="567" w:right="0"/>
        <w:jc w:val="both"/>
      </w:pPr>
      <w:r>
        <w:rPr>
          <w:rFonts w:ascii="Arial" w:cs="Arial" w:hAnsi="Arial"/>
          <w:color w:val="000000"/>
        </w:rPr>
        <w:t xml:space="preserve">Providencia Administrativa n º </w:t>
      </w:r>
      <w:r>
        <w:rPr>
          <w:rFonts w:ascii="Arial" w:cs="Arial" w:hAnsi="Arial"/>
          <w:b/>
          <w:i/>
          <w:color w:val="000000"/>
        </w:rPr>
        <w:t>002-2012</w:t>
      </w:r>
      <w:r>
        <w:rPr>
          <w:rFonts w:ascii="Arial" w:cs="Arial" w:hAnsi="Arial"/>
          <w:color w:val="000000"/>
        </w:rPr>
        <w:t xml:space="preserve"> la Superintendente Nacional de Bienes Públicos publicó en gaceta oficial G.O. n º 40.042 de fecha  02/11/2012</w:t>
      </w:r>
    </w:p>
    <w:p>
      <w:pPr>
        <w:pStyle w:val="style197"/>
        <w:spacing w:after="0" w:before="0"/>
        <w:ind w:hanging="567" w:left="567" w:right="0"/>
        <w:jc w:val="both"/>
      </w:pPr>
      <w:r>
        <w:rPr>
          <w:rFonts w:ascii="Arial" w:cs="Arial" w:hAnsi="Arial"/>
          <w:color w:val="000000"/>
        </w:rPr>
      </w:r>
    </w:p>
    <w:p>
      <w:pPr>
        <w:pStyle w:val="style197"/>
        <w:spacing w:after="0" w:before="0" w:line="360" w:lineRule="auto"/>
        <w:ind w:hanging="567" w:left="567" w:right="0"/>
        <w:jc w:val="both"/>
      </w:pPr>
      <w:r>
        <w:rPr>
          <w:rFonts w:ascii="Arial" w:cs="Arial" w:hAnsi="Arial"/>
          <w:color w:val="000000"/>
        </w:rPr>
        <w:t>Providencia Administrativa n º 003-2012 la Superintendente Nacional de Bienes Públicos publicó en gaceta oficial G.O. n º 40.042 de fecha  02/11/2012</w:t>
      </w:r>
    </w:p>
    <w:p>
      <w:pPr>
        <w:pStyle w:val="style197"/>
        <w:spacing w:after="0" w:before="0"/>
        <w:ind w:hanging="567" w:left="567" w:right="0"/>
        <w:jc w:val="both"/>
      </w:pPr>
      <w:r>
        <w:rPr>
          <w:rFonts w:ascii="Arial" w:cs="Arial" w:hAnsi="Arial"/>
          <w:color w:val="000000"/>
        </w:rPr>
      </w:r>
    </w:p>
    <w:p>
      <w:pPr>
        <w:pStyle w:val="style197"/>
        <w:spacing w:after="0" w:before="0" w:line="360" w:lineRule="auto"/>
        <w:ind w:hanging="567" w:left="567" w:right="0"/>
        <w:jc w:val="both"/>
      </w:pPr>
      <w:r>
        <w:rPr>
          <w:rFonts w:ascii="Arial" w:cs="Arial" w:hAnsi="Arial"/>
          <w:color w:val="000000"/>
        </w:rPr>
        <w:t>Segundo Plan Socialista de Desarrollo Económico y Social de la Nación 2013-2019</w:t>
      </w:r>
    </w:p>
    <w:p>
      <w:pPr>
        <w:pStyle w:val="style197"/>
        <w:spacing w:after="0" w:before="0" w:line="360" w:lineRule="auto"/>
        <w:ind w:hanging="567" w:left="567" w:right="0"/>
        <w:jc w:val="both"/>
      </w:pPr>
      <w:r>
        <w:rPr>
          <w:rFonts w:ascii="Arial" w:cs="Arial" w:hAnsi="Arial"/>
          <w:color w:val="000000"/>
        </w:rPr>
      </w:r>
    </w:p>
    <w:p>
      <w:pPr>
        <w:pStyle w:val="style0"/>
        <w:autoSpaceDE w:val="false"/>
        <w:spacing w:after="0" w:before="0" w:line="240" w:lineRule="auto"/>
        <w:ind w:hanging="567" w:left="567" w:right="0"/>
        <w:jc w:val="both"/>
      </w:pPr>
      <w:r>
        <w:rPr>
          <w:rFonts w:ascii="Arial" w:cs="Arial" w:hAnsi="Arial"/>
          <w:b/>
          <w:color w:val="000000"/>
          <w:sz w:val="24"/>
          <w:szCs w:val="24"/>
        </w:rPr>
      </w:r>
    </w:p>
    <w:p>
      <w:pPr>
        <w:pStyle w:val="style0"/>
        <w:autoSpaceDE w:val="false"/>
        <w:spacing w:after="0" w:before="0" w:line="240" w:lineRule="auto"/>
        <w:ind w:hanging="567" w:left="567" w:right="0"/>
        <w:jc w:val="both"/>
      </w:pPr>
      <w:r>
        <w:rPr>
          <w:rFonts w:ascii="Arial" w:cs="Arial" w:hAnsi="Arial"/>
          <w:b/>
          <w:color w:val="000000"/>
          <w:sz w:val="24"/>
          <w:szCs w:val="24"/>
        </w:rPr>
        <w:t>Página Virtual</w:t>
      </w:r>
      <w:r>
        <w:rPr>
          <w:rFonts w:ascii="Arial" w:cs="Arial" w:hAnsi="Arial"/>
          <w:color w:val="000000"/>
          <w:sz w:val="24"/>
          <w:szCs w:val="24"/>
        </w:rPr>
        <w:t>:</w:t>
      </w:r>
    </w:p>
    <w:p>
      <w:pPr>
        <w:pStyle w:val="style0"/>
        <w:autoSpaceDE w:val="false"/>
        <w:spacing w:after="0" w:before="0" w:line="240" w:lineRule="auto"/>
        <w:ind w:hanging="567" w:left="567" w:right="0"/>
        <w:jc w:val="both"/>
      </w:pPr>
      <w:r>
        <w:rPr>
          <w:rFonts w:ascii="Arial" w:cs="Arial" w:hAnsi="Arial"/>
          <w:color w:val="000000"/>
          <w:sz w:val="24"/>
          <w:szCs w:val="24"/>
        </w:rPr>
      </w:r>
    </w:p>
    <w:p>
      <w:pPr>
        <w:pStyle w:val="style0"/>
        <w:spacing w:line="240" w:lineRule="auto"/>
        <w:ind w:hanging="567" w:left="567" w:right="0"/>
        <w:jc w:val="both"/>
      </w:pPr>
      <w:hyperlink r:id="rId65">
        <w:r>
          <w:rPr>
            <w:rStyle w:val="style148"/>
            <w:rStyle w:val="style148"/>
            <w:rFonts w:ascii="Arial" w:hAnsi="Arial"/>
            <w:sz w:val="24"/>
            <w:szCs w:val="24"/>
            <w:lang w:val="es-VE"/>
          </w:rPr>
          <w:t>http://sinergia.globered.com/categoria.asp?idcat=3213/01/2015</w:t>
        </w:r>
      </w:hyperlink>
    </w:p>
    <w:p>
      <w:pPr>
        <w:pStyle w:val="style0"/>
        <w:spacing w:line="240" w:lineRule="auto"/>
        <w:ind w:hanging="567" w:left="567" w:right="0"/>
        <w:jc w:val="both"/>
      </w:pPr>
      <w:hyperlink r:id="rId66">
        <w:r>
          <w:rPr>
            <w:rStyle w:val="style148"/>
            <w:rStyle w:val="style148"/>
            <w:rFonts w:ascii="Arial" w:hAnsi="Arial"/>
            <w:sz w:val="24"/>
            <w:szCs w:val="24"/>
            <w:lang w:val="es-VE"/>
          </w:rPr>
          <w:t>http://www.unilibre.edu.co/CienciasEconomicas/Webcontaduria/estudie/Gerencia/GerenGesti.htm 01/02/2015</w:t>
        </w:r>
      </w:hyperlink>
    </w:p>
    <w:p>
      <w:pPr>
        <w:pStyle w:val="style0"/>
        <w:spacing w:line="240" w:lineRule="auto"/>
        <w:ind w:hanging="567" w:left="567" w:right="0"/>
        <w:jc w:val="both"/>
      </w:pPr>
      <w:hyperlink r:id="rId67">
        <w:r>
          <w:rPr>
            <w:rStyle w:val="style148"/>
            <w:rStyle w:val="style148"/>
            <w:rFonts w:ascii="Arial" w:cs="Arial" w:hAnsi="Arial"/>
            <w:color w:val="000000"/>
            <w:sz w:val="24"/>
            <w:szCs w:val="24"/>
            <w:lang w:val="es-VE"/>
          </w:rPr>
          <w:t>http://jgarciap81.wordpress.com15/02/2015</w:t>
        </w:r>
      </w:hyperlink>
    </w:p>
    <w:p>
      <w:pPr>
        <w:pStyle w:val="style0"/>
        <w:spacing w:line="240" w:lineRule="auto"/>
        <w:ind w:hanging="567" w:left="567" w:right="0"/>
        <w:jc w:val="both"/>
      </w:pPr>
      <w:r>
        <w:rPr>
          <w:rFonts w:ascii="Arial" w:cs="Arial" w:eastAsia="Arial" w:hAnsi="Arial"/>
          <w:color w:val="000000"/>
          <w:sz w:val="24"/>
          <w:szCs w:val="24"/>
          <w:lang w:val="es-VE"/>
        </w:rPr>
        <w:t xml:space="preserve"> </w:t>
      </w:r>
      <w:hyperlink r:id="rId68">
        <w:r>
          <w:rPr>
            <w:rStyle w:val="style148"/>
            <w:rStyle w:val="style148"/>
            <w:rFonts w:ascii="Arial" w:hAnsi="Arial"/>
            <w:sz w:val="24"/>
            <w:szCs w:val="24"/>
            <w:lang w:val="es-VE"/>
          </w:rPr>
          <w:t>http://es.wikipedia.org/wiki/Basura20/02/2015</w:t>
        </w:r>
      </w:hyperlink>
    </w:p>
    <w:p>
      <w:pPr>
        <w:pStyle w:val="style0"/>
        <w:spacing w:line="240" w:lineRule="auto"/>
        <w:ind w:hanging="567" w:left="567" w:right="0"/>
        <w:jc w:val="both"/>
      </w:pPr>
      <w:hyperlink r:id="rId69">
        <w:r>
          <w:rPr>
            <w:rStyle w:val="style148"/>
            <w:rStyle w:val="style148"/>
            <w:rFonts w:ascii="Arial" w:cs="Arial" w:hAnsi="Arial"/>
            <w:color w:val="000000"/>
            <w:sz w:val="24"/>
            <w:szCs w:val="24"/>
            <w:lang w:val="es-VE"/>
          </w:rPr>
          <w:t>http://www.vitalis.net/13/03/2015</w:t>
        </w:r>
      </w:hyperlink>
      <w:r>
        <w:rPr>
          <w:rFonts w:ascii="Arial" w:cs="Arial" w:hAnsi="Arial"/>
          <w:color w:val="000000"/>
          <w:sz w:val="24"/>
          <w:szCs w:val="24"/>
          <w:lang w:val="es-VE"/>
        </w:rPr>
        <w:t xml:space="preserve"> </w:t>
      </w:r>
    </w:p>
    <w:p>
      <w:pPr>
        <w:pStyle w:val="style0"/>
        <w:spacing w:line="240" w:lineRule="auto"/>
        <w:ind w:hanging="567" w:left="567" w:right="0"/>
        <w:jc w:val="both"/>
      </w:pPr>
      <w:r>
        <w:rPr>
          <w:rFonts w:ascii="Arial" w:cs="Arial" w:eastAsia="Arial" w:hAnsi="Arial"/>
          <w:color w:val="000000"/>
          <w:sz w:val="24"/>
          <w:szCs w:val="24"/>
          <w:lang w:val="es-VE"/>
        </w:rPr>
        <w:t xml:space="preserve"> </w:t>
      </w:r>
      <w:hyperlink r:id="rId70">
        <w:r>
          <w:rPr>
            <w:rStyle w:val="style148"/>
            <w:rStyle w:val="style148"/>
            <w:rFonts w:ascii="Arial" w:hAnsi="Arial"/>
            <w:sz w:val="24"/>
            <w:szCs w:val="24"/>
            <w:lang w:val="es-VE"/>
          </w:rPr>
          <w:t>http://elreciclaje.org/content/datos-sobre-el-reciclaje 15/03/2015</w:t>
        </w:r>
      </w:hyperlink>
      <w:r>
        <w:rPr>
          <w:rFonts w:ascii="Arial" w:cs="Arial" w:hAnsi="Arial"/>
          <w:color w:val="000000"/>
          <w:sz w:val="24"/>
          <w:szCs w:val="24"/>
          <w:lang w:val="es-VE"/>
        </w:rPr>
        <w:t xml:space="preserve"> </w:t>
      </w:r>
    </w:p>
    <w:p>
      <w:pPr>
        <w:pStyle w:val="style0"/>
        <w:spacing w:line="240" w:lineRule="auto"/>
        <w:ind w:hanging="567" w:left="567" w:right="0"/>
        <w:jc w:val="both"/>
      </w:pPr>
      <w:hyperlink r:id="rId71">
        <w:r>
          <w:rPr>
            <w:rStyle w:val="style148"/>
            <w:rStyle w:val="style148"/>
            <w:rFonts w:ascii="Arial" w:hAnsi="Arial"/>
            <w:sz w:val="24"/>
            <w:szCs w:val="24"/>
            <w:lang w:val="es-VE"/>
          </w:rPr>
          <w:t>http://todosobreelmedioambiente.jimdo.com/</w:t>
        </w:r>
      </w:hyperlink>
      <w:r>
        <w:rPr>
          <w:rFonts w:ascii="Arial" w:cs="Arial" w:hAnsi="Arial"/>
          <w:color w:val="000000"/>
          <w:sz w:val="24"/>
          <w:szCs w:val="24"/>
          <w:lang w:val="es-VE"/>
        </w:rPr>
        <w:t xml:space="preserve"> </w:t>
      </w:r>
    </w:p>
    <w:p>
      <w:pPr>
        <w:pStyle w:val="style0"/>
        <w:spacing w:line="240" w:lineRule="auto"/>
        <w:ind w:hanging="567" w:left="567" w:right="0"/>
        <w:jc w:val="both"/>
      </w:pPr>
      <w:hyperlink r:id="rId72">
        <w:r>
          <w:rPr>
            <w:rStyle w:val="style148"/>
            <w:rStyle w:val="style148"/>
            <w:rFonts w:ascii="Arial" w:hAnsi="Arial"/>
            <w:sz w:val="24"/>
            <w:szCs w:val="24"/>
            <w:lang w:val="es-VE"/>
          </w:rPr>
          <w:t>www.ocio.net/estilo-de-vida/ecologismo/como-es-la-cadena-del-reciclado/25/03/2015</w:t>
        </w:r>
      </w:hyperlink>
    </w:p>
    <w:p>
      <w:pPr>
        <w:pStyle w:val="style190"/>
        <w:ind w:hanging="567" w:left="567" w:right="0"/>
        <w:jc w:val="both"/>
      </w:pPr>
      <w:r>
        <w:rPr>
          <w:rFonts w:ascii="Arial" w:cs="Arial" w:hAnsi="Arial"/>
          <w:color w:val="000000"/>
          <w:sz w:val="24"/>
          <w:szCs w:val="24"/>
          <w:lang w:val="es-VE"/>
        </w:rPr>
      </w:r>
    </w:p>
    <w:p>
      <w:pPr>
        <w:pStyle w:val="style190"/>
        <w:ind w:hanging="142" w:left="142" w:right="0"/>
        <w:jc w:val="center"/>
      </w:pPr>
      <w:r>
        <w:rPr>
          <w:rFonts w:ascii="Arial" w:cs="Arial" w:hAnsi="Arial"/>
          <w:color w:val="000000"/>
          <w:sz w:val="24"/>
          <w:szCs w:val="24"/>
        </w:rPr>
      </w:r>
    </w:p>
    <w:p>
      <w:pPr>
        <w:pStyle w:val="style190"/>
        <w:ind w:hanging="142" w:left="142" w:right="0"/>
        <w:jc w:val="center"/>
      </w:pPr>
      <w:r>
        <w:rPr>
          <w:rFonts w:ascii="Arial" w:cs="Arial" w:hAnsi="Arial"/>
          <w:color w:val="000000"/>
          <w:sz w:val="24"/>
          <w:szCs w:val="24"/>
        </w:rPr>
      </w:r>
    </w:p>
    <w:p>
      <w:pPr>
        <w:pStyle w:val="style190"/>
        <w:ind w:hanging="142" w:left="142" w:right="0"/>
        <w:jc w:val="center"/>
      </w:pPr>
      <w:r>
        <w:rPr>
          <w:rFonts w:ascii="Arial" w:cs="Arial" w:hAnsi="Arial"/>
          <w:color w:val="000000"/>
          <w:sz w:val="24"/>
          <w:szCs w:val="24"/>
        </w:rPr>
      </w:r>
    </w:p>
    <w:p>
      <w:pPr>
        <w:pStyle w:val="style190"/>
        <w:ind w:hanging="142" w:left="142" w:right="0"/>
        <w:jc w:val="center"/>
      </w:pPr>
      <w:r>
        <w:rPr>
          <w:rFonts w:ascii="Arial" w:cs="Arial" w:hAnsi="Arial"/>
          <w:color w:val="000000"/>
          <w:sz w:val="24"/>
          <w:szCs w:val="24"/>
        </w:rPr>
      </w:r>
    </w:p>
    <w:p>
      <w:pPr>
        <w:pStyle w:val="style190"/>
        <w:ind w:hanging="142" w:left="142" w:right="0"/>
        <w:jc w:val="center"/>
      </w:pPr>
      <w:r>
        <w:rPr>
          <w:rFonts w:ascii="Arial" w:cs="Arial" w:hAnsi="Arial"/>
          <w:color w:val="000000"/>
          <w:sz w:val="24"/>
          <w:szCs w:val="24"/>
        </w:rPr>
      </w:r>
    </w:p>
    <w:p>
      <w:pPr>
        <w:pStyle w:val="style190"/>
        <w:ind w:hanging="142" w:left="142" w:right="0"/>
        <w:jc w:val="center"/>
      </w:pPr>
      <w:r>
        <w:rPr>
          <w:rFonts w:ascii="Arial" w:cs="Arial" w:hAnsi="Arial"/>
          <w:color w:val="000000"/>
          <w:sz w:val="24"/>
          <w:szCs w:val="24"/>
        </w:rPr>
      </w:r>
    </w:p>
    <w:p>
      <w:pPr>
        <w:pStyle w:val="style190"/>
        <w:ind w:hanging="142" w:left="142" w:right="0"/>
        <w:jc w:val="center"/>
      </w:pPr>
      <w:r>
        <w:rPr>
          <w:rFonts w:ascii="Arial" w:cs="Arial" w:hAnsi="Arial"/>
          <w:color w:val="000000"/>
          <w:sz w:val="24"/>
          <w:szCs w:val="24"/>
        </w:rPr>
      </w:r>
    </w:p>
    <w:p>
      <w:pPr>
        <w:pStyle w:val="style190"/>
        <w:ind w:hanging="142" w:left="142" w:right="0"/>
        <w:jc w:val="center"/>
      </w:pPr>
      <w:r>
        <w:rPr>
          <w:rFonts w:ascii="Arial" w:cs="Arial" w:hAnsi="Arial"/>
          <w:color w:val="000000"/>
          <w:sz w:val="24"/>
          <w:szCs w:val="24"/>
        </w:rPr>
      </w:r>
    </w:p>
    <w:p>
      <w:pPr>
        <w:pStyle w:val="style0"/>
        <w:shd w:fill="FFFFFF" w:val="clear"/>
        <w:spacing w:after="180" w:before="180"/>
        <w:jc w:val="both"/>
      </w:pPr>
      <w:r>
        <w:rPr/>
      </w:r>
    </w:p>
    <w:p>
      <w:pPr>
        <w:pStyle w:val="style0"/>
        <w:shd w:fill="FFFFFF" w:val="clear"/>
        <w:spacing w:after="180" w:before="180"/>
        <w:jc w:val="both"/>
      </w:pPr>
      <w:r>
        <w:rPr/>
      </w:r>
    </w:p>
    <w:p>
      <w:pPr>
        <w:pStyle w:val="style0"/>
        <w:shd w:fill="FFFFFF" w:val="clear"/>
        <w:spacing w:after="180" w:before="180"/>
        <w:jc w:val="both"/>
      </w:pPr>
      <w:r>
        <w:rPr>
          <w:sz w:val="32"/>
        </w:rPr>
      </w:r>
    </w:p>
    <w:p>
      <w:pPr>
        <w:pStyle w:val="style0"/>
        <w:shd w:fill="FFFFFF" w:val="clear"/>
        <w:spacing w:after="180" w:before="180"/>
        <w:jc w:val="center"/>
      </w:pPr>
      <w:r>
        <w:rPr>
          <w:rFonts w:ascii="Arial" w:cs="Arial" w:hAnsi="Arial"/>
          <w:b/>
          <w:sz w:val="36"/>
          <w:szCs w:val="24"/>
        </w:rPr>
        <w:t>ANEXOS</w:t>
      </w:r>
    </w:p>
    <w:p>
      <w:pPr>
        <w:pStyle w:val="style0"/>
        <w:shd w:fill="FFFFFF" w:val="clear"/>
        <w:spacing w:after="180" w:before="180"/>
        <w:jc w:val="center"/>
      </w:pPr>
      <w:r>
        <w:rPr>
          <w:rFonts w:ascii="Arial" w:cs="Arial" w:hAnsi="Arial"/>
          <w:b/>
          <w:sz w:val="24"/>
          <w:szCs w:val="24"/>
        </w:rPr>
      </w:r>
    </w:p>
    <w:p>
      <w:pPr>
        <w:pStyle w:val="style0"/>
        <w:shd w:fill="FFFFFF" w:val="clear"/>
        <w:spacing w:after="180" w:before="180"/>
        <w:jc w:val="center"/>
      </w:pPr>
      <w:r>
        <w:rPr>
          <w:rFonts w:ascii="Arial" w:cs="Arial" w:hAnsi="Arial"/>
          <w:b/>
          <w:sz w:val="24"/>
          <w:szCs w:val="24"/>
        </w:rPr>
      </w:r>
    </w:p>
    <w:p>
      <w:pPr>
        <w:pStyle w:val="style0"/>
        <w:shd w:fill="FFFFFF" w:val="clear"/>
        <w:spacing w:after="180" w:before="180"/>
        <w:jc w:val="center"/>
      </w:pPr>
      <w:r>
        <w:rPr>
          <w:rFonts w:ascii="Arial" w:cs="Arial" w:hAnsi="Arial"/>
          <w:b/>
          <w:sz w:val="24"/>
          <w:szCs w:val="24"/>
        </w:rPr>
      </w:r>
    </w:p>
    <w:p>
      <w:pPr>
        <w:pStyle w:val="style0"/>
        <w:shd w:fill="FFFFFF" w:val="clear"/>
        <w:spacing w:after="180" w:before="180"/>
        <w:jc w:val="center"/>
      </w:pPr>
      <w:r>
        <w:rPr>
          <w:rFonts w:ascii="Arial" w:cs="Arial" w:hAnsi="Arial"/>
          <w:b/>
          <w:sz w:val="24"/>
          <w:szCs w:val="24"/>
        </w:rPr>
      </w:r>
    </w:p>
    <w:p>
      <w:pPr>
        <w:pStyle w:val="style0"/>
        <w:shd w:fill="FFFFFF" w:val="clear"/>
        <w:spacing w:after="180" w:before="180"/>
        <w:jc w:val="center"/>
      </w:pPr>
      <w:r>
        <w:rPr>
          <w:rFonts w:ascii="Arial" w:cs="Arial" w:hAnsi="Arial"/>
          <w:b/>
          <w:sz w:val="24"/>
          <w:szCs w:val="24"/>
        </w:rPr>
      </w:r>
    </w:p>
    <w:p>
      <w:pPr>
        <w:pStyle w:val="style0"/>
        <w:shd w:fill="FFFFFF" w:val="clear"/>
        <w:spacing w:after="180" w:before="180"/>
        <w:jc w:val="center"/>
      </w:pPr>
      <w:r>
        <w:rPr>
          <w:rFonts w:ascii="Arial" w:cs="Arial" w:hAnsi="Arial"/>
          <w:b/>
          <w:sz w:val="24"/>
          <w:szCs w:val="24"/>
        </w:rPr>
      </w:r>
    </w:p>
    <w:p>
      <w:pPr>
        <w:pStyle w:val="style0"/>
        <w:shd w:fill="FFFFFF" w:val="clear"/>
        <w:spacing w:after="180" w:before="180"/>
        <w:jc w:val="center"/>
      </w:pPr>
      <w:r>
        <w:rPr>
          <w:rFonts w:ascii="Arial" w:cs="Arial" w:hAnsi="Arial"/>
          <w:b/>
          <w:sz w:val="24"/>
          <w:szCs w:val="24"/>
        </w:rPr>
      </w:r>
    </w:p>
    <w:p>
      <w:pPr>
        <w:pStyle w:val="style0"/>
        <w:shd w:fill="FFFFFF" w:val="clear"/>
        <w:spacing w:after="180" w:before="180"/>
        <w:jc w:val="center"/>
      </w:pPr>
      <w:r>
        <w:rPr>
          <w:rFonts w:ascii="Arial" w:cs="Arial" w:hAnsi="Arial"/>
          <w:b/>
          <w:sz w:val="24"/>
          <w:szCs w:val="24"/>
        </w:rPr>
      </w:r>
    </w:p>
    <w:p>
      <w:pPr>
        <w:pStyle w:val="style0"/>
        <w:shd w:fill="FFFFFF" w:val="clear"/>
        <w:spacing w:after="180" w:before="180"/>
        <w:jc w:val="center"/>
      </w:pPr>
      <w:r>
        <w:rPr>
          <w:rFonts w:ascii="Arial" w:cs="Arial" w:hAnsi="Arial"/>
          <w:b/>
          <w:sz w:val="24"/>
          <w:szCs w:val="24"/>
        </w:rPr>
      </w:r>
    </w:p>
    <w:p>
      <w:pPr>
        <w:pStyle w:val="style0"/>
        <w:shd w:fill="FFFFFF" w:val="clear"/>
        <w:spacing w:after="180" w:before="180"/>
        <w:jc w:val="center"/>
      </w:pPr>
      <w:r>
        <w:rPr>
          <w:rFonts w:ascii="Arial" w:cs="Arial" w:hAnsi="Arial"/>
          <w:b/>
          <w:sz w:val="24"/>
          <w:szCs w:val="24"/>
        </w:rPr>
      </w:r>
    </w:p>
    <w:p>
      <w:pPr>
        <w:pStyle w:val="style0"/>
        <w:shd w:fill="FFFFFF" w:val="clear"/>
        <w:spacing w:after="180" w:before="180"/>
        <w:jc w:val="center"/>
      </w:pPr>
      <w:r>
        <w:rPr>
          <w:rFonts w:ascii="Arial" w:cs="Arial" w:hAnsi="Arial"/>
          <w:b/>
          <w:sz w:val="24"/>
          <w:szCs w:val="24"/>
        </w:rPr>
      </w:r>
    </w:p>
    <w:p>
      <w:pPr>
        <w:pStyle w:val="style0"/>
        <w:shd w:fill="FFFFFF" w:val="clear"/>
        <w:spacing w:after="180" w:before="180"/>
        <w:jc w:val="center"/>
      </w:pPr>
      <w:r>
        <w:rPr>
          <w:rFonts w:ascii="Arial" w:cs="Arial" w:hAnsi="Arial"/>
          <w:b/>
          <w:sz w:val="24"/>
          <w:szCs w:val="24"/>
        </w:rPr>
      </w:r>
    </w:p>
    <w:p>
      <w:pPr>
        <w:pStyle w:val="style0"/>
        <w:shd w:fill="FFFFFF" w:val="clear"/>
        <w:spacing w:after="180" w:before="180"/>
        <w:jc w:val="center"/>
      </w:pPr>
      <w:r>
        <w:rPr>
          <w:rFonts w:ascii="Arial" w:cs="Arial" w:hAnsi="Arial"/>
          <w:b/>
          <w:sz w:val="24"/>
          <w:szCs w:val="24"/>
        </w:rPr>
      </w:r>
    </w:p>
    <w:p>
      <w:pPr>
        <w:pStyle w:val="style0"/>
        <w:shd w:fill="FFFFFF" w:val="clear"/>
        <w:spacing w:after="180" w:before="180"/>
        <w:jc w:val="center"/>
      </w:pPr>
      <w:r>
        <w:rPr>
          <w:rFonts w:ascii="Arial" w:cs="Arial" w:hAnsi="Arial"/>
          <w:b/>
          <w:sz w:val="24"/>
          <w:szCs w:val="24"/>
        </w:rPr>
      </w:r>
    </w:p>
    <w:p>
      <w:pPr>
        <w:pStyle w:val="style0"/>
        <w:shd w:fill="FFFFFF" w:val="clear"/>
        <w:spacing w:after="180" w:before="180"/>
        <w:jc w:val="center"/>
      </w:pPr>
      <w:r>
        <w:rPr>
          <w:rFonts w:ascii="Arial" w:cs="Arial" w:hAnsi="Arial"/>
          <w:b/>
          <w:sz w:val="24"/>
          <w:szCs w:val="24"/>
        </w:rPr>
      </w:r>
    </w:p>
    <w:p>
      <w:pPr>
        <w:pStyle w:val="style0"/>
        <w:shd w:fill="FFFFFF" w:val="clear"/>
        <w:spacing w:after="180" w:before="180"/>
        <w:jc w:val="center"/>
      </w:pPr>
      <w:r>
        <w:rPr>
          <w:rFonts w:ascii="Arial" w:cs="Arial" w:hAnsi="Arial"/>
          <w:b/>
          <w:sz w:val="24"/>
          <w:szCs w:val="24"/>
        </w:rPr>
      </w:r>
    </w:p>
    <w:p>
      <w:pPr>
        <w:pStyle w:val="style0"/>
        <w:shd w:fill="FFFFFF" w:val="clear"/>
        <w:spacing w:after="180" w:before="180"/>
        <w:jc w:val="center"/>
      </w:pPr>
      <w:r>
        <w:rPr>
          <w:rFonts w:ascii="Arial" w:cs="Arial" w:hAnsi="Arial"/>
          <w:b/>
          <w:sz w:val="24"/>
          <w:szCs w:val="24"/>
        </w:rPr>
      </w:r>
    </w:p>
    <w:p>
      <w:pPr>
        <w:pStyle w:val="style0"/>
        <w:shd w:fill="FFFFFF" w:val="clear"/>
        <w:spacing w:after="180" w:before="180"/>
        <w:jc w:val="center"/>
      </w:pPr>
      <w:r>
        <w:rPr>
          <w:rFonts w:ascii="Arial" w:cs="Arial" w:hAnsi="Arial"/>
          <w:b/>
          <w:sz w:val="24"/>
          <w:szCs w:val="24"/>
        </w:rPr>
      </w:r>
    </w:p>
    <w:p>
      <w:pPr>
        <w:pStyle w:val="style0"/>
        <w:shd w:fill="FFFFFF" w:val="clear"/>
        <w:spacing w:after="180" w:before="180"/>
        <w:jc w:val="center"/>
      </w:pPr>
      <w:r>
        <w:rPr>
          <w:rFonts w:ascii="Arial" w:cs="Arial" w:hAnsi="Arial"/>
          <w:b/>
          <w:sz w:val="24"/>
          <w:szCs w:val="24"/>
        </w:rPr>
      </w:r>
    </w:p>
    <w:p>
      <w:pPr>
        <w:pStyle w:val="style0"/>
        <w:shd w:fill="FFFFFF" w:val="clear"/>
        <w:spacing w:after="180" w:before="180"/>
        <w:jc w:val="center"/>
      </w:pPr>
      <w:r>
        <w:rPr>
          <w:rFonts w:ascii="Arial" w:cs="Arial" w:hAnsi="Arial"/>
          <w:b/>
          <w:sz w:val="24"/>
          <w:szCs w:val="24"/>
        </w:rPr>
      </w:r>
    </w:p>
    <w:p>
      <w:pPr>
        <w:pStyle w:val="style0"/>
        <w:shd w:fill="FFFFFF" w:val="clear"/>
        <w:spacing w:after="180" w:before="180"/>
        <w:jc w:val="center"/>
      </w:pPr>
      <w:r>
        <w:rPr>
          <w:rFonts w:ascii="Arial" w:cs="Arial" w:hAnsi="Arial"/>
          <w:b/>
          <w:sz w:val="24"/>
          <w:szCs w:val="24"/>
        </w:rPr>
      </w:r>
    </w:p>
    <w:p>
      <w:pPr>
        <w:pStyle w:val="style0"/>
        <w:shd w:fill="FFFFFF" w:val="clear"/>
        <w:spacing w:after="180" w:before="180"/>
        <w:jc w:val="center"/>
      </w:pPr>
      <w:r>
        <w:rPr>
          <w:rFonts w:ascii="Arial" w:cs="Arial" w:hAnsi="Arial"/>
          <w:b/>
          <w:sz w:val="24"/>
          <w:szCs w:val="24"/>
        </w:rPr>
      </w:r>
    </w:p>
    <w:p>
      <w:pPr>
        <w:pStyle w:val="style0"/>
        <w:shd w:fill="FFFFFF" w:val="clear"/>
        <w:spacing w:after="180" w:before="180"/>
        <w:jc w:val="center"/>
      </w:pPr>
      <w:r>
        <w:rPr>
          <w:rFonts w:ascii="Arial" w:cs="Arial" w:hAnsi="Arial"/>
          <w:b/>
          <w:sz w:val="24"/>
          <w:szCs w:val="24"/>
        </w:rPr>
      </w:r>
    </w:p>
    <w:p>
      <w:pPr>
        <w:pStyle w:val="style0"/>
        <w:shd w:fill="FFFFFF" w:val="clear"/>
        <w:spacing w:after="180" w:before="180"/>
        <w:jc w:val="center"/>
      </w:pPr>
      <w:r>
        <w:rPr>
          <w:rFonts w:ascii="Arial" w:cs="Arial" w:hAnsi="Arial"/>
          <w:b/>
          <w:sz w:val="24"/>
          <w:szCs w:val="24"/>
        </w:rPr>
        <w:t>ANEXO A</w:t>
      </w:r>
    </w:p>
    <w:p>
      <w:pPr>
        <w:pStyle w:val="style0"/>
        <w:shd w:fill="FFFFFF" w:val="clear"/>
        <w:spacing w:after="180" w:before="180"/>
        <w:jc w:val="center"/>
      </w:pPr>
      <w:r>
        <w:rPr>
          <w:rFonts w:ascii="Arial" w:cs="Arial" w:hAnsi="Arial"/>
          <w:b/>
          <w:sz w:val="24"/>
          <w:szCs w:val="24"/>
        </w:rPr>
        <w:t>INSTRUMENTO</w:t>
      </w:r>
    </w:p>
    <w:p>
      <w:pPr>
        <w:pStyle w:val="style196"/>
        <w:pageBreakBefore/>
        <w:spacing w:line="360" w:lineRule="auto"/>
        <w:jc w:val="center"/>
      </w:pPr>
      <w:r>
        <w:rPr>
          <w:rFonts w:ascii="Arial" w:cs="Arial" w:hAnsi="Arial"/>
          <w:b/>
          <w:sz w:val="20"/>
          <w:szCs w:val="20"/>
        </w:rPr>
        <w:t>REPUBLICA BOLIVARIANA DE VENEZUELA</w:t>
      </w:r>
    </w:p>
    <w:p>
      <w:pPr>
        <w:pStyle w:val="style196"/>
        <w:spacing w:line="360" w:lineRule="auto"/>
        <w:jc w:val="center"/>
      </w:pPr>
      <w:r>
        <w:rPr>
          <w:rFonts w:ascii="Arial" w:cs="Arial" w:hAnsi="Arial"/>
          <w:b/>
          <w:sz w:val="20"/>
          <w:szCs w:val="20"/>
        </w:rPr>
        <w:t xml:space="preserve">MINISTERIO DEL PODER POPULAR PARA LA DE EDUCACIÓN UNIVERSITARIA </w:t>
      </w:r>
    </w:p>
    <w:p>
      <w:pPr>
        <w:pStyle w:val="style196"/>
        <w:spacing w:line="360" w:lineRule="auto"/>
        <w:jc w:val="center"/>
      </w:pPr>
      <w:r>
        <w:rPr>
          <w:rFonts w:ascii="Arial" w:cs="Arial" w:hAnsi="Arial"/>
          <w:b/>
          <w:sz w:val="20"/>
          <w:szCs w:val="20"/>
        </w:rPr>
        <w:t xml:space="preserve">UNIVERSIDAD DE CARABOBO </w:t>
      </w:r>
    </w:p>
    <w:p>
      <w:pPr>
        <w:pStyle w:val="style196"/>
        <w:spacing w:line="360" w:lineRule="auto"/>
        <w:jc w:val="center"/>
      </w:pPr>
      <w:r>
        <w:rPr>
          <w:rFonts w:ascii="Arial" w:cs="Arial" w:hAnsi="Arial"/>
          <w:b/>
          <w:sz w:val="20"/>
          <w:szCs w:val="20"/>
        </w:rPr>
        <w:t>FACULTAD DE CIENCIAS ECONÓMICAS Y SOCIALES DIRECCIÓN DE POSTGRADO</w:t>
      </w:r>
    </w:p>
    <w:p>
      <w:pPr>
        <w:pStyle w:val="style199"/>
        <w:autoSpaceDE w:val="false"/>
        <w:spacing w:after="0" w:before="0" w:line="360" w:lineRule="auto"/>
        <w:ind w:hanging="0" w:left="0" w:right="0"/>
        <w:jc w:val="center"/>
      </w:pPr>
      <w:r>
        <w:rPr>
          <w:rFonts w:ascii="Arial" w:cs="Arial" w:hAnsi="Arial"/>
          <w:b/>
          <w:sz w:val="20"/>
          <w:szCs w:val="20"/>
        </w:rPr>
        <w:t>MAESTRÍA EN ADMINISTRACIÓN DE EMPRESAS: MENCIÓN FINANZAS</w:t>
      </w:r>
    </w:p>
    <w:p>
      <w:pPr>
        <w:pStyle w:val="style199"/>
        <w:autoSpaceDE w:val="false"/>
        <w:spacing w:after="0" w:before="0" w:line="360" w:lineRule="auto"/>
        <w:ind w:hanging="0" w:left="0" w:right="0"/>
        <w:jc w:val="center"/>
      </w:pPr>
      <w:r>
        <w:rPr>
          <w:rFonts w:ascii="Arial" w:cs="Arial" w:hAnsi="Arial"/>
          <w:b/>
          <w:sz w:val="20"/>
          <w:szCs w:val="20"/>
        </w:rPr>
      </w:r>
    </w:p>
    <w:p>
      <w:pPr>
        <w:pStyle w:val="style199"/>
        <w:autoSpaceDE w:val="false"/>
        <w:spacing w:after="0" w:before="0" w:line="360" w:lineRule="auto"/>
        <w:ind w:hanging="0" w:left="0" w:right="0"/>
        <w:jc w:val="both"/>
      </w:pPr>
      <w:r>
        <w:rPr>
          <w:rFonts w:ascii="Arial" w:cs="Arial" w:hAnsi="Arial"/>
          <w:sz w:val="20"/>
          <w:szCs w:val="20"/>
        </w:rPr>
        <w:t>El instrumento que a continuación se presenta tiene como propósito de recabar información relacionada con</w:t>
      </w:r>
      <w:r>
        <w:rPr>
          <w:rFonts w:ascii="Arial" w:cs="Arial" w:hAnsi="Arial"/>
          <w:b/>
          <w:sz w:val="20"/>
          <w:szCs w:val="20"/>
        </w:rPr>
        <w:t xml:space="preserve">  ESTRATÉGIAS FINANCIERAS OPERACIONALES  PARA LA REUTILIZACIÓN DE BIENES NACIONALES DE INSTITUTO UNIVERSITARIO DE TECNOLOGÍA DE YARACUYCOMO INSUMO PARA LA PRODUCCIÓN AUTOMOTRIZ Y LA CONSTRUCCIÓN CIVIL EN VENEZUELA</w:t>
      </w:r>
      <w:r>
        <w:rPr>
          <w:rFonts w:ascii="Arial" w:cs="Arial" w:hAnsi="Arial"/>
          <w:sz w:val="20"/>
          <w:szCs w:val="20"/>
        </w:rPr>
        <w:t xml:space="preserve"> con el objetivo Elaborar las estrategias financieras – operacionales  para la gestión de la desincorporación de los </w:t>
      </w:r>
      <w:r>
        <w:rPr>
          <w:rFonts w:ascii="Arial" w:cs="Arial" w:hAnsi="Arial"/>
          <w:color w:val="000000"/>
          <w:sz w:val="20"/>
          <w:szCs w:val="20"/>
        </w:rPr>
        <w:t xml:space="preserve">bienes nacionales en estado de </w:t>
      </w:r>
      <w:r>
        <w:rPr>
          <w:rFonts w:ascii="Arial" w:cs="Arial" w:hAnsi="Arial"/>
          <w:sz w:val="20"/>
          <w:szCs w:val="20"/>
        </w:rPr>
        <w:t>corrosión, obsoletos y en deterioro   del Instituto Universitario de Tecnología de Estado  Yaracuy</w:t>
      </w:r>
    </w:p>
    <w:p>
      <w:pPr>
        <w:pStyle w:val="style0"/>
        <w:spacing w:line="360" w:lineRule="auto"/>
        <w:ind w:firstLine="709" w:left="0" w:right="0"/>
        <w:jc w:val="center"/>
      </w:pPr>
      <w:r>
        <w:rPr>
          <w:rFonts w:ascii="Arial" w:cs="Arial" w:hAnsi="Arial"/>
          <w:sz w:val="20"/>
          <w:szCs w:val="20"/>
        </w:rPr>
        <w:t>.</w:t>
      </w:r>
      <w:r>
        <w:rPr>
          <w:rFonts w:ascii="Arial" w:cs="Arial" w:hAnsi="Arial"/>
          <w:b/>
          <w:sz w:val="20"/>
          <w:szCs w:val="20"/>
        </w:rPr>
        <w:t>INSTRUCCIONES</w:t>
      </w:r>
    </w:p>
    <w:p>
      <w:pPr>
        <w:pStyle w:val="style0"/>
        <w:widowControl w:val="false"/>
        <w:spacing w:line="360" w:lineRule="auto"/>
        <w:ind w:firstLine="360" w:left="0" w:right="0"/>
        <w:jc w:val="both"/>
      </w:pPr>
      <w:r>
        <w:rPr>
          <w:rFonts w:ascii="Arial" w:cs="Arial" w:hAnsi="Arial"/>
          <w:sz w:val="20"/>
          <w:szCs w:val="20"/>
        </w:rPr>
        <w:t>El encuestador marcará con una (X) la opción que considere correcta o acorde con su realidad. Para ello resultará oportuno atender los siguientes señalamientos:</w:t>
      </w:r>
    </w:p>
    <w:p>
      <w:pPr>
        <w:pStyle w:val="style0"/>
        <w:widowControl w:val="false"/>
        <w:numPr>
          <w:ilvl w:val="0"/>
          <w:numId w:val="6"/>
        </w:numPr>
        <w:spacing w:after="0" w:before="0" w:line="360" w:lineRule="auto"/>
        <w:jc w:val="both"/>
      </w:pPr>
      <w:r>
        <w:rPr>
          <w:rFonts w:ascii="Arial" w:cs="Arial" w:hAnsi="Arial"/>
          <w:sz w:val="20"/>
          <w:szCs w:val="20"/>
        </w:rPr>
        <w:t>Sírvase responder las preguntas con franqueza.</w:t>
      </w:r>
    </w:p>
    <w:p>
      <w:pPr>
        <w:pStyle w:val="style0"/>
        <w:numPr>
          <w:ilvl w:val="0"/>
          <w:numId w:val="6"/>
        </w:numPr>
        <w:spacing w:after="0" w:before="0" w:line="360" w:lineRule="auto"/>
        <w:jc w:val="both"/>
      </w:pPr>
      <w:r>
        <w:rPr>
          <w:rFonts w:ascii="Arial" w:cs="Arial" w:hAnsi="Arial"/>
          <w:sz w:val="20"/>
          <w:szCs w:val="20"/>
        </w:rPr>
        <w:t>Cada calificación está presentada mediante letras de la “A” hasta la “E”. A continuación, se indica el significado de cada calificación literal:</w:t>
      </w:r>
    </w:p>
    <w:p>
      <w:pPr>
        <w:pStyle w:val="style0"/>
        <w:spacing w:line="240" w:lineRule="auto"/>
        <w:ind w:hanging="0" w:left="2517" w:right="0"/>
        <w:jc w:val="both"/>
      </w:pPr>
      <w:r>
        <w:rPr>
          <w:rFonts w:ascii="Arial" w:cs="Arial" w:hAnsi="Arial"/>
          <w:b/>
          <w:sz w:val="20"/>
          <w:szCs w:val="20"/>
        </w:rPr>
        <w:t>A: Siempre.</w:t>
      </w:r>
    </w:p>
    <w:p>
      <w:pPr>
        <w:pStyle w:val="style0"/>
        <w:spacing w:line="240" w:lineRule="auto"/>
        <w:ind w:hanging="0" w:left="2517" w:right="0"/>
        <w:jc w:val="both"/>
      </w:pPr>
      <w:r>
        <w:rPr>
          <w:rFonts w:ascii="Arial" w:cs="Arial" w:hAnsi="Arial"/>
          <w:b/>
          <w:sz w:val="20"/>
          <w:szCs w:val="20"/>
        </w:rPr>
        <w:t>B: Casi Siempre.</w:t>
      </w:r>
    </w:p>
    <w:p>
      <w:pPr>
        <w:pStyle w:val="style0"/>
        <w:spacing w:line="240" w:lineRule="auto"/>
        <w:ind w:hanging="0" w:left="2517" w:right="0"/>
        <w:jc w:val="both"/>
      </w:pPr>
      <w:r>
        <w:rPr>
          <w:rFonts w:ascii="Arial" w:cs="Arial" w:hAnsi="Arial"/>
          <w:b/>
          <w:sz w:val="20"/>
          <w:szCs w:val="20"/>
        </w:rPr>
        <w:t>C: A veces.</w:t>
      </w:r>
    </w:p>
    <w:p>
      <w:pPr>
        <w:pStyle w:val="style0"/>
        <w:spacing w:line="240" w:lineRule="auto"/>
        <w:ind w:hanging="0" w:left="2517" w:right="0"/>
        <w:jc w:val="both"/>
      </w:pPr>
      <w:r>
        <w:rPr>
          <w:rFonts w:ascii="Arial" w:cs="Arial" w:hAnsi="Arial"/>
          <w:b/>
          <w:sz w:val="20"/>
          <w:szCs w:val="20"/>
        </w:rPr>
        <w:t>D: Casi Nunca.</w:t>
      </w:r>
    </w:p>
    <w:p>
      <w:pPr>
        <w:pStyle w:val="style0"/>
        <w:spacing w:line="240" w:lineRule="auto"/>
        <w:ind w:hanging="0" w:left="2517" w:right="0"/>
        <w:jc w:val="both"/>
      </w:pPr>
      <w:r>
        <w:rPr>
          <w:rFonts w:ascii="Arial" w:cs="Arial" w:hAnsi="Arial"/>
          <w:b/>
          <w:sz w:val="20"/>
          <w:szCs w:val="20"/>
        </w:rPr>
        <w:t>E: Nunca.</w:t>
      </w:r>
    </w:p>
    <w:p>
      <w:pPr>
        <w:pStyle w:val="style0"/>
        <w:widowControl w:val="false"/>
        <w:numPr>
          <w:ilvl w:val="0"/>
          <w:numId w:val="6"/>
        </w:numPr>
        <w:spacing w:after="0" w:before="0" w:line="360" w:lineRule="auto"/>
        <w:jc w:val="both"/>
      </w:pPr>
      <w:r>
        <w:rPr>
          <w:rFonts w:ascii="Arial" w:cs="Arial" w:hAnsi="Arial"/>
          <w:sz w:val="20"/>
          <w:szCs w:val="20"/>
        </w:rPr>
        <w:t>Consulte al encuestador en caso de duda.</w:t>
      </w:r>
    </w:p>
    <w:p>
      <w:pPr>
        <w:pStyle w:val="style0"/>
        <w:widowControl w:val="false"/>
        <w:numPr>
          <w:ilvl w:val="0"/>
          <w:numId w:val="6"/>
        </w:numPr>
        <w:spacing w:after="0" w:before="0" w:line="360" w:lineRule="auto"/>
        <w:jc w:val="both"/>
      </w:pPr>
      <w:r>
        <w:rPr>
          <w:rFonts w:ascii="Arial" w:cs="Arial" w:hAnsi="Arial"/>
          <w:sz w:val="20"/>
          <w:szCs w:val="20"/>
        </w:rPr>
        <w:t xml:space="preserve">Considere que la información que usted tenga a bien suministrar resulta del todo confidencial.       </w:t>
      </w:r>
    </w:p>
    <w:p>
      <w:pPr>
        <w:pStyle w:val="style0"/>
        <w:numPr>
          <w:ilvl w:val="0"/>
          <w:numId w:val="40"/>
        </w:numPr>
        <w:spacing w:after="0" w:before="0" w:line="360" w:lineRule="auto"/>
        <w:jc w:val="both"/>
      </w:pPr>
      <w:r>
        <w:rPr>
          <w:rFonts w:ascii="Arial" w:cs="Arial" w:eastAsia="Arial" w:hAnsi="Arial"/>
        </w:rPr>
        <w:t xml:space="preserve"> </w:t>
      </w:r>
      <w:r>
        <w:rPr>
          <w:rFonts w:ascii="Arial" w:cs="Arial" w:hAnsi="Arial"/>
          <w:sz w:val="20"/>
        </w:rPr>
        <w:t xml:space="preserve">En caso de tener alguna duda o confusión con el presente cuestionario, favor comunicarse por la siguiente dirección electrónica:  </w:t>
      </w:r>
      <w:hyperlink r:id="rId73">
        <w:r>
          <w:rPr>
            <w:rStyle w:val="style148"/>
            <w:rStyle w:val="style148"/>
            <w:rFonts w:ascii="Arial" w:cs="Arial" w:hAnsi="Arial"/>
            <w:sz w:val="20"/>
          </w:rPr>
          <w:t>odama_12@hotmail.com</w:t>
        </w:r>
      </w:hyperlink>
      <w:r>
        <w:rPr>
          <w:rFonts w:ascii="Arial" w:cs="Arial" w:hAnsi="Arial"/>
        </w:rPr>
        <w:t xml:space="preserve"> </w:t>
      </w:r>
    </w:p>
    <w:p>
      <w:pPr>
        <w:pStyle w:val="style0"/>
        <w:widowControl w:val="false"/>
        <w:spacing w:line="360" w:lineRule="auto"/>
        <w:ind w:hanging="0" w:left="720" w:right="0"/>
        <w:jc w:val="right"/>
      </w:pPr>
      <w:r>
        <w:rPr>
          <w:rFonts w:ascii="Arial" w:cs="Arial" w:hAnsi="Arial"/>
        </w:rPr>
        <w:tab/>
        <w:t xml:space="preserve">                                                  </w:t>
      </w:r>
      <w:r>
        <w:rPr>
          <w:rFonts w:ascii="Arial" w:cs="Arial" w:hAnsi="Arial"/>
          <w:b/>
          <w:sz w:val="20"/>
        </w:rPr>
        <w:t>Mil gracias por su colaboración</w:t>
      </w:r>
    </w:p>
    <w:p>
      <w:pPr>
        <w:pStyle w:val="style0"/>
        <w:jc w:val="both"/>
      </w:pPr>
      <w:r>
        <w:rPr>
          <w:rFonts w:ascii="Arial" w:cs="Arial" w:hAnsi="Arial"/>
        </w:rPr>
      </w:r>
    </w:p>
    <w:tbl>
      <w:tblPr>
        <w:jc w:val="left"/>
        <w:tblBorders>
          <w:bottom w:color="000000" w:space="0" w:sz="4" w:val="single"/>
        </w:tblBorders>
      </w:tblPr>
      <w:tblGrid>
        <w:gridCol w:w="488"/>
        <w:gridCol w:w="5640"/>
        <w:gridCol w:w="645"/>
        <w:gridCol w:w="520"/>
        <w:gridCol w:w="520"/>
        <w:gridCol w:w="520"/>
        <w:gridCol w:w="530"/>
      </w:tblGrid>
      <w:tr>
        <w:trPr>
          <w:trHeight w:hRule="atLeast" w:val="421"/>
          <w:cantSplit w:val="false"/>
        </w:trPr>
        <w:tc>
          <w:tcPr>
            <w:tcW w:type="dxa" w:w="488"/>
            <w:tcBorders>
              <w:bottom w:color="000000" w:space="0" w:sz="4" w:val="single"/>
            </w:tcBorders>
            <w:shd w:fill="auto" w:val="clear"/>
            <w:tcMar>
              <w:top w:type="dxa" w:w="0"/>
              <w:left w:type="dxa" w:w="108"/>
              <w:bottom w:type="dxa" w:w="0"/>
              <w:right w:type="dxa" w:w="108"/>
            </w:tcMar>
            <w:vAlign w:val="center"/>
          </w:tcPr>
          <w:p>
            <w:pPr>
              <w:pStyle w:val="style0"/>
              <w:framePr w:h="210" w:hAnchor="page" w:hRule="atLeast" w:hSpace="70" w:vAnchor="page" w:vSpace="100" w:w="8863" w:wrap="around" w:x="-113" w:y="2341"/>
              <w:shd w:fill="FFFFFF" w:val="clear"/>
            </w:pPr>
            <w:r>
              <w:rPr>
                <w:rFonts w:ascii="Arial" w:cs="Arial" w:hAnsi="Arial"/>
                <w:sz w:val="18"/>
                <w:szCs w:val="20"/>
              </w:rPr>
            </w:r>
          </w:p>
        </w:tc>
        <w:tc>
          <w:tcPr>
            <w:tcW w:type="dxa" w:w="5640"/>
            <w:tcBorders>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zCs w:val="20"/>
              </w:rPr>
            </w:r>
          </w:p>
        </w:tc>
        <w:tc>
          <w:tcPr>
            <w:tcW w:type="dxa" w:w="645"/>
            <w:tcBorders>
              <w:top w:color="000000" w:space="0" w:sz="4" w:val="single"/>
              <w:left w:color="000000" w:space="0" w:sz="4" w:val="single"/>
              <w:bottom w:color="000000" w:space="0" w:sz="4" w:val="single"/>
            </w:tcBorders>
            <w:shd w:fill="D9D9D9" w:val="clear"/>
            <w:tcMar>
              <w:top w:type="dxa" w:w="0"/>
              <w:left w:type="dxa" w:w="108"/>
              <w:bottom w:type="dxa" w:w="0"/>
              <w:right w:type="dxa" w:w="108"/>
            </w:tcMar>
            <w:vAlign w:val="center"/>
          </w:tcPr>
          <w:p>
            <w:pPr>
              <w:pStyle w:val="style0"/>
              <w:framePr w:h="210" w:hAnchor="page" w:hRule="atLeast" w:hSpace="70" w:vAnchor="page" w:vSpace="100" w:w="8863" w:wrap="around" w:x="-113" w:y="2341"/>
              <w:shd w:fill="FFFFFF" w:val="clear"/>
            </w:pPr>
            <w:r>
              <w:rPr>
                <w:rFonts w:ascii="Arial" w:cs="Arial" w:hAnsi="Arial"/>
                <w:b/>
                <w:sz w:val="18"/>
                <w:szCs w:val="20"/>
              </w:rPr>
              <w:t>A</w:t>
            </w:r>
          </w:p>
        </w:tc>
        <w:tc>
          <w:tcPr>
            <w:tcW w:type="dxa" w:w="520"/>
            <w:tcBorders>
              <w:top w:color="000000" w:space="0" w:sz="4" w:val="single"/>
              <w:left w:color="000000" w:space="0" w:sz="4" w:val="single"/>
              <w:bottom w:color="000000" w:space="0" w:sz="4" w:val="single"/>
            </w:tcBorders>
            <w:shd w:fill="D9D9D9" w:val="clear"/>
            <w:tcMar>
              <w:top w:type="dxa" w:w="0"/>
              <w:left w:type="dxa" w:w="108"/>
              <w:bottom w:type="dxa" w:w="0"/>
              <w:right w:type="dxa" w:w="108"/>
            </w:tcMar>
            <w:vAlign w:val="center"/>
          </w:tcPr>
          <w:p>
            <w:pPr>
              <w:pStyle w:val="style0"/>
              <w:framePr w:h="210" w:hAnchor="page" w:hRule="atLeast" w:hSpace="70" w:vAnchor="page" w:vSpace="100" w:w="8863" w:wrap="around" w:x="-113" w:y="2341"/>
              <w:shd w:fill="FFFFFF" w:val="clear"/>
            </w:pPr>
            <w:r>
              <w:rPr>
                <w:rFonts w:ascii="Arial" w:cs="Arial" w:hAnsi="Arial"/>
                <w:b/>
                <w:sz w:val="18"/>
                <w:szCs w:val="20"/>
              </w:rPr>
              <w:t>B</w:t>
            </w:r>
          </w:p>
        </w:tc>
        <w:tc>
          <w:tcPr>
            <w:tcW w:type="dxa" w:w="520"/>
            <w:tcBorders>
              <w:top w:color="000000" w:space="0" w:sz="4" w:val="single"/>
              <w:left w:color="000000" w:space="0" w:sz="4" w:val="single"/>
              <w:bottom w:color="000000" w:space="0" w:sz="4" w:val="single"/>
            </w:tcBorders>
            <w:shd w:fill="D9D9D9" w:val="clear"/>
            <w:tcMar>
              <w:top w:type="dxa" w:w="0"/>
              <w:left w:type="dxa" w:w="108"/>
              <w:bottom w:type="dxa" w:w="0"/>
              <w:right w:type="dxa" w:w="108"/>
            </w:tcMar>
            <w:vAlign w:val="center"/>
          </w:tcPr>
          <w:p>
            <w:pPr>
              <w:pStyle w:val="style0"/>
              <w:framePr w:h="210" w:hAnchor="page" w:hRule="atLeast" w:hSpace="70" w:vAnchor="page" w:vSpace="100" w:w="8863" w:wrap="around" w:x="-113" w:y="2341"/>
              <w:shd w:fill="FFFFFF" w:val="clear"/>
            </w:pPr>
            <w:r>
              <w:rPr>
                <w:rFonts w:ascii="Arial" w:cs="Arial" w:hAnsi="Arial"/>
                <w:b/>
                <w:sz w:val="18"/>
                <w:szCs w:val="20"/>
              </w:rPr>
              <w:t>C</w:t>
            </w:r>
          </w:p>
        </w:tc>
        <w:tc>
          <w:tcPr>
            <w:tcW w:type="dxa" w:w="520"/>
            <w:tcBorders>
              <w:top w:color="000000" w:space="0" w:sz="4" w:val="single"/>
              <w:left w:color="000000" w:space="0" w:sz="4" w:val="single"/>
              <w:bottom w:color="000000" w:space="0" w:sz="4" w:val="single"/>
            </w:tcBorders>
            <w:shd w:fill="D9D9D9" w:val="clear"/>
            <w:tcMar>
              <w:top w:type="dxa" w:w="0"/>
              <w:left w:type="dxa" w:w="108"/>
              <w:bottom w:type="dxa" w:w="0"/>
              <w:right w:type="dxa" w:w="108"/>
            </w:tcMar>
            <w:vAlign w:val="center"/>
          </w:tcPr>
          <w:p>
            <w:pPr>
              <w:pStyle w:val="style0"/>
              <w:framePr w:h="210" w:hAnchor="page" w:hRule="atLeast" w:hSpace="70" w:vAnchor="page" w:vSpace="100" w:w="8863" w:wrap="around" w:x="-113" w:y="2341"/>
              <w:shd w:fill="FFFFFF" w:val="clear"/>
            </w:pPr>
            <w:r>
              <w:rPr>
                <w:rFonts w:ascii="Arial" w:cs="Arial" w:hAnsi="Arial"/>
                <w:b/>
                <w:sz w:val="18"/>
                <w:szCs w:val="20"/>
              </w:rPr>
              <w:t>D</w:t>
            </w:r>
          </w:p>
        </w:tc>
        <w:tc>
          <w:tcPr>
            <w:tcW w:type="dxa" w:w="530"/>
            <w:tcBorders>
              <w:top w:color="000000" w:space="0" w:sz="4" w:val="single"/>
              <w:left w:color="000000" w:space="0" w:sz="4" w:val="single"/>
              <w:bottom w:color="000000" w:space="0" w:sz="4" w:val="single"/>
              <w:right w:color="000000" w:space="0" w:sz="4" w:val="single"/>
            </w:tcBorders>
            <w:shd w:fill="D9D9D9" w:val="clear"/>
            <w:tcMar>
              <w:top w:type="dxa" w:w="0"/>
              <w:left w:type="dxa" w:w="108"/>
              <w:bottom w:type="dxa" w:w="0"/>
              <w:right w:type="dxa" w:w="108"/>
            </w:tcMar>
            <w:vAlign w:val="center"/>
          </w:tcPr>
          <w:p>
            <w:pPr>
              <w:pStyle w:val="style0"/>
              <w:framePr w:h="210" w:hAnchor="page" w:hRule="atLeast" w:hSpace="70" w:vAnchor="page" w:vSpace="100" w:w="8863" w:wrap="around" w:x="-113" w:y="2341"/>
              <w:shd w:fill="FFFFFF" w:val="clear"/>
            </w:pPr>
            <w:r>
              <w:rPr>
                <w:rFonts w:ascii="Arial" w:cs="Arial" w:hAnsi="Arial"/>
                <w:b/>
                <w:sz w:val="18"/>
                <w:szCs w:val="20"/>
              </w:rPr>
              <w:t>E</w:t>
            </w:r>
          </w:p>
        </w:tc>
      </w:tr>
      <w:tr>
        <w:trPr>
          <w:trHeight w:hRule="atLeast" w:val="644"/>
          <w:cantSplit w:val="false"/>
        </w:trPr>
        <w:tc>
          <w:tcPr>
            <w:tcW w:type="dxa" w:w="488"/>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framePr w:h="210" w:hAnchor="page" w:hRule="atLeast" w:hSpace="70" w:vAnchor="page" w:vSpace="100" w:w="8863" w:wrap="around" w:x="-113" w:y="2341"/>
              <w:shd w:fill="FFFFFF" w:val="clear"/>
            </w:pPr>
            <w:r>
              <w:rPr>
                <w:rFonts w:ascii="Arial" w:cs="Arial" w:hAnsi="Arial"/>
                <w:sz w:val="18"/>
                <w:szCs w:val="20"/>
              </w:rPr>
              <w:t>1</w:t>
            </w:r>
          </w:p>
        </w:tc>
        <w:tc>
          <w:tcPr>
            <w:tcW w:type="dxa" w:w="5640"/>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zCs w:val="20"/>
                <w:shd w:fill="FFFFFF" w:val="clear"/>
              </w:rPr>
              <w:t>Los bienes en condición de  Deterioro, obsolescencia y corrosión aún permanecen registrados en los Estados Financieros de la institución como Activo Propiedad, Planta y Equipo</w:t>
            </w:r>
            <w:r>
              <w:rPr>
                <w:rFonts w:ascii="Arial" w:cs="Arial" w:hAnsi="Arial"/>
                <w:sz w:val="18"/>
                <w:szCs w:val="20"/>
              </w:rPr>
              <w:t xml:space="preserve"> l </w:t>
            </w:r>
          </w:p>
        </w:tc>
        <w:tc>
          <w:tcPr>
            <w:tcW w:type="dxa" w:w="645"/>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zCs w:val="20"/>
              </w:rPr>
            </w:r>
          </w:p>
        </w:tc>
        <w:tc>
          <w:tcPr>
            <w:tcW w:type="dxa" w:w="520"/>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zCs w:val="20"/>
              </w:rPr>
            </w:r>
          </w:p>
        </w:tc>
        <w:tc>
          <w:tcPr>
            <w:tcW w:type="dxa" w:w="520"/>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zCs w:val="20"/>
              </w:rPr>
            </w:r>
          </w:p>
        </w:tc>
        <w:tc>
          <w:tcPr>
            <w:tcW w:type="dxa" w:w="520"/>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zCs w:val="20"/>
              </w:rPr>
            </w:r>
          </w:p>
        </w:tc>
        <w:tc>
          <w:tcPr>
            <w:tcW w:type="dxa" w:w="530"/>
            <w:tcBorders>
              <w:top w:color="000000" w:space="0" w:sz="4" w:val="single"/>
              <w:left w:color="000000" w:space="0" w:sz="4" w:val="single"/>
              <w:bottom w:color="000000" w:space="0" w:sz="4" w:val="single"/>
              <w:right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zCs w:val="20"/>
              </w:rPr>
            </w:r>
          </w:p>
        </w:tc>
      </w:tr>
      <w:tr>
        <w:trPr>
          <w:trHeight w:hRule="atLeast" w:val="668"/>
          <w:cantSplit w:val="false"/>
        </w:trPr>
        <w:tc>
          <w:tcPr>
            <w:tcW w:type="dxa" w:w="488"/>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framePr w:h="210" w:hAnchor="page" w:hRule="atLeast" w:hSpace="70" w:vAnchor="page" w:vSpace="100" w:w="8863" w:wrap="around" w:x="-113" w:y="2341"/>
              <w:shd w:fill="FFFFFF" w:val="clear"/>
            </w:pPr>
            <w:r>
              <w:rPr>
                <w:rFonts w:ascii="Arial" w:cs="Arial" w:hAnsi="Arial"/>
                <w:sz w:val="18"/>
                <w:szCs w:val="20"/>
              </w:rPr>
              <w:t>2</w:t>
            </w:r>
          </w:p>
        </w:tc>
        <w:tc>
          <w:tcPr>
            <w:tcW w:type="dxa" w:w="5640"/>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zCs w:val="20"/>
                <w:shd w:fill="FFFFFF" w:val="clear"/>
              </w:rPr>
              <w:t>Está Usted de acuerdo que se depure los Estados Financieros de la Institución con respecto a los bienes Nacionales en estado de Deterioro, obsolescencia y corrosión</w:t>
            </w:r>
            <w:r>
              <w:rPr>
                <w:rFonts w:ascii="Arial" w:cs="Arial" w:hAnsi="Arial"/>
                <w:sz w:val="18"/>
                <w:szCs w:val="20"/>
              </w:rPr>
              <w:t xml:space="preserve"> ..</w:t>
            </w:r>
          </w:p>
        </w:tc>
        <w:tc>
          <w:tcPr>
            <w:tcW w:type="dxa" w:w="645"/>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zCs w:val="20"/>
              </w:rPr>
            </w:r>
          </w:p>
        </w:tc>
        <w:tc>
          <w:tcPr>
            <w:tcW w:type="dxa" w:w="520"/>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zCs w:val="20"/>
              </w:rPr>
            </w:r>
          </w:p>
        </w:tc>
        <w:tc>
          <w:tcPr>
            <w:tcW w:type="dxa" w:w="520"/>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zCs w:val="20"/>
              </w:rPr>
            </w:r>
          </w:p>
        </w:tc>
        <w:tc>
          <w:tcPr>
            <w:tcW w:type="dxa" w:w="520"/>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zCs w:val="20"/>
              </w:rPr>
            </w:r>
          </w:p>
        </w:tc>
        <w:tc>
          <w:tcPr>
            <w:tcW w:type="dxa" w:w="530"/>
            <w:tcBorders>
              <w:top w:color="000000" w:space="0" w:sz="4" w:val="single"/>
              <w:left w:color="000000" w:space="0" w:sz="4" w:val="single"/>
              <w:bottom w:color="000000" w:space="0" w:sz="4" w:val="single"/>
              <w:right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zCs w:val="20"/>
              </w:rPr>
            </w:r>
          </w:p>
        </w:tc>
      </w:tr>
      <w:tr>
        <w:trPr>
          <w:trHeight w:hRule="atLeast" w:val="745"/>
          <w:cantSplit w:val="false"/>
        </w:trPr>
        <w:tc>
          <w:tcPr>
            <w:tcW w:type="dxa" w:w="488"/>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framePr w:h="210" w:hAnchor="page" w:hRule="atLeast" w:hSpace="70" w:vAnchor="page" w:vSpace="100" w:w="8863" w:wrap="around" w:x="-113" w:y="2341"/>
              <w:shd w:fill="FFFFFF" w:val="clear"/>
            </w:pPr>
            <w:r>
              <w:rPr>
                <w:rFonts w:ascii="Arial" w:cs="Arial" w:hAnsi="Arial"/>
                <w:sz w:val="18"/>
                <w:szCs w:val="20"/>
              </w:rPr>
              <w:t>3</w:t>
            </w:r>
          </w:p>
        </w:tc>
        <w:tc>
          <w:tcPr>
            <w:tcW w:type="dxa" w:w="5640"/>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zCs w:val="20"/>
                <w:shd w:fill="FFFFFF" w:val="clear"/>
              </w:rPr>
              <w:t>Conoce Usted si existe una Comisión nombrada por el Cuerpo Directivo que esta avalada por la Superintendencia de Bienes Públicos que</w:t>
            </w:r>
            <w:r>
              <w:rPr>
                <w:rFonts w:ascii="Arial" w:cs="Arial" w:hAnsi="Arial"/>
                <w:sz w:val="18"/>
                <w:szCs w:val="20"/>
              </w:rPr>
              <w:t xml:space="preserve"> garantice el éxito del proceso en cuanto a la </w:t>
            </w:r>
            <w:r>
              <w:rPr>
                <w:rFonts w:ascii="Arial" w:cs="Arial" w:hAnsi="Arial"/>
                <w:sz w:val="18"/>
                <w:szCs w:val="20"/>
                <w:shd w:fill="FFFFFF" w:val="clear"/>
              </w:rPr>
              <w:t>desincorporación de los Bienes Nacionales en Estado de Obsolescencia, deterioro y corrosión</w:t>
            </w:r>
            <w:r>
              <w:rPr>
                <w:rFonts w:ascii="Arial" w:cs="Arial" w:hAnsi="Arial"/>
                <w:sz w:val="18"/>
                <w:szCs w:val="20"/>
              </w:rPr>
              <w:t xml:space="preserve">.  </w:t>
            </w:r>
          </w:p>
        </w:tc>
        <w:tc>
          <w:tcPr>
            <w:tcW w:type="dxa" w:w="645"/>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zCs w:val="20"/>
              </w:rPr>
            </w:r>
          </w:p>
        </w:tc>
        <w:tc>
          <w:tcPr>
            <w:tcW w:type="dxa" w:w="520"/>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zCs w:val="20"/>
              </w:rPr>
            </w:r>
          </w:p>
        </w:tc>
        <w:tc>
          <w:tcPr>
            <w:tcW w:type="dxa" w:w="520"/>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zCs w:val="20"/>
              </w:rPr>
            </w:r>
          </w:p>
        </w:tc>
        <w:tc>
          <w:tcPr>
            <w:tcW w:type="dxa" w:w="520"/>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zCs w:val="20"/>
              </w:rPr>
            </w:r>
          </w:p>
        </w:tc>
        <w:tc>
          <w:tcPr>
            <w:tcW w:type="dxa" w:w="530"/>
            <w:tcBorders>
              <w:top w:color="000000" w:space="0" w:sz="4" w:val="single"/>
              <w:left w:color="000000" w:space="0" w:sz="4" w:val="single"/>
              <w:bottom w:color="000000" w:space="0" w:sz="4" w:val="single"/>
              <w:right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zCs w:val="20"/>
              </w:rPr>
            </w:r>
          </w:p>
        </w:tc>
      </w:tr>
      <w:tr>
        <w:trPr>
          <w:trHeight w:hRule="atLeast" w:val="1312"/>
          <w:cantSplit w:val="false"/>
        </w:trPr>
        <w:tc>
          <w:tcPr>
            <w:tcW w:type="dxa" w:w="488"/>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framePr w:h="210" w:hAnchor="page" w:hRule="atLeast" w:hSpace="70" w:vAnchor="page" w:vSpace="100" w:w="8863" w:wrap="around" w:x="-113" w:y="2341"/>
              <w:shd w:fill="FFFFFF" w:val="clear"/>
            </w:pPr>
            <w:r>
              <w:rPr>
                <w:rFonts w:ascii="Arial" w:cs="Arial" w:hAnsi="Arial"/>
                <w:sz w:val="18"/>
                <w:szCs w:val="20"/>
              </w:rPr>
              <w:t>4</w:t>
            </w:r>
          </w:p>
        </w:tc>
        <w:tc>
          <w:tcPr>
            <w:tcW w:type="dxa" w:w="5640"/>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Style w:val="style168"/>
                <w:rFonts w:ascii="Arial" w:cs="Arial" w:hAnsi="Arial"/>
                <w:color w:val="262626"/>
                <w:sz w:val="18"/>
                <w:szCs w:val="20"/>
                <w:shd w:fill="FFFFFF" w:val="clear"/>
              </w:rPr>
              <w:t xml:space="preserve">Cree Usted que la enajenación, permuta o donación en cuanto a la desincorporación de los de los </w:t>
            </w:r>
            <w:r>
              <w:rPr>
                <w:rFonts w:ascii="Arial" w:cs="Arial" w:hAnsi="Arial"/>
                <w:color w:val="000000"/>
                <w:sz w:val="18"/>
                <w:szCs w:val="20"/>
                <w:shd w:fill="FFFFFF" w:val="clear"/>
              </w:rPr>
              <w:t>Bienes Nacionales en Estado de Obsolescencia, deterioro y corrosión</w:t>
            </w:r>
            <w:r>
              <w:rPr>
                <w:rStyle w:val="style168"/>
                <w:rFonts w:ascii="Arial" w:cs="Arial" w:hAnsi="Arial"/>
                <w:color w:val="000000"/>
                <w:sz w:val="18"/>
                <w:szCs w:val="20"/>
                <w:shd w:fill="FFFFFF" w:val="clear"/>
              </w:rPr>
              <w:t xml:space="preserve"> esto traerá recursos económicos adicionales a la Institución</w:t>
            </w:r>
          </w:p>
        </w:tc>
        <w:tc>
          <w:tcPr>
            <w:tcW w:type="dxa" w:w="645"/>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zCs w:val="20"/>
              </w:rPr>
            </w:r>
          </w:p>
        </w:tc>
        <w:tc>
          <w:tcPr>
            <w:tcW w:type="dxa" w:w="520"/>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zCs w:val="20"/>
              </w:rPr>
            </w:r>
          </w:p>
        </w:tc>
        <w:tc>
          <w:tcPr>
            <w:tcW w:type="dxa" w:w="520"/>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zCs w:val="20"/>
              </w:rPr>
            </w:r>
          </w:p>
        </w:tc>
        <w:tc>
          <w:tcPr>
            <w:tcW w:type="dxa" w:w="520"/>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zCs w:val="20"/>
              </w:rPr>
            </w:r>
          </w:p>
        </w:tc>
        <w:tc>
          <w:tcPr>
            <w:tcW w:type="dxa" w:w="530"/>
            <w:tcBorders>
              <w:top w:color="000000" w:space="0" w:sz="4" w:val="single"/>
              <w:left w:color="000000" w:space="0" w:sz="4" w:val="single"/>
              <w:bottom w:color="000000" w:space="0" w:sz="4" w:val="single"/>
              <w:right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zCs w:val="20"/>
              </w:rPr>
            </w:r>
          </w:p>
        </w:tc>
      </w:tr>
      <w:tr>
        <w:trPr>
          <w:trHeight w:hRule="atLeast" w:val="496"/>
          <w:cantSplit w:val="false"/>
        </w:trPr>
        <w:tc>
          <w:tcPr>
            <w:tcW w:type="dxa" w:w="488"/>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framePr w:h="210" w:hAnchor="page" w:hRule="atLeast" w:hSpace="70" w:vAnchor="page" w:vSpace="100" w:w="8863" w:wrap="around" w:x="-113" w:y="2341"/>
              <w:shd w:fill="FFFFFF" w:val="clear"/>
            </w:pPr>
            <w:r>
              <w:rPr>
                <w:rFonts w:ascii="Arial" w:cs="Arial" w:hAnsi="Arial"/>
                <w:sz w:val="18"/>
                <w:szCs w:val="20"/>
              </w:rPr>
              <w:t>5</w:t>
            </w:r>
          </w:p>
        </w:tc>
        <w:tc>
          <w:tcPr>
            <w:tcW w:type="dxa" w:w="5640"/>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zCs w:val="20"/>
                <w:shd w:fill="FFFFFF" w:val="clear"/>
              </w:rPr>
              <w:t>Sabe Usted que es reutilizar materiales usados</w:t>
            </w:r>
            <w:r>
              <w:rPr>
                <w:rFonts w:ascii="Arial" w:cs="Arial" w:hAnsi="Arial"/>
                <w:sz w:val="18"/>
                <w:szCs w:val="20"/>
              </w:rPr>
              <w:t xml:space="preserve"> .</w:t>
            </w:r>
          </w:p>
        </w:tc>
        <w:tc>
          <w:tcPr>
            <w:tcW w:type="dxa" w:w="645"/>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zCs w:val="20"/>
              </w:rPr>
            </w:r>
          </w:p>
        </w:tc>
        <w:tc>
          <w:tcPr>
            <w:tcW w:type="dxa" w:w="520"/>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zCs w:val="20"/>
              </w:rPr>
            </w:r>
          </w:p>
        </w:tc>
        <w:tc>
          <w:tcPr>
            <w:tcW w:type="dxa" w:w="520"/>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zCs w:val="20"/>
              </w:rPr>
            </w:r>
          </w:p>
        </w:tc>
        <w:tc>
          <w:tcPr>
            <w:tcW w:type="dxa" w:w="520"/>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zCs w:val="20"/>
              </w:rPr>
            </w:r>
          </w:p>
        </w:tc>
        <w:tc>
          <w:tcPr>
            <w:tcW w:type="dxa" w:w="530"/>
            <w:tcBorders>
              <w:top w:color="000000" w:space="0" w:sz="4" w:val="single"/>
              <w:left w:color="000000" w:space="0" w:sz="4" w:val="single"/>
              <w:bottom w:color="000000" w:space="0" w:sz="4" w:val="single"/>
              <w:right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zCs w:val="20"/>
              </w:rPr>
            </w:r>
          </w:p>
        </w:tc>
      </w:tr>
      <w:tr>
        <w:trPr>
          <w:trHeight w:hRule="atLeast" w:val="403"/>
          <w:cantSplit w:val="false"/>
        </w:trPr>
        <w:tc>
          <w:tcPr>
            <w:tcW w:type="dxa" w:w="488"/>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framePr w:h="210" w:hAnchor="page" w:hRule="atLeast" w:hSpace="70" w:vAnchor="page" w:vSpace="100" w:w="8863" w:wrap="around" w:x="-113" w:y="2341"/>
              <w:shd w:fill="FFFFFF" w:val="clear"/>
            </w:pPr>
            <w:r>
              <w:rPr>
                <w:rFonts w:ascii="Arial" w:cs="Arial" w:hAnsi="Arial"/>
                <w:sz w:val="18"/>
                <w:szCs w:val="20"/>
              </w:rPr>
              <w:t>6</w:t>
            </w:r>
          </w:p>
        </w:tc>
        <w:tc>
          <w:tcPr>
            <w:tcW w:type="dxa" w:w="5640"/>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zCs w:val="20"/>
                <w:shd w:fill="FFFFFF" w:val="clear"/>
              </w:rPr>
              <w:t>Sabe usted que el metal se puede reciclar</w:t>
            </w:r>
            <w:r>
              <w:rPr>
                <w:rFonts w:ascii="Arial" w:cs="Arial" w:hAnsi="Arial"/>
                <w:sz w:val="18"/>
                <w:szCs w:val="20"/>
              </w:rPr>
              <w:t xml:space="preserve"> </w:t>
            </w:r>
          </w:p>
        </w:tc>
        <w:tc>
          <w:tcPr>
            <w:tcW w:type="dxa" w:w="645"/>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zCs w:val="20"/>
              </w:rPr>
            </w:r>
          </w:p>
        </w:tc>
        <w:tc>
          <w:tcPr>
            <w:tcW w:type="dxa" w:w="520"/>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zCs w:val="20"/>
              </w:rPr>
            </w:r>
          </w:p>
        </w:tc>
        <w:tc>
          <w:tcPr>
            <w:tcW w:type="dxa" w:w="520"/>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zCs w:val="20"/>
              </w:rPr>
            </w:r>
          </w:p>
        </w:tc>
        <w:tc>
          <w:tcPr>
            <w:tcW w:type="dxa" w:w="520"/>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zCs w:val="20"/>
              </w:rPr>
            </w:r>
          </w:p>
        </w:tc>
        <w:tc>
          <w:tcPr>
            <w:tcW w:type="dxa" w:w="530"/>
            <w:tcBorders>
              <w:top w:color="000000" w:space="0" w:sz="4" w:val="single"/>
              <w:left w:color="000000" w:space="0" w:sz="4" w:val="single"/>
              <w:bottom w:color="000000" w:space="0" w:sz="4" w:val="single"/>
              <w:right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zCs w:val="20"/>
              </w:rPr>
            </w:r>
          </w:p>
        </w:tc>
      </w:tr>
      <w:tr>
        <w:trPr>
          <w:trHeight w:hRule="atLeast" w:val="780"/>
          <w:cantSplit w:val="false"/>
        </w:trPr>
        <w:tc>
          <w:tcPr>
            <w:tcW w:type="dxa" w:w="488"/>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framePr w:h="210" w:hAnchor="page" w:hRule="atLeast" w:hSpace="70" w:vAnchor="page" w:vSpace="100" w:w="8863" w:wrap="around" w:x="-113" w:y="2341"/>
              <w:shd w:fill="FFFFFF" w:val="clear"/>
            </w:pPr>
            <w:r>
              <w:rPr>
                <w:rFonts w:ascii="Arial" w:cs="Arial" w:hAnsi="Arial"/>
                <w:sz w:val="18"/>
                <w:szCs w:val="20"/>
              </w:rPr>
              <w:t>7</w:t>
            </w:r>
          </w:p>
        </w:tc>
        <w:tc>
          <w:tcPr>
            <w:tcW w:type="dxa" w:w="5640"/>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hd w:fill="FFFFFF" w:val="clear"/>
              </w:rPr>
              <w:t>Cree Usted que de las chatarras acumuladas en los espacios de la institución, parte de las mismas se podría reciclar</w:t>
            </w:r>
            <w:r>
              <w:rPr>
                <w:rFonts w:ascii="Arial" w:cs="Arial" w:hAnsi="Arial"/>
                <w:sz w:val="18"/>
                <w:szCs w:val="20"/>
              </w:rPr>
              <w:t xml:space="preserve">  </w:t>
            </w:r>
          </w:p>
        </w:tc>
        <w:tc>
          <w:tcPr>
            <w:tcW w:type="dxa" w:w="645"/>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zCs w:val="20"/>
              </w:rPr>
            </w:r>
          </w:p>
        </w:tc>
        <w:tc>
          <w:tcPr>
            <w:tcW w:type="dxa" w:w="520"/>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zCs w:val="20"/>
              </w:rPr>
            </w:r>
          </w:p>
        </w:tc>
        <w:tc>
          <w:tcPr>
            <w:tcW w:type="dxa" w:w="520"/>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zCs w:val="20"/>
              </w:rPr>
            </w:r>
          </w:p>
        </w:tc>
        <w:tc>
          <w:tcPr>
            <w:tcW w:type="dxa" w:w="520"/>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zCs w:val="20"/>
              </w:rPr>
            </w:r>
          </w:p>
        </w:tc>
        <w:tc>
          <w:tcPr>
            <w:tcW w:type="dxa" w:w="530"/>
            <w:tcBorders>
              <w:top w:color="000000" w:space="0" w:sz="4" w:val="single"/>
              <w:left w:color="000000" w:space="0" w:sz="4" w:val="single"/>
              <w:bottom w:color="000000" w:space="0" w:sz="4" w:val="single"/>
              <w:right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zCs w:val="20"/>
              </w:rPr>
            </w:r>
          </w:p>
        </w:tc>
      </w:tr>
      <w:tr>
        <w:trPr>
          <w:trHeight w:hRule="atLeast" w:val="578"/>
          <w:cantSplit w:val="false"/>
        </w:trPr>
        <w:tc>
          <w:tcPr>
            <w:tcW w:type="dxa" w:w="488"/>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framePr w:h="210" w:hAnchor="page" w:hRule="atLeast" w:hSpace="70" w:vAnchor="page" w:vSpace="100" w:w="8863" w:wrap="around" w:x="-113" w:y="2341"/>
              <w:shd w:fill="FFFFFF" w:val="clear"/>
            </w:pPr>
            <w:r>
              <w:rPr>
                <w:rFonts w:ascii="Arial" w:cs="Arial" w:hAnsi="Arial"/>
                <w:sz w:val="18"/>
                <w:szCs w:val="20"/>
              </w:rPr>
              <w:t>8</w:t>
            </w:r>
          </w:p>
        </w:tc>
        <w:tc>
          <w:tcPr>
            <w:tcW w:type="dxa" w:w="5640"/>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hd w:fill="FFFFFF" w:val="clear"/>
              </w:rPr>
              <w:t>Está de acuerdo con la desincorporación de los Bienes Nacionales en Estado de Obsolescencia, Deterioro y Corrosión y que estos  sean enajenados a una empresa en particular como chatarra</w:t>
            </w:r>
            <w:r>
              <w:rPr>
                <w:rFonts w:ascii="Arial" w:cs="Arial" w:hAnsi="Arial"/>
                <w:sz w:val="18"/>
                <w:szCs w:val="20"/>
              </w:rPr>
              <w:t xml:space="preserve">. </w:t>
            </w:r>
          </w:p>
        </w:tc>
        <w:tc>
          <w:tcPr>
            <w:tcW w:type="dxa" w:w="645"/>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zCs w:val="20"/>
              </w:rPr>
            </w:r>
          </w:p>
        </w:tc>
        <w:tc>
          <w:tcPr>
            <w:tcW w:type="dxa" w:w="520"/>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zCs w:val="20"/>
              </w:rPr>
            </w:r>
          </w:p>
        </w:tc>
        <w:tc>
          <w:tcPr>
            <w:tcW w:type="dxa" w:w="520"/>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zCs w:val="20"/>
              </w:rPr>
            </w:r>
          </w:p>
        </w:tc>
        <w:tc>
          <w:tcPr>
            <w:tcW w:type="dxa" w:w="520"/>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zCs w:val="20"/>
              </w:rPr>
            </w:r>
          </w:p>
        </w:tc>
        <w:tc>
          <w:tcPr>
            <w:tcW w:type="dxa" w:w="530"/>
            <w:tcBorders>
              <w:top w:color="000000" w:space="0" w:sz="4" w:val="single"/>
              <w:left w:color="000000" w:space="0" w:sz="4" w:val="single"/>
              <w:bottom w:color="000000" w:space="0" w:sz="4" w:val="single"/>
              <w:right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zCs w:val="20"/>
              </w:rPr>
            </w:r>
          </w:p>
        </w:tc>
      </w:tr>
      <w:tr>
        <w:trPr>
          <w:trHeight w:hRule="atLeast" w:val="745"/>
          <w:cantSplit w:val="false"/>
        </w:trPr>
        <w:tc>
          <w:tcPr>
            <w:tcW w:type="dxa" w:w="488"/>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framePr w:h="210" w:hAnchor="page" w:hRule="atLeast" w:hSpace="70" w:vAnchor="page" w:vSpace="100" w:w="8863" w:wrap="around" w:x="-113" w:y="2341"/>
              <w:shd w:fill="FFFFFF" w:val="clear"/>
            </w:pPr>
            <w:r>
              <w:rPr>
                <w:rFonts w:ascii="Arial" w:cs="Arial" w:hAnsi="Arial"/>
                <w:sz w:val="18"/>
                <w:szCs w:val="20"/>
              </w:rPr>
              <w:t>9</w:t>
            </w:r>
          </w:p>
        </w:tc>
        <w:tc>
          <w:tcPr>
            <w:tcW w:type="dxa" w:w="5640"/>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hd w:fill="FFFFFF" w:val="clear"/>
              </w:rPr>
              <w:t>Está de acuerdo con la desincorporación de los Bienes Nacionales en Estado de Obsolescencia, Deterioro y Corrosión y que  estos sean permutados con una empresa del estado o particular  por otros bienes de igual valor en perfecta condiciones</w:t>
            </w:r>
            <w:r>
              <w:rPr>
                <w:rFonts w:ascii="Arial" w:cs="Arial" w:hAnsi="Arial"/>
                <w:sz w:val="18"/>
                <w:szCs w:val="20"/>
              </w:rPr>
              <w:t xml:space="preserve">. </w:t>
            </w:r>
          </w:p>
        </w:tc>
        <w:tc>
          <w:tcPr>
            <w:tcW w:type="dxa" w:w="645"/>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zCs w:val="20"/>
              </w:rPr>
            </w:r>
          </w:p>
        </w:tc>
        <w:tc>
          <w:tcPr>
            <w:tcW w:type="dxa" w:w="520"/>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zCs w:val="20"/>
              </w:rPr>
            </w:r>
          </w:p>
        </w:tc>
        <w:tc>
          <w:tcPr>
            <w:tcW w:type="dxa" w:w="520"/>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zCs w:val="20"/>
              </w:rPr>
            </w:r>
          </w:p>
        </w:tc>
        <w:tc>
          <w:tcPr>
            <w:tcW w:type="dxa" w:w="520"/>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zCs w:val="20"/>
              </w:rPr>
            </w:r>
          </w:p>
        </w:tc>
        <w:tc>
          <w:tcPr>
            <w:tcW w:type="dxa" w:w="530"/>
            <w:tcBorders>
              <w:top w:color="000000" w:space="0" w:sz="4" w:val="single"/>
              <w:left w:color="000000" w:space="0" w:sz="4" w:val="single"/>
              <w:bottom w:color="000000" w:space="0" w:sz="4" w:val="single"/>
              <w:right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zCs w:val="20"/>
              </w:rPr>
            </w:r>
          </w:p>
        </w:tc>
      </w:tr>
      <w:tr>
        <w:trPr>
          <w:trHeight w:hRule="atLeast" w:val="770"/>
          <w:cantSplit w:val="false"/>
        </w:trPr>
        <w:tc>
          <w:tcPr>
            <w:tcW w:type="dxa" w:w="488"/>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framePr w:h="210" w:hAnchor="page" w:hRule="atLeast" w:hSpace="70" w:vAnchor="page" w:vSpace="100" w:w="8863" w:wrap="around" w:x="-113" w:y="2341"/>
              <w:shd w:fill="FFFFFF" w:val="clear"/>
            </w:pPr>
            <w:r>
              <w:rPr>
                <w:rFonts w:ascii="Arial" w:cs="Arial" w:hAnsi="Arial"/>
                <w:sz w:val="18"/>
                <w:szCs w:val="20"/>
              </w:rPr>
              <w:t>10</w:t>
            </w:r>
          </w:p>
        </w:tc>
        <w:tc>
          <w:tcPr>
            <w:tcW w:type="dxa" w:w="5640"/>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hd w:fill="FFFFFF" w:val="clear"/>
              </w:rPr>
              <w:t xml:space="preserve">Está de acuerdo con la desincorporación de los Bienes Nacionales en estado de deterioro y corrosión y estos sean donados a la Empresa  del ramo Siderúrgico para reciclarlo como </w:t>
            </w:r>
            <w:r>
              <w:rPr>
                <w:rFonts w:ascii="Arial" w:cs="Arial" w:hAnsi="Arial"/>
                <w:sz w:val="18"/>
              </w:rPr>
              <w:t>insumo para la producción automotriz y la Construcción Civil en Venezuela</w:t>
            </w:r>
          </w:p>
        </w:tc>
        <w:tc>
          <w:tcPr>
            <w:tcW w:type="dxa" w:w="645"/>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zCs w:val="20"/>
              </w:rPr>
            </w:r>
          </w:p>
        </w:tc>
        <w:tc>
          <w:tcPr>
            <w:tcW w:type="dxa" w:w="520"/>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zCs w:val="20"/>
              </w:rPr>
            </w:r>
          </w:p>
        </w:tc>
        <w:tc>
          <w:tcPr>
            <w:tcW w:type="dxa" w:w="520"/>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zCs w:val="20"/>
              </w:rPr>
            </w:r>
          </w:p>
        </w:tc>
        <w:tc>
          <w:tcPr>
            <w:tcW w:type="dxa" w:w="520"/>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zCs w:val="20"/>
              </w:rPr>
            </w:r>
          </w:p>
        </w:tc>
        <w:tc>
          <w:tcPr>
            <w:tcW w:type="dxa" w:w="530"/>
            <w:tcBorders>
              <w:top w:color="000000" w:space="0" w:sz="4" w:val="single"/>
              <w:left w:color="000000" w:space="0" w:sz="4" w:val="single"/>
              <w:bottom w:color="000000" w:space="0" w:sz="4" w:val="single"/>
              <w:right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zCs w:val="20"/>
              </w:rPr>
            </w:r>
          </w:p>
          <w:p>
            <w:pPr>
              <w:pStyle w:val="style0"/>
              <w:framePr w:h="210" w:hAnchor="page" w:hRule="atLeast" w:hSpace="70" w:vAnchor="page" w:vSpace="100" w:w="8863" w:wrap="around" w:x="-113" w:y="2341"/>
              <w:shd w:fill="FFFFFF" w:val="clear"/>
            </w:pPr>
            <w:r>
              <w:rPr>
                <w:rFonts w:ascii="Arial" w:cs="Arial" w:hAnsi="Arial"/>
                <w:sz w:val="18"/>
                <w:szCs w:val="20"/>
              </w:rPr>
            </w:r>
          </w:p>
        </w:tc>
      </w:tr>
      <w:tr>
        <w:trPr>
          <w:trHeight w:hRule="atLeast" w:val="304"/>
          <w:cantSplit w:val="false"/>
        </w:trPr>
        <w:tc>
          <w:tcPr>
            <w:tcW w:type="dxa" w:w="488"/>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framePr w:h="210" w:hAnchor="page" w:hRule="atLeast" w:hSpace="70" w:vAnchor="page" w:vSpace="100" w:w="8863" w:wrap="around" w:x="-113" w:y="2341"/>
              <w:shd w:fill="FFFFFF" w:val="clear"/>
            </w:pPr>
            <w:r>
              <w:rPr>
                <w:rFonts w:ascii="Arial" w:cs="Arial" w:hAnsi="Arial"/>
                <w:sz w:val="18"/>
                <w:szCs w:val="20"/>
              </w:rPr>
              <w:t>11</w:t>
            </w:r>
          </w:p>
        </w:tc>
        <w:tc>
          <w:tcPr>
            <w:tcW w:type="dxa" w:w="5640"/>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hd w:fill="FFFFFF" w:val="clear"/>
              </w:rPr>
              <w:t xml:space="preserve">Está de acuerdo con la desincorporación de los Bienes Nacionales en Estado de Obsolescencia, deterioro y corrosión y que  estos sean enajenados a la Empresa  del ramo Siderúrgico para reutilizarlo como </w:t>
            </w:r>
            <w:r>
              <w:rPr>
                <w:rFonts w:ascii="Arial" w:cs="Arial" w:hAnsi="Arial"/>
                <w:sz w:val="18"/>
              </w:rPr>
              <w:t>insumo para la producción automotriz y la Construcción Civil en Venezuela</w:t>
            </w:r>
          </w:p>
        </w:tc>
        <w:tc>
          <w:tcPr>
            <w:tcW w:type="dxa" w:w="645"/>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zCs w:val="20"/>
              </w:rPr>
            </w:r>
          </w:p>
        </w:tc>
        <w:tc>
          <w:tcPr>
            <w:tcW w:type="dxa" w:w="520"/>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zCs w:val="20"/>
              </w:rPr>
            </w:r>
          </w:p>
        </w:tc>
        <w:tc>
          <w:tcPr>
            <w:tcW w:type="dxa" w:w="520"/>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zCs w:val="20"/>
              </w:rPr>
            </w:r>
          </w:p>
        </w:tc>
        <w:tc>
          <w:tcPr>
            <w:tcW w:type="dxa" w:w="520"/>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zCs w:val="20"/>
              </w:rPr>
            </w:r>
          </w:p>
        </w:tc>
        <w:tc>
          <w:tcPr>
            <w:tcW w:type="dxa" w:w="530"/>
            <w:tcBorders>
              <w:top w:color="000000" w:space="0" w:sz="4" w:val="single"/>
              <w:left w:color="000000" w:space="0" w:sz="4" w:val="single"/>
              <w:bottom w:color="000000" w:space="0" w:sz="4" w:val="single"/>
              <w:right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863" w:wrap="around" w:x="-113" w:y="2341"/>
              <w:shd w:fill="FFFFFF" w:val="clear"/>
            </w:pPr>
            <w:r>
              <w:rPr>
                <w:rFonts w:ascii="Arial" w:cs="Arial" w:hAnsi="Arial"/>
                <w:sz w:val="18"/>
                <w:szCs w:val="20"/>
              </w:rPr>
            </w:r>
          </w:p>
        </w:tc>
      </w:tr>
    </w:tbl>
    <w:p>
      <w:pPr>
        <w:pStyle w:val="style0"/>
        <w:jc w:val="both"/>
      </w:pPr>
      <w:r>
        <w:rPr>
          <w:rFonts w:ascii="Arial" w:cs="Arial" w:hAnsi="Arial"/>
        </w:rPr>
      </w:r>
    </w:p>
    <w:tbl>
      <w:tblPr>
        <w:jc w:val="left"/>
        <w:tblBorders>
          <w:bottom w:color="000000" w:space="0" w:sz="4" w:val="single"/>
        </w:tblBorders>
      </w:tblPr>
      <w:tblGrid>
        <w:gridCol w:w="484"/>
        <w:gridCol w:w="5702"/>
        <w:gridCol w:w="514"/>
        <w:gridCol w:w="514"/>
        <w:gridCol w:w="514"/>
        <w:gridCol w:w="514"/>
        <w:gridCol w:w="524"/>
      </w:tblGrid>
      <w:tr>
        <w:trPr>
          <w:trHeight w:hRule="atLeast" w:val="420"/>
          <w:cantSplit w:val="false"/>
        </w:trPr>
        <w:tc>
          <w:tcPr>
            <w:tcW w:type="dxa" w:w="484"/>
            <w:tcBorders>
              <w:bottom w:color="000000" w:space="0" w:sz="4" w:val="single"/>
            </w:tcBorders>
            <w:shd w:fill="auto" w:val="clear"/>
            <w:tcMar>
              <w:top w:type="dxa" w:w="0"/>
              <w:left w:type="dxa" w:w="108"/>
              <w:bottom w:type="dxa" w:w="0"/>
              <w:right w:type="dxa" w:w="108"/>
            </w:tcMar>
            <w:vAlign w:val="center"/>
          </w:tcPr>
          <w:p>
            <w:pPr>
              <w:pStyle w:val="style0"/>
              <w:framePr w:h="210" w:hAnchor="page" w:hRule="atLeast" w:hSpace="70" w:vAnchor="page" w:vSpace="100" w:w="8766" w:wrap="around" w:x="-113" w:y="1801"/>
              <w:shd w:fill="FFFFFF" w:val="clear"/>
            </w:pPr>
            <w:r>
              <w:rPr>
                <w:rFonts w:ascii="Arial" w:cs="Arial" w:hAnsi="Arial"/>
              </w:rPr>
            </w:r>
          </w:p>
        </w:tc>
        <w:tc>
          <w:tcPr>
            <w:tcW w:type="dxa" w:w="5702"/>
            <w:tcBorders>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766" w:wrap="around" w:x="-113" w:y="1801"/>
              <w:shd w:fill="FFFFFF" w:val="clear"/>
            </w:pPr>
            <w:r>
              <w:rPr>
                <w:rFonts w:ascii="Arial" w:cs="Arial" w:hAnsi="Arial"/>
              </w:rPr>
            </w:r>
          </w:p>
        </w:tc>
        <w:tc>
          <w:tcPr>
            <w:tcW w:type="dxa" w:w="514"/>
            <w:tcBorders>
              <w:top w:color="000000" w:space="0" w:sz="4" w:val="single"/>
              <w:left w:color="000000" w:space="0" w:sz="4" w:val="single"/>
              <w:bottom w:color="000000" w:space="0" w:sz="4" w:val="single"/>
            </w:tcBorders>
            <w:shd w:fill="D9D9D9" w:val="clear"/>
            <w:tcMar>
              <w:top w:type="dxa" w:w="0"/>
              <w:left w:type="dxa" w:w="108"/>
              <w:bottom w:type="dxa" w:w="0"/>
              <w:right w:type="dxa" w:w="108"/>
            </w:tcMar>
            <w:vAlign w:val="center"/>
          </w:tcPr>
          <w:p>
            <w:pPr>
              <w:pStyle w:val="style0"/>
              <w:framePr w:h="210" w:hAnchor="page" w:hRule="atLeast" w:hSpace="70" w:vAnchor="page" w:vSpace="100" w:w="8766" w:wrap="around" w:x="-113" w:y="1801"/>
              <w:shd w:fill="FFFFFF" w:val="clear"/>
            </w:pPr>
            <w:r>
              <w:rPr>
                <w:rFonts w:ascii="Arial" w:cs="Arial" w:hAnsi="Arial"/>
                <w:b/>
              </w:rPr>
              <w:t>A</w:t>
            </w:r>
          </w:p>
        </w:tc>
        <w:tc>
          <w:tcPr>
            <w:tcW w:type="dxa" w:w="514"/>
            <w:tcBorders>
              <w:top w:color="000000" w:space="0" w:sz="4" w:val="single"/>
              <w:left w:color="000000" w:space="0" w:sz="4" w:val="single"/>
              <w:bottom w:color="000000" w:space="0" w:sz="4" w:val="single"/>
            </w:tcBorders>
            <w:shd w:fill="D9D9D9" w:val="clear"/>
            <w:tcMar>
              <w:top w:type="dxa" w:w="0"/>
              <w:left w:type="dxa" w:w="108"/>
              <w:bottom w:type="dxa" w:w="0"/>
              <w:right w:type="dxa" w:w="108"/>
            </w:tcMar>
            <w:vAlign w:val="center"/>
          </w:tcPr>
          <w:p>
            <w:pPr>
              <w:pStyle w:val="style0"/>
              <w:framePr w:h="210" w:hAnchor="page" w:hRule="atLeast" w:hSpace="70" w:vAnchor="page" w:vSpace="100" w:w="8766" w:wrap="around" w:x="-113" w:y="1801"/>
              <w:shd w:fill="FFFFFF" w:val="clear"/>
            </w:pPr>
            <w:r>
              <w:rPr>
                <w:rFonts w:ascii="Arial" w:cs="Arial" w:hAnsi="Arial"/>
                <w:b/>
              </w:rPr>
              <w:t>B</w:t>
            </w:r>
          </w:p>
        </w:tc>
        <w:tc>
          <w:tcPr>
            <w:tcW w:type="dxa" w:w="514"/>
            <w:tcBorders>
              <w:top w:color="000000" w:space="0" w:sz="4" w:val="single"/>
              <w:left w:color="000000" w:space="0" w:sz="4" w:val="single"/>
              <w:bottom w:color="000000" w:space="0" w:sz="4" w:val="single"/>
            </w:tcBorders>
            <w:shd w:fill="D9D9D9" w:val="clear"/>
            <w:tcMar>
              <w:top w:type="dxa" w:w="0"/>
              <w:left w:type="dxa" w:w="108"/>
              <w:bottom w:type="dxa" w:w="0"/>
              <w:right w:type="dxa" w:w="108"/>
            </w:tcMar>
            <w:vAlign w:val="center"/>
          </w:tcPr>
          <w:p>
            <w:pPr>
              <w:pStyle w:val="style0"/>
              <w:framePr w:h="210" w:hAnchor="page" w:hRule="atLeast" w:hSpace="70" w:vAnchor="page" w:vSpace="100" w:w="8766" w:wrap="around" w:x="-113" w:y="1801"/>
              <w:shd w:fill="FFFFFF" w:val="clear"/>
            </w:pPr>
            <w:r>
              <w:rPr>
                <w:rFonts w:ascii="Arial" w:cs="Arial" w:hAnsi="Arial"/>
                <w:b/>
              </w:rPr>
              <w:t>C</w:t>
            </w:r>
          </w:p>
        </w:tc>
        <w:tc>
          <w:tcPr>
            <w:tcW w:type="dxa" w:w="514"/>
            <w:tcBorders>
              <w:top w:color="000000" w:space="0" w:sz="4" w:val="single"/>
              <w:left w:color="000000" w:space="0" w:sz="4" w:val="single"/>
              <w:bottom w:color="000000" w:space="0" w:sz="4" w:val="single"/>
            </w:tcBorders>
            <w:shd w:fill="D9D9D9" w:val="clear"/>
            <w:tcMar>
              <w:top w:type="dxa" w:w="0"/>
              <w:left w:type="dxa" w:w="108"/>
              <w:bottom w:type="dxa" w:w="0"/>
              <w:right w:type="dxa" w:w="108"/>
            </w:tcMar>
            <w:vAlign w:val="center"/>
          </w:tcPr>
          <w:p>
            <w:pPr>
              <w:pStyle w:val="style0"/>
              <w:framePr w:h="210" w:hAnchor="page" w:hRule="atLeast" w:hSpace="70" w:vAnchor="page" w:vSpace="100" w:w="8766" w:wrap="around" w:x="-113" w:y="1801"/>
              <w:shd w:fill="FFFFFF" w:val="clear"/>
            </w:pPr>
            <w:r>
              <w:rPr>
                <w:rFonts w:ascii="Arial" w:cs="Arial" w:hAnsi="Arial"/>
                <w:b/>
              </w:rPr>
              <w:t>D</w:t>
            </w:r>
          </w:p>
        </w:tc>
        <w:tc>
          <w:tcPr>
            <w:tcW w:type="dxa" w:w="524"/>
            <w:tcBorders>
              <w:top w:color="000000" w:space="0" w:sz="4" w:val="single"/>
              <w:left w:color="000000" w:space="0" w:sz="4" w:val="single"/>
              <w:bottom w:color="000000" w:space="0" w:sz="4" w:val="single"/>
              <w:right w:color="000000" w:space="0" w:sz="4" w:val="single"/>
            </w:tcBorders>
            <w:shd w:fill="D9D9D9" w:val="clear"/>
            <w:tcMar>
              <w:top w:type="dxa" w:w="0"/>
              <w:left w:type="dxa" w:w="108"/>
              <w:bottom w:type="dxa" w:w="0"/>
              <w:right w:type="dxa" w:w="108"/>
            </w:tcMar>
            <w:vAlign w:val="center"/>
          </w:tcPr>
          <w:p>
            <w:pPr>
              <w:pStyle w:val="style0"/>
              <w:framePr w:h="210" w:hAnchor="page" w:hRule="atLeast" w:hSpace="70" w:vAnchor="page" w:vSpace="100" w:w="8766" w:wrap="around" w:x="-113" w:y="1801"/>
              <w:shd w:fill="FFFFFF" w:val="clear"/>
            </w:pPr>
            <w:r>
              <w:rPr>
                <w:rFonts w:ascii="Arial" w:cs="Arial" w:hAnsi="Arial"/>
                <w:b/>
              </w:rPr>
              <w:t>E</w:t>
            </w:r>
          </w:p>
        </w:tc>
      </w:tr>
      <w:tr>
        <w:trPr>
          <w:trHeight w:hRule="atLeast" w:val="744"/>
          <w:cantSplit w:val="false"/>
        </w:trPr>
        <w:tc>
          <w:tcPr>
            <w:tcW w:type="dxa" w:w="484"/>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framePr w:h="210" w:hAnchor="page" w:hRule="atLeast" w:hSpace="70" w:vAnchor="page" w:vSpace="100" w:w="8766" w:wrap="around" w:x="-113" w:y="1801"/>
              <w:shd w:fill="FFFFFF" w:val="clear"/>
            </w:pPr>
            <w:r>
              <w:rPr>
                <w:rFonts w:ascii="Arial" w:cs="Arial" w:hAnsi="Arial"/>
                <w:sz w:val="18"/>
              </w:rPr>
              <w:t>12</w:t>
            </w:r>
          </w:p>
        </w:tc>
        <w:tc>
          <w:tcPr>
            <w:tcW w:type="dxa" w:w="5702"/>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766" w:wrap="around" w:x="-113" w:y="1801"/>
              <w:shd w:fill="FFFFFF" w:val="clear"/>
            </w:pPr>
            <w:r>
              <w:rPr>
                <w:rFonts w:ascii="Arial" w:cs="Arial" w:hAnsi="Arial"/>
                <w:sz w:val="18"/>
              </w:rPr>
            </w:r>
          </w:p>
          <w:p>
            <w:pPr>
              <w:pStyle w:val="style0"/>
              <w:framePr w:h="210" w:hAnchor="page" w:hRule="atLeast" w:hSpace="70" w:vAnchor="page" w:vSpace="100" w:w="8766" w:wrap="around" w:x="-113" w:y="1801"/>
              <w:shd w:fill="FFFFFF" w:val="clear"/>
            </w:pPr>
            <w:r>
              <w:rPr>
                <w:rFonts w:ascii="Arial" w:cs="Arial" w:hAnsi="Arial"/>
                <w:sz w:val="18"/>
                <w:shd w:fill="FFFFFF" w:val="clear"/>
              </w:rPr>
              <w:t>Crees que la desincorporación de  las chatarras que se encuentran en los espacios de la institución tendría algún impacto importante en el entorno</w:t>
            </w:r>
            <w:r>
              <w:rPr>
                <w:rFonts w:ascii="Arial" w:cs="Arial" w:hAnsi="Arial"/>
                <w:sz w:val="18"/>
              </w:rPr>
              <w:t>.</w:t>
            </w:r>
          </w:p>
        </w:tc>
        <w:tc>
          <w:tcPr>
            <w:tcW w:type="dxa" w:w="514"/>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766" w:wrap="around" w:x="-113" w:y="1801"/>
              <w:shd w:fill="FFFFFF" w:val="clear"/>
            </w:pPr>
            <w:r>
              <w:rPr>
                <w:rFonts w:ascii="Arial" w:cs="Arial" w:hAnsi="Arial"/>
              </w:rPr>
            </w:r>
          </w:p>
        </w:tc>
        <w:tc>
          <w:tcPr>
            <w:tcW w:type="dxa" w:w="514"/>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766" w:wrap="around" w:x="-113" w:y="1801"/>
              <w:shd w:fill="FFFFFF" w:val="clear"/>
            </w:pPr>
            <w:r>
              <w:rPr>
                <w:rFonts w:ascii="Arial" w:cs="Arial" w:hAnsi="Arial"/>
              </w:rPr>
            </w:r>
          </w:p>
        </w:tc>
        <w:tc>
          <w:tcPr>
            <w:tcW w:type="dxa" w:w="514"/>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766" w:wrap="around" w:x="-113" w:y="1801"/>
              <w:shd w:fill="FFFFFF" w:val="clear"/>
            </w:pPr>
            <w:r>
              <w:rPr>
                <w:rFonts w:ascii="Arial" w:cs="Arial" w:hAnsi="Arial"/>
              </w:rPr>
            </w:r>
          </w:p>
        </w:tc>
        <w:tc>
          <w:tcPr>
            <w:tcW w:type="dxa" w:w="514"/>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766" w:wrap="around" w:x="-113" w:y="1801"/>
              <w:shd w:fill="FFFFFF" w:val="clear"/>
            </w:pPr>
            <w:r>
              <w:rPr>
                <w:rFonts w:ascii="Arial" w:cs="Arial" w:hAnsi="Arial"/>
              </w:rPr>
            </w:r>
          </w:p>
        </w:tc>
        <w:tc>
          <w:tcPr>
            <w:tcW w:type="dxa" w:w="524"/>
            <w:tcBorders>
              <w:top w:color="000000" w:space="0" w:sz="4" w:val="single"/>
              <w:left w:color="000000" w:space="0" w:sz="4" w:val="single"/>
              <w:bottom w:color="000000" w:space="0" w:sz="4" w:val="single"/>
              <w:right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766" w:wrap="around" w:x="-113" w:y="1801"/>
              <w:shd w:fill="FFFFFF" w:val="clear"/>
            </w:pPr>
            <w:r>
              <w:rPr>
                <w:rFonts w:ascii="Arial" w:cs="Arial" w:hAnsi="Arial"/>
              </w:rPr>
            </w:r>
          </w:p>
        </w:tc>
      </w:tr>
      <w:tr>
        <w:trPr>
          <w:trHeight w:hRule="atLeast" w:val="828"/>
          <w:cantSplit w:val="false"/>
        </w:trPr>
        <w:tc>
          <w:tcPr>
            <w:tcW w:type="dxa" w:w="484"/>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framePr w:h="210" w:hAnchor="page" w:hRule="atLeast" w:hSpace="70" w:vAnchor="page" w:vSpace="100" w:w="8766" w:wrap="around" w:x="-113" w:y="1801"/>
              <w:shd w:fill="FFFFFF" w:val="clear"/>
            </w:pPr>
            <w:r>
              <w:rPr>
                <w:rFonts w:ascii="Arial" w:cs="Arial" w:hAnsi="Arial"/>
                <w:sz w:val="18"/>
              </w:rPr>
              <w:t>13</w:t>
            </w:r>
          </w:p>
        </w:tc>
        <w:tc>
          <w:tcPr>
            <w:tcW w:type="dxa" w:w="5702"/>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766" w:wrap="around" w:x="-113" w:y="1801"/>
              <w:shd w:fill="FFFFFF" w:val="clear"/>
            </w:pPr>
            <w:r>
              <w:rPr>
                <w:rStyle w:val="style150"/>
                <w:rFonts w:ascii="Arial" w:cs="Arial" w:hAnsi="Arial"/>
                <w:b w:val="false"/>
                <w:color w:val="000000"/>
                <w:sz w:val="18"/>
                <w:szCs w:val="20"/>
                <w:shd w:fill="FFFFFF" w:val="clear"/>
              </w:rPr>
              <w:t>Está Usted de acuerdo que  se flexibilicen las normas y procedimientos para regular la enajenación y desincorporación de los bienes nacionales en deterioro, obsoleto y en corrosión  ayudar a solucionar el problema de la acumulación de chatarra en los espacios físicos de la Institución</w:t>
            </w:r>
          </w:p>
        </w:tc>
        <w:tc>
          <w:tcPr>
            <w:tcW w:type="dxa" w:w="514"/>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766" w:wrap="around" w:x="-113" w:y="1801"/>
              <w:shd w:fill="FFFFFF" w:val="clear"/>
            </w:pPr>
            <w:r>
              <w:rPr>
                <w:rFonts w:ascii="Arial" w:cs="Arial" w:hAnsi="Arial"/>
              </w:rPr>
            </w:r>
          </w:p>
        </w:tc>
        <w:tc>
          <w:tcPr>
            <w:tcW w:type="dxa" w:w="514"/>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766" w:wrap="around" w:x="-113" w:y="1801"/>
              <w:shd w:fill="FFFFFF" w:val="clear"/>
            </w:pPr>
            <w:r>
              <w:rPr>
                <w:rFonts w:ascii="Arial" w:cs="Arial" w:hAnsi="Arial"/>
              </w:rPr>
            </w:r>
          </w:p>
        </w:tc>
        <w:tc>
          <w:tcPr>
            <w:tcW w:type="dxa" w:w="514"/>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766" w:wrap="around" w:x="-113" w:y="1801"/>
              <w:shd w:fill="FFFFFF" w:val="clear"/>
            </w:pPr>
            <w:r>
              <w:rPr>
                <w:rFonts w:ascii="Arial" w:cs="Arial" w:hAnsi="Arial"/>
              </w:rPr>
            </w:r>
          </w:p>
        </w:tc>
        <w:tc>
          <w:tcPr>
            <w:tcW w:type="dxa" w:w="514"/>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766" w:wrap="around" w:x="-113" w:y="1801"/>
              <w:shd w:fill="FFFFFF" w:val="clear"/>
            </w:pPr>
            <w:r>
              <w:rPr>
                <w:rFonts w:ascii="Arial" w:cs="Arial" w:hAnsi="Arial"/>
              </w:rPr>
            </w:r>
          </w:p>
        </w:tc>
        <w:tc>
          <w:tcPr>
            <w:tcW w:type="dxa" w:w="524"/>
            <w:tcBorders>
              <w:top w:color="000000" w:space="0" w:sz="4" w:val="single"/>
              <w:left w:color="000000" w:space="0" w:sz="4" w:val="single"/>
              <w:bottom w:color="000000" w:space="0" w:sz="4" w:val="single"/>
              <w:right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766" w:wrap="around" w:x="-113" w:y="1801"/>
              <w:shd w:fill="FFFFFF" w:val="clear"/>
            </w:pPr>
            <w:r>
              <w:rPr>
                <w:rFonts w:ascii="Arial" w:cs="Arial" w:hAnsi="Arial"/>
              </w:rPr>
            </w:r>
          </w:p>
        </w:tc>
      </w:tr>
      <w:tr>
        <w:trPr>
          <w:trHeight w:hRule="atLeast" w:val="2172"/>
          <w:cantSplit w:val="false"/>
        </w:trPr>
        <w:tc>
          <w:tcPr>
            <w:tcW w:type="dxa" w:w="484"/>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framePr w:h="210" w:hAnchor="page" w:hRule="atLeast" w:hSpace="70" w:vAnchor="page" w:vSpace="100" w:w="8766" w:wrap="around" w:x="-113" w:y="1801"/>
              <w:shd w:fill="FFFFFF" w:val="clear"/>
            </w:pPr>
            <w:r>
              <w:rPr>
                <w:rFonts w:ascii="Arial" w:cs="Arial" w:hAnsi="Arial"/>
                <w:sz w:val="18"/>
              </w:rPr>
              <w:t>14</w:t>
            </w:r>
          </w:p>
        </w:tc>
        <w:tc>
          <w:tcPr>
            <w:tcW w:type="dxa" w:w="5702"/>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766" w:wrap="around" w:x="-113" w:y="1801"/>
              <w:shd w:fill="FFFFFF" w:val="clear"/>
            </w:pPr>
            <w:r>
              <w:rPr>
                <w:rFonts w:ascii="Arial" w:cs="Arial" w:hAnsi="Arial"/>
                <w:sz w:val="18"/>
                <w:szCs w:val="24"/>
              </w:rPr>
              <w:t xml:space="preserve">Está de acuerdo usted que el Gobierno Nacional implemente la alianza corporativa entre las  Empresas del ramo Siderúrgico con Instituciones de Prestación Servicios  que mantengan Propiedades Plantas y Equipos en fases de obsolescencias, inutilizables, </w:t>
            </w:r>
            <w:r>
              <w:rPr>
                <w:rFonts w:ascii="Arial" w:cs="Arial" w:hAnsi="Arial"/>
                <w:sz w:val="18"/>
                <w:szCs w:val="24"/>
                <w:shd w:fill="FFFFFF" w:val="clear"/>
              </w:rPr>
              <w:t xml:space="preserve">o en mal estado difícil de recuperar como  de  funcionar y estos no sean susceptibles a reparación para que sean recolectados y reciclados como  </w:t>
            </w:r>
            <w:r>
              <w:rPr>
                <w:rFonts w:ascii="Arial" w:cs="Arial" w:hAnsi="Arial"/>
                <w:sz w:val="18"/>
                <w:szCs w:val="24"/>
              </w:rPr>
              <w:t>insumo para la Producción Automotriz y la Construcción Civil en Venezuela</w:t>
            </w:r>
          </w:p>
        </w:tc>
        <w:tc>
          <w:tcPr>
            <w:tcW w:type="dxa" w:w="514"/>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766" w:wrap="around" w:x="-113" w:y="1801"/>
              <w:shd w:fill="FFFFFF" w:val="clear"/>
            </w:pPr>
            <w:r>
              <w:rPr>
                <w:rFonts w:ascii="Arial" w:cs="Arial" w:hAnsi="Arial"/>
              </w:rPr>
            </w:r>
          </w:p>
        </w:tc>
        <w:tc>
          <w:tcPr>
            <w:tcW w:type="dxa" w:w="514"/>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766" w:wrap="around" w:x="-113" w:y="1801"/>
              <w:shd w:fill="FFFFFF" w:val="clear"/>
            </w:pPr>
            <w:r>
              <w:rPr>
                <w:rFonts w:ascii="Arial" w:cs="Arial" w:hAnsi="Arial"/>
              </w:rPr>
            </w:r>
          </w:p>
        </w:tc>
        <w:tc>
          <w:tcPr>
            <w:tcW w:type="dxa" w:w="514"/>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766" w:wrap="around" w:x="-113" w:y="1801"/>
              <w:shd w:fill="FFFFFF" w:val="clear"/>
            </w:pPr>
            <w:r>
              <w:rPr>
                <w:rFonts w:ascii="Arial" w:cs="Arial" w:hAnsi="Arial"/>
              </w:rPr>
            </w:r>
          </w:p>
        </w:tc>
        <w:tc>
          <w:tcPr>
            <w:tcW w:type="dxa" w:w="514"/>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766" w:wrap="around" w:x="-113" w:y="1801"/>
              <w:shd w:fill="FFFFFF" w:val="clear"/>
            </w:pPr>
            <w:r>
              <w:rPr>
                <w:rFonts w:ascii="Arial" w:cs="Arial" w:hAnsi="Arial"/>
              </w:rPr>
            </w:r>
          </w:p>
        </w:tc>
        <w:tc>
          <w:tcPr>
            <w:tcW w:type="dxa" w:w="524"/>
            <w:tcBorders>
              <w:top w:color="000000" w:space="0" w:sz="4" w:val="single"/>
              <w:left w:color="000000" w:space="0" w:sz="4" w:val="single"/>
              <w:bottom w:color="000000" w:space="0" w:sz="4" w:val="single"/>
              <w:right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766" w:wrap="around" w:x="-113" w:y="1801"/>
              <w:shd w:fill="FFFFFF" w:val="clear"/>
            </w:pPr>
            <w:r>
              <w:rPr>
                <w:rFonts w:ascii="Arial" w:cs="Arial" w:hAnsi="Arial"/>
              </w:rPr>
            </w:r>
          </w:p>
        </w:tc>
      </w:tr>
      <w:tr>
        <w:trPr>
          <w:trHeight w:hRule="atLeast" w:val="1079"/>
          <w:cantSplit w:val="false"/>
        </w:trPr>
        <w:tc>
          <w:tcPr>
            <w:tcW w:type="dxa" w:w="484"/>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framePr w:h="210" w:hAnchor="page" w:hRule="atLeast" w:hSpace="70" w:vAnchor="page" w:vSpace="100" w:w="8766" w:wrap="around" w:x="-113" w:y="1801"/>
              <w:shd w:fill="FFFFFF" w:val="clear"/>
            </w:pPr>
            <w:r>
              <w:rPr>
                <w:rFonts w:ascii="Arial" w:cs="Arial" w:hAnsi="Arial"/>
                <w:sz w:val="18"/>
              </w:rPr>
              <w:t>15</w:t>
            </w:r>
          </w:p>
        </w:tc>
        <w:tc>
          <w:tcPr>
            <w:tcW w:type="dxa" w:w="5702"/>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766" w:wrap="around" w:x="-113" w:y="1801"/>
              <w:shd w:fill="FFFFFF" w:val="clear"/>
            </w:pPr>
            <w:r>
              <w:rPr>
                <w:rFonts w:ascii="Arial" w:cs="Arial" w:hAnsi="Arial"/>
                <w:sz w:val="18"/>
              </w:rPr>
              <w:t xml:space="preserve">Será  conveniente realizar un plan anual de retiro o  desincorporación de Propiedad, Planta y Equipo en fases de obsolescencia, inutilizable, </w:t>
            </w:r>
            <w:r>
              <w:rPr>
                <w:rFonts w:ascii="Arial" w:cs="Arial" w:hAnsi="Arial"/>
                <w:sz w:val="18"/>
                <w:shd w:fill="FFFFFF" w:val="clear"/>
              </w:rPr>
              <w:t>o en mal estado difícil de recuperar como  de  funcionar y estos no sean susceptibles a reparación para no mantener gran cantidad  de materiales inservibles y así mantener  depurado los estados financieros</w:t>
            </w:r>
            <w:r>
              <w:rPr>
                <w:rFonts w:ascii="Arial" w:cs="Arial" w:hAnsi="Arial"/>
                <w:sz w:val="18"/>
              </w:rPr>
              <w:t>.</w:t>
            </w:r>
          </w:p>
        </w:tc>
        <w:tc>
          <w:tcPr>
            <w:tcW w:type="dxa" w:w="514"/>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766" w:wrap="around" w:x="-113" w:y="1801"/>
              <w:shd w:fill="FFFFFF" w:val="clear"/>
            </w:pPr>
            <w:r>
              <w:rPr>
                <w:rFonts w:ascii="Arial" w:cs="Arial" w:hAnsi="Arial"/>
              </w:rPr>
            </w:r>
          </w:p>
        </w:tc>
        <w:tc>
          <w:tcPr>
            <w:tcW w:type="dxa" w:w="514"/>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766" w:wrap="around" w:x="-113" w:y="1801"/>
              <w:shd w:fill="FFFFFF" w:val="clear"/>
            </w:pPr>
            <w:r>
              <w:rPr>
                <w:rFonts w:ascii="Arial" w:cs="Arial" w:hAnsi="Arial"/>
              </w:rPr>
            </w:r>
          </w:p>
        </w:tc>
        <w:tc>
          <w:tcPr>
            <w:tcW w:type="dxa" w:w="514"/>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766" w:wrap="around" w:x="-113" w:y="1801"/>
              <w:shd w:fill="FFFFFF" w:val="clear"/>
            </w:pPr>
            <w:r>
              <w:rPr>
                <w:rFonts w:ascii="Arial" w:cs="Arial" w:hAnsi="Arial"/>
              </w:rPr>
            </w:r>
          </w:p>
        </w:tc>
        <w:tc>
          <w:tcPr>
            <w:tcW w:type="dxa" w:w="514"/>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766" w:wrap="around" w:x="-113" w:y="1801"/>
              <w:shd w:fill="FFFFFF" w:val="clear"/>
            </w:pPr>
            <w:r>
              <w:rPr>
                <w:rFonts w:ascii="Arial" w:cs="Arial" w:hAnsi="Arial"/>
              </w:rPr>
            </w:r>
          </w:p>
        </w:tc>
        <w:tc>
          <w:tcPr>
            <w:tcW w:type="dxa" w:w="524"/>
            <w:tcBorders>
              <w:top w:color="000000" w:space="0" w:sz="4" w:val="single"/>
              <w:left w:color="000000" w:space="0" w:sz="4" w:val="single"/>
              <w:bottom w:color="000000" w:space="0" w:sz="4" w:val="single"/>
              <w:right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766" w:wrap="around" w:x="-113" w:y="1801"/>
              <w:shd w:fill="FFFFFF" w:val="clear"/>
            </w:pPr>
            <w:r>
              <w:rPr>
                <w:rFonts w:ascii="Arial" w:cs="Arial" w:hAnsi="Arial"/>
              </w:rPr>
            </w:r>
          </w:p>
        </w:tc>
      </w:tr>
      <w:tr>
        <w:trPr>
          <w:trHeight w:hRule="atLeast" w:val="779"/>
          <w:cantSplit w:val="false"/>
        </w:trPr>
        <w:tc>
          <w:tcPr>
            <w:tcW w:type="dxa" w:w="484"/>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framePr w:h="210" w:hAnchor="page" w:hRule="atLeast" w:hSpace="70" w:vAnchor="page" w:vSpace="100" w:w="8766" w:wrap="around" w:x="-113" w:y="1801"/>
              <w:shd w:fill="FFFFFF" w:val="clear"/>
            </w:pPr>
            <w:r>
              <w:rPr>
                <w:rFonts w:ascii="Arial" w:cs="Arial" w:hAnsi="Arial"/>
                <w:sz w:val="18"/>
              </w:rPr>
              <w:t>16</w:t>
            </w:r>
          </w:p>
        </w:tc>
        <w:tc>
          <w:tcPr>
            <w:tcW w:type="dxa" w:w="5702"/>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766" w:wrap="around" w:x="-113" w:y="1801"/>
              <w:shd w:fill="FFFFFF" w:val="clear"/>
            </w:pPr>
            <w:r>
              <w:rPr>
                <w:rFonts w:ascii="Arial" w:cs="Arial" w:eastAsia="Arial" w:hAnsi="Arial"/>
                <w:sz w:val="18"/>
              </w:rPr>
              <w:t xml:space="preserve"> </w:t>
            </w:r>
            <w:r>
              <w:rPr>
                <w:rFonts w:ascii="Arial" w:cs="Arial" w:eastAsia="Arial" w:hAnsi="Arial"/>
                <w:sz w:val="18"/>
                <w:shd w:fill="FFFFFF" w:val="clear"/>
              </w:rPr>
              <w:t xml:space="preserve"> </w:t>
            </w:r>
            <w:r>
              <w:rPr>
                <w:rFonts w:ascii="Arial" w:cs="Arial" w:hAnsi="Arial"/>
                <w:sz w:val="18"/>
                <w:shd w:fill="FFFFFF" w:val="clear"/>
              </w:rPr>
              <w:t>Usted como integrante de la comunidad universitaria está de acuerdo con que se aplique un plan de Ecoeficiencia permanente en la Institución que aporte a su sustentabilidad</w:t>
            </w:r>
          </w:p>
        </w:tc>
        <w:tc>
          <w:tcPr>
            <w:tcW w:type="dxa" w:w="514"/>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766" w:wrap="around" w:x="-113" w:y="1801"/>
              <w:shd w:fill="FFFFFF" w:val="clear"/>
            </w:pPr>
            <w:r>
              <w:rPr>
                <w:rFonts w:ascii="Arial" w:cs="Arial" w:hAnsi="Arial"/>
              </w:rPr>
            </w:r>
          </w:p>
        </w:tc>
        <w:tc>
          <w:tcPr>
            <w:tcW w:type="dxa" w:w="514"/>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766" w:wrap="around" w:x="-113" w:y="1801"/>
              <w:shd w:fill="FFFFFF" w:val="clear"/>
            </w:pPr>
            <w:r>
              <w:rPr>
                <w:rFonts w:ascii="Arial" w:cs="Arial" w:hAnsi="Arial"/>
              </w:rPr>
            </w:r>
          </w:p>
        </w:tc>
        <w:tc>
          <w:tcPr>
            <w:tcW w:type="dxa" w:w="514"/>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766" w:wrap="around" w:x="-113" w:y="1801"/>
              <w:shd w:fill="FFFFFF" w:val="clear"/>
            </w:pPr>
            <w:r>
              <w:rPr>
                <w:rFonts w:ascii="Arial" w:cs="Arial" w:hAnsi="Arial"/>
              </w:rPr>
            </w:r>
          </w:p>
        </w:tc>
        <w:tc>
          <w:tcPr>
            <w:tcW w:type="dxa" w:w="514"/>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766" w:wrap="around" w:x="-113" w:y="1801"/>
              <w:shd w:fill="FFFFFF" w:val="clear"/>
            </w:pPr>
            <w:r>
              <w:rPr>
                <w:rFonts w:ascii="Arial" w:cs="Arial" w:hAnsi="Arial"/>
              </w:rPr>
            </w:r>
          </w:p>
        </w:tc>
        <w:tc>
          <w:tcPr>
            <w:tcW w:type="dxa" w:w="524"/>
            <w:tcBorders>
              <w:top w:color="000000" w:space="0" w:sz="4" w:val="single"/>
              <w:left w:color="000000" w:space="0" w:sz="4" w:val="single"/>
              <w:bottom w:color="000000" w:space="0" w:sz="4" w:val="single"/>
              <w:right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766" w:wrap="around" w:x="-113" w:y="1801"/>
              <w:shd w:fill="FFFFFF" w:val="clear"/>
            </w:pPr>
            <w:r>
              <w:rPr>
                <w:rFonts w:ascii="Arial" w:cs="Arial" w:hAnsi="Arial"/>
              </w:rPr>
            </w:r>
          </w:p>
        </w:tc>
      </w:tr>
      <w:tr>
        <w:trPr>
          <w:trHeight w:hRule="atLeast" w:val="779"/>
          <w:cantSplit w:val="false"/>
        </w:trPr>
        <w:tc>
          <w:tcPr>
            <w:tcW w:type="dxa" w:w="484"/>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framePr w:h="210" w:hAnchor="page" w:hRule="atLeast" w:hSpace="70" w:vAnchor="page" w:vSpace="100" w:w="8766" w:wrap="around" w:x="-113" w:y="1801"/>
              <w:shd w:fill="FFFFFF" w:val="clear"/>
            </w:pPr>
            <w:r>
              <w:rPr>
                <w:rFonts w:ascii="Arial" w:cs="Arial" w:hAnsi="Arial"/>
                <w:sz w:val="18"/>
              </w:rPr>
              <w:t>17</w:t>
            </w:r>
          </w:p>
        </w:tc>
        <w:tc>
          <w:tcPr>
            <w:tcW w:type="dxa" w:w="5702"/>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766" w:wrap="around" w:x="-113" w:y="1801"/>
              <w:shd w:fill="FFFFFF" w:val="clear"/>
            </w:pPr>
            <w:r>
              <w:rPr>
                <w:rFonts w:ascii="Arial" w:cs="Arial" w:hAnsi="Arial"/>
                <w:sz w:val="18"/>
              </w:rPr>
              <w:t xml:space="preserve">Sabe Usted si los Directivos de la Institución se han establecido como  objetivo la </w:t>
            </w:r>
            <w:r>
              <w:rPr>
                <w:rFonts w:ascii="Arial" w:cs="Arial" w:hAnsi="Arial"/>
                <w:sz w:val="18"/>
                <w:shd w:fill="FFFFFF" w:val="clear"/>
              </w:rPr>
              <w:t>desincorporación de los Bienes Nacionales en estado de Obsolescencia, deterioro y corrosión</w:t>
            </w:r>
          </w:p>
        </w:tc>
        <w:tc>
          <w:tcPr>
            <w:tcW w:type="dxa" w:w="514"/>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766" w:wrap="around" w:x="-113" w:y="1801"/>
              <w:shd w:fill="FFFFFF" w:val="clear"/>
            </w:pPr>
            <w:r>
              <w:rPr>
                <w:rFonts w:ascii="Arial" w:cs="Arial" w:hAnsi="Arial"/>
              </w:rPr>
            </w:r>
          </w:p>
        </w:tc>
        <w:tc>
          <w:tcPr>
            <w:tcW w:type="dxa" w:w="514"/>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766" w:wrap="around" w:x="-113" w:y="1801"/>
              <w:shd w:fill="FFFFFF" w:val="clear"/>
            </w:pPr>
            <w:r>
              <w:rPr>
                <w:rFonts w:ascii="Arial" w:cs="Arial" w:hAnsi="Arial"/>
              </w:rPr>
            </w:r>
          </w:p>
        </w:tc>
        <w:tc>
          <w:tcPr>
            <w:tcW w:type="dxa" w:w="514"/>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766" w:wrap="around" w:x="-113" w:y="1801"/>
              <w:shd w:fill="FFFFFF" w:val="clear"/>
            </w:pPr>
            <w:r>
              <w:rPr>
                <w:rFonts w:ascii="Arial" w:cs="Arial" w:hAnsi="Arial"/>
              </w:rPr>
            </w:r>
          </w:p>
        </w:tc>
        <w:tc>
          <w:tcPr>
            <w:tcW w:type="dxa" w:w="514"/>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766" w:wrap="around" w:x="-113" w:y="1801"/>
              <w:shd w:fill="FFFFFF" w:val="clear"/>
            </w:pPr>
            <w:r>
              <w:rPr>
                <w:rFonts w:ascii="Arial" w:cs="Arial" w:hAnsi="Arial"/>
              </w:rPr>
            </w:r>
          </w:p>
        </w:tc>
        <w:tc>
          <w:tcPr>
            <w:tcW w:type="dxa" w:w="524"/>
            <w:tcBorders>
              <w:top w:color="000000" w:space="0" w:sz="4" w:val="single"/>
              <w:left w:color="000000" w:space="0" w:sz="4" w:val="single"/>
              <w:bottom w:color="000000" w:space="0" w:sz="4" w:val="single"/>
              <w:right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766" w:wrap="around" w:x="-113" w:y="1801"/>
              <w:shd w:fill="FFFFFF" w:val="clear"/>
            </w:pPr>
            <w:r>
              <w:rPr>
                <w:rFonts w:ascii="Arial" w:cs="Arial" w:hAnsi="Arial"/>
              </w:rPr>
            </w:r>
          </w:p>
        </w:tc>
      </w:tr>
      <w:tr>
        <w:trPr>
          <w:trHeight w:hRule="atLeast" w:val="577"/>
          <w:cantSplit w:val="false"/>
        </w:trPr>
        <w:tc>
          <w:tcPr>
            <w:tcW w:type="dxa" w:w="484"/>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framePr w:h="210" w:hAnchor="page" w:hRule="atLeast" w:hSpace="70" w:vAnchor="page" w:vSpace="100" w:w="8766" w:wrap="around" w:x="-113" w:y="1801"/>
              <w:shd w:fill="FFFFFF" w:val="clear"/>
            </w:pPr>
            <w:r>
              <w:rPr>
                <w:rFonts w:ascii="Arial" w:cs="Arial" w:hAnsi="Arial"/>
                <w:sz w:val="18"/>
              </w:rPr>
              <w:t>18</w:t>
            </w:r>
          </w:p>
        </w:tc>
        <w:tc>
          <w:tcPr>
            <w:tcW w:type="dxa" w:w="5702"/>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766" w:wrap="around" w:x="-113" w:y="1801"/>
              <w:shd w:fill="FFFFFF" w:val="clear"/>
            </w:pPr>
            <w:r>
              <w:rPr>
                <w:rFonts w:ascii="Arial" w:cs="Arial" w:hAnsi="Arial"/>
                <w:sz w:val="18"/>
                <w:szCs w:val="20"/>
                <w:shd w:fill="FFFFFF" w:val="clear"/>
              </w:rPr>
              <w:t>Está de acuerdo Usted que la comisión designada realice anualmente un estudio de factibilidad con respecto a si existe bienes Nacionales en estados de de Obsolescencia, deterioro y corrosión y gestiones su respectivo proceso</w:t>
            </w:r>
            <w:r>
              <w:rPr>
                <w:rFonts w:ascii="Arial" w:cs="Arial" w:hAnsi="Arial"/>
                <w:sz w:val="18"/>
                <w:szCs w:val="20"/>
              </w:rPr>
              <w:t>.</w:t>
            </w:r>
          </w:p>
        </w:tc>
        <w:tc>
          <w:tcPr>
            <w:tcW w:type="dxa" w:w="514"/>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766" w:wrap="around" w:x="-113" w:y="1801"/>
              <w:shd w:fill="FFFFFF" w:val="clear"/>
            </w:pPr>
            <w:r>
              <w:rPr>
                <w:rFonts w:ascii="Arial" w:cs="Arial" w:hAnsi="Arial"/>
              </w:rPr>
            </w:r>
          </w:p>
        </w:tc>
        <w:tc>
          <w:tcPr>
            <w:tcW w:type="dxa" w:w="514"/>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766" w:wrap="around" w:x="-113" w:y="1801"/>
              <w:shd w:fill="FFFFFF" w:val="clear"/>
            </w:pPr>
            <w:r>
              <w:rPr>
                <w:rFonts w:ascii="Arial" w:cs="Arial" w:hAnsi="Arial"/>
              </w:rPr>
            </w:r>
          </w:p>
        </w:tc>
        <w:tc>
          <w:tcPr>
            <w:tcW w:type="dxa" w:w="514"/>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766" w:wrap="around" w:x="-113" w:y="1801"/>
              <w:shd w:fill="FFFFFF" w:val="clear"/>
            </w:pPr>
            <w:r>
              <w:rPr>
                <w:rFonts w:ascii="Arial" w:cs="Arial" w:hAnsi="Arial"/>
              </w:rPr>
            </w:r>
          </w:p>
        </w:tc>
        <w:tc>
          <w:tcPr>
            <w:tcW w:type="dxa" w:w="514"/>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766" w:wrap="around" w:x="-113" w:y="1801"/>
              <w:shd w:fill="FFFFFF" w:val="clear"/>
            </w:pPr>
            <w:r>
              <w:rPr>
                <w:rFonts w:ascii="Arial" w:cs="Arial" w:hAnsi="Arial"/>
              </w:rPr>
            </w:r>
          </w:p>
        </w:tc>
        <w:tc>
          <w:tcPr>
            <w:tcW w:type="dxa" w:w="524"/>
            <w:tcBorders>
              <w:top w:color="000000" w:space="0" w:sz="4" w:val="single"/>
              <w:left w:color="000000" w:space="0" w:sz="4" w:val="single"/>
              <w:bottom w:color="000000" w:space="0" w:sz="4" w:val="single"/>
              <w:right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766" w:wrap="around" w:x="-113" w:y="1801"/>
              <w:shd w:fill="FFFFFF" w:val="clear"/>
            </w:pPr>
            <w:r>
              <w:rPr>
                <w:rFonts w:ascii="Arial" w:cs="Arial" w:hAnsi="Arial"/>
              </w:rPr>
            </w:r>
          </w:p>
        </w:tc>
      </w:tr>
      <w:tr>
        <w:trPr>
          <w:trHeight w:hRule="atLeast" w:val="744"/>
          <w:cantSplit w:val="false"/>
        </w:trPr>
        <w:tc>
          <w:tcPr>
            <w:tcW w:type="dxa" w:w="484"/>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framePr w:h="210" w:hAnchor="page" w:hRule="atLeast" w:hSpace="70" w:vAnchor="page" w:vSpace="100" w:w="8766" w:wrap="around" w:x="-113" w:y="1801"/>
              <w:shd w:fill="FFFFFF" w:val="clear"/>
            </w:pPr>
            <w:r>
              <w:rPr>
                <w:rFonts w:ascii="Arial" w:cs="Arial" w:hAnsi="Arial"/>
                <w:sz w:val="18"/>
              </w:rPr>
              <w:t>19</w:t>
            </w:r>
          </w:p>
        </w:tc>
        <w:tc>
          <w:tcPr>
            <w:tcW w:type="dxa" w:w="5702"/>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766" w:wrap="around" w:x="-113" w:y="1801"/>
              <w:shd w:fill="FFFFFF" w:val="clear"/>
            </w:pPr>
            <w:r>
              <w:rPr>
                <w:rFonts w:ascii="Arial" w:cs="Arial" w:hAnsi="Arial"/>
                <w:sz w:val="18"/>
                <w:shd w:fill="FFFFFF" w:val="clear"/>
              </w:rPr>
              <w:t>Tiene Usted conocimiento si los Directivos de la institución han solicitado información ante la Empresa Siderúrgica de cuáles son los pasos para la Enajenación, permuta o donación  de las chatarras que se encuentra en los espacios de la comunidad universitaria</w:t>
            </w:r>
            <w:r>
              <w:rPr>
                <w:rFonts w:ascii="Arial" w:cs="Arial" w:hAnsi="Arial"/>
                <w:sz w:val="18"/>
              </w:rPr>
              <w:t>.</w:t>
            </w:r>
          </w:p>
        </w:tc>
        <w:tc>
          <w:tcPr>
            <w:tcW w:type="dxa" w:w="514"/>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766" w:wrap="around" w:x="-113" w:y="1801"/>
              <w:shd w:fill="FFFFFF" w:val="clear"/>
            </w:pPr>
            <w:r>
              <w:rPr>
                <w:rFonts w:ascii="Arial" w:cs="Arial" w:hAnsi="Arial"/>
              </w:rPr>
            </w:r>
          </w:p>
        </w:tc>
        <w:tc>
          <w:tcPr>
            <w:tcW w:type="dxa" w:w="514"/>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766" w:wrap="around" w:x="-113" w:y="1801"/>
              <w:shd w:fill="FFFFFF" w:val="clear"/>
            </w:pPr>
            <w:r>
              <w:rPr>
                <w:rFonts w:ascii="Arial" w:cs="Arial" w:hAnsi="Arial"/>
              </w:rPr>
            </w:r>
          </w:p>
        </w:tc>
        <w:tc>
          <w:tcPr>
            <w:tcW w:type="dxa" w:w="514"/>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766" w:wrap="around" w:x="-113" w:y="1801"/>
              <w:shd w:fill="FFFFFF" w:val="clear"/>
            </w:pPr>
            <w:r>
              <w:rPr>
                <w:rFonts w:ascii="Arial" w:cs="Arial" w:hAnsi="Arial"/>
              </w:rPr>
            </w:r>
          </w:p>
        </w:tc>
        <w:tc>
          <w:tcPr>
            <w:tcW w:type="dxa" w:w="514"/>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766" w:wrap="around" w:x="-113" w:y="1801"/>
              <w:shd w:fill="FFFFFF" w:val="clear"/>
            </w:pPr>
            <w:r>
              <w:rPr>
                <w:rFonts w:ascii="Arial" w:cs="Arial" w:hAnsi="Arial"/>
              </w:rPr>
            </w:r>
          </w:p>
        </w:tc>
        <w:tc>
          <w:tcPr>
            <w:tcW w:type="dxa" w:w="524"/>
            <w:tcBorders>
              <w:top w:color="000000" w:space="0" w:sz="4" w:val="single"/>
              <w:left w:color="000000" w:space="0" w:sz="4" w:val="single"/>
              <w:bottom w:color="000000" w:space="0" w:sz="4" w:val="single"/>
              <w:right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766" w:wrap="around" w:x="-113" w:y="1801"/>
              <w:shd w:fill="FFFFFF" w:val="clear"/>
            </w:pPr>
            <w:r>
              <w:rPr>
                <w:rFonts w:ascii="Arial" w:cs="Arial" w:hAnsi="Arial"/>
              </w:rPr>
            </w:r>
          </w:p>
        </w:tc>
      </w:tr>
      <w:tr>
        <w:trPr>
          <w:trHeight w:hRule="atLeast" w:val="744"/>
          <w:cantSplit w:val="false"/>
        </w:trPr>
        <w:tc>
          <w:tcPr>
            <w:tcW w:type="dxa" w:w="484"/>
            <w:tcBorders>
              <w:top w:color="000000" w:space="0" w:sz="4" w:val="single"/>
              <w:left w:color="000000" w:space="0" w:sz="4" w:val="single"/>
              <w:bottom w:color="000000" w:space="0" w:sz="4" w:val="single"/>
            </w:tcBorders>
            <w:shd w:fill="auto" w:val="clear"/>
            <w:tcMar>
              <w:top w:type="dxa" w:w="0"/>
              <w:left w:type="dxa" w:w="108"/>
              <w:bottom w:type="dxa" w:w="0"/>
              <w:right w:type="dxa" w:w="108"/>
            </w:tcMar>
            <w:vAlign w:val="center"/>
          </w:tcPr>
          <w:p>
            <w:pPr>
              <w:pStyle w:val="style0"/>
              <w:framePr w:h="210" w:hAnchor="page" w:hRule="atLeast" w:hSpace="70" w:vAnchor="page" w:vSpace="100" w:w="8766" w:wrap="around" w:x="-113" w:y="1801"/>
              <w:shd w:fill="FFFFFF" w:val="clear"/>
            </w:pPr>
            <w:r>
              <w:rPr>
                <w:rFonts w:ascii="Arial" w:cs="Arial" w:hAnsi="Arial"/>
                <w:sz w:val="18"/>
              </w:rPr>
              <w:t>20</w:t>
            </w:r>
          </w:p>
        </w:tc>
        <w:tc>
          <w:tcPr>
            <w:tcW w:type="dxa" w:w="5702"/>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766" w:wrap="around" w:x="-113" w:y="1801"/>
              <w:shd w:fill="FFFFFF" w:val="clear"/>
            </w:pPr>
            <w:r>
              <w:rPr>
                <w:rFonts w:ascii="Arial" w:cs="Arial" w:hAnsi="Arial"/>
                <w:sz w:val="18"/>
                <w:shd w:fill="FFFFFF" w:val="clear"/>
              </w:rPr>
              <w:t>La visión de la institución constituye un elemento para mejorar las estrategias en cuanto a desincorporación de los Bienes Nacionales en estado de Obsolescencia, deterioro y corrosión</w:t>
            </w:r>
            <w:r>
              <w:rPr>
                <w:rFonts w:ascii="Arial" w:cs="Arial" w:hAnsi="Arial"/>
                <w:sz w:val="18"/>
              </w:rPr>
              <w:t>.</w:t>
            </w:r>
          </w:p>
        </w:tc>
        <w:tc>
          <w:tcPr>
            <w:tcW w:type="dxa" w:w="514"/>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766" w:wrap="around" w:x="-113" w:y="1801"/>
              <w:shd w:fill="FFFFFF" w:val="clear"/>
            </w:pPr>
            <w:r>
              <w:rPr>
                <w:rFonts w:ascii="Arial" w:cs="Arial" w:hAnsi="Arial"/>
              </w:rPr>
            </w:r>
          </w:p>
        </w:tc>
        <w:tc>
          <w:tcPr>
            <w:tcW w:type="dxa" w:w="514"/>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766" w:wrap="around" w:x="-113" w:y="1801"/>
              <w:shd w:fill="FFFFFF" w:val="clear"/>
            </w:pPr>
            <w:r>
              <w:rPr>
                <w:rFonts w:ascii="Arial" w:cs="Arial" w:hAnsi="Arial"/>
              </w:rPr>
            </w:r>
          </w:p>
        </w:tc>
        <w:tc>
          <w:tcPr>
            <w:tcW w:type="dxa" w:w="514"/>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766" w:wrap="around" w:x="-113" w:y="1801"/>
              <w:shd w:fill="FFFFFF" w:val="clear"/>
            </w:pPr>
            <w:r>
              <w:rPr>
                <w:rFonts w:ascii="Arial" w:cs="Arial" w:hAnsi="Arial"/>
              </w:rPr>
            </w:r>
          </w:p>
        </w:tc>
        <w:tc>
          <w:tcPr>
            <w:tcW w:type="dxa" w:w="514"/>
            <w:tcBorders>
              <w:top w:color="000000" w:space="0" w:sz="4" w:val="single"/>
              <w:left w:color="000000" w:space="0" w:sz="4" w:val="single"/>
              <w:bottom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766" w:wrap="around" w:x="-113" w:y="1801"/>
              <w:shd w:fill="FFFFFF" w:val="clear"/>
            </w:pPr>
            <w:r>
              <w:rPr>
                <w:rFonts w:ascii="Arial" w:cs="Arial" w:hAnsi="Arial"/>
              </w:rPr>
            </w:r>
          </w:p>
        </w:tc>
        <w:tc>
          <w:tcPr>
            <w:tcW w:type="dxa" w:w="524"/>
            <w:tcBorders>
              <w:top w:color="000000" w:space="0" w:sz="4" w:val="single"/>
              <w:left w:color="000000" w:space="0" w:sz="4" w:val="single"/>
              <w:bottom w:color="000000" w:space="0" w:sz="4" w:val="single"/>
              <w:right w:color="000000" w:space="0" w:sz="4" w:val="single"/>
            </w:tcBorders>
            <w:shd w:fill="auto" w:val="clear"/>
            <w:tcMar>
              <w:top w:type="dxa" w:w="0"/>
              <w:left w:type="dxa" w:w="108"/>
              <w:bottom w:type="dxa" w:w="0"/>
              <w:right w:type="dxa" w:w="108"/>
            </w:tcMar>
          </w:tcPr>
          <w:p>
            <w:pPr>
              <w:pStyle w:val="style0"/>
              <w:framePr w:h="210" w:hAnchor="page" w:hRule="atLeast" w:hSpace="70" w:vAnchor="page" w:vSpace="100" w:w="8766" w:wrap="around" w:x="-113" w:y="1801"/>
              <w:shd w:fill="FFFFFF" w:val="clear"/>
            </w:pPr>
            <w:r>
              <w:rPr>
                <w:rFonts w:ascii="Arial" w:cs="Arial" w:hAnsi="Arial"/>
              </w:rPr>
            </w:r>
          </w:p>
        </w:tc>
      </w:tr>
    </w:tbl>
    <w:p>
      <w:pPr>
        <w:pStyle w:val="style0"/>
        <w:jc w:val="both"/>
      </w:pPr>
      <w:r>
        <w:rPr>
          <w:rFonts w:ascii="Arial" w:cs="Arial" w:hAnsi="Arial"/>
        </w:rPr>
      </w:r>
    </w:p>
    <w:p>
      <w:pPr>
        <w:pStyle w:val="style0"/>
        <w:shd w:fill="FFFFFF" w:val="clear"/>
        <w:spacing w:after="180" w:before="180"/>
        <w:jc w:val="center"/>
      </w:pPr>
      <w:r>
        <w:rPr>
          <w:rFonts w:ascii="Arial" w:cs="Arial" w:hAnsi="Arial"/>
          <w:b/>
          <w:sz w:val="24"/>
          <w:szCs w:val="24"/>
        </w:rPr>
      </w:r>
    </w:p>
    <w:p>
      <w:pPr>
        <w:pStyle w:val="style0"/>
        <w:shd w:fill="FFFFFF" w:val="clear"/>
        <w:spacing w:after="180" w:before="180"/>
        <w:jc w:val="center"/>
      </w:pPr>
      <w:r>
        <w:rPr>
          <w:rFonts w:ascii="Arial" w:cs="Arial" w:hAnsi="Arial"/>
          <w:b/>
          <w:sz w:val="24"/>
          <w:szCs w:val="24"/>
        </w:rPr>
      </w:r>
    </w:p>
    <w:p>
      <w:pPr>
        <w:pStyle w:val="style0"/>
        <w:shd w:fill="FFFFFF" w:val="clear"/>
        <w:spacing w:after="180" w:before="180"/>
        <w:jc w:val="center"/>
      </w:pPr>
      <w:r>
        <w:rPr>
          <w:rFonts w:ascii="Arial" w:cs="Arial" w:hAnsi="Arial"/>
          <w:b/>
          <w:sz w:val="24"/>
          <w:szCs w:val="24"/>
        </w:rPr>
      </w:r>
    </w:p>
    <w:p>
      <w:pPr>
        <w:pStyle w:val="style0"/>
        <w:shd w:fill="FFFFFF" w:val="clear"/>
        <w:spacing w:after="180" w:before="180"/>
        <w:jc w:val="center"/>
      </w:pPr>
      <w:r>
        <w:rPr>
          <w:rFonts w:ascii="Arial" w:cs="Arial" w:hAnsi="Arial"/>
          <w:b/>
          <w:sz w:val="24"/>
          <w:szCs w:val="24"/>
        </w:rPr>
      </w:r>
    </w:p>
    <w:p>
      <w:pPr>
        <w:pStyle w:val="style0"/>
        <w:shd w:fill="FFFFFF" w:val="clear"/>
        <w:spacing w:after="180" w:before="180"/>
        <w:jc w:val="center"/>
      </w:pPr>
      <w:r>
        <w:rPr>
          <w:rFonts w:ascii="Arial" w:cs="Arial" w:hAnsi="Arial"/>
          <w:b/>
          <w:sz w:val="24"/>
          <w:szCs w:val="24"/>
        </w:rPr>
      </w:r>
    </w:p>
    <w:p>
      <w:pPr>
        <w:pStyle w:val="style0"/>
        <w:shd w:fill="FFFFFF" w:val="clear"/>
        <w:spacing w:after="180" w:before="180"/>
        <w:jc w:val="center"/>
      </w:pPr>
      <w:r>
        <w:rPr>
          <w:rFonts w:ascii="Arial" w:cs="Arial" w:hAnsi="Arial"/>
          <w:b/>
          <w:sz w:val="24"/>
          <w:szCs w:val="24"/>
        </w:rPr>
      </w:r>
    </w:p>
    <w:p>
      <w:pPr>
        <w:pStyle w:val="style0"/>
        <w:shd w:fill="FFFFFF" w:val="clear"/>
        <w:spacing w:after="180" w:before="180"/>
        <w:jc w:val="center"/>
      </w:pPr>
      <w:r>
        <w:rPr>
          <w:rFonts w:ascii="Arial" w:cs="Arial" w:hAnsi="Arial"/>
          <w:b/>
          <w:sz w:val="24"/>
          <w:szCs w:val="24"/>
        </w:rPr>
      </w:r>
    </w:p>
    <w:p>
      <w:pPr>
        <w:pStyle w:val="style0"/>
        <w:shd w:fill="FFFFFF" w:val="clear"/>
        <w:spacing w:after="180" w:before="180"/>
        <w:jc w:val="center"/>
      </w:pPr>
      <w:r>
        <w:rPr>
          <w:rFonts w:ascii="Arial" w:cs="Arial" w:hAnsi="Arial"/>
          <w:b/>
          <w:sz w:val="24"/>
          <w:szCs w:val="24"/>
        </w:rPr>
      </w:r>
    </w:p>
    <w:p>
      <w:pPr>
        <w:pStyle w:val="style0"/>
        <w:shd w:fill="FFFFFF" w:val="clear"/>
        <w:spacing w:after="180" w:before="180"/>
        <w:jc w:val="center"/>
      </w:pPr>
      <w:r>
        <w:rPr>
          <w:rFonts w:ascii="Arial" w:cs="Arial" w:hAnsi="Arial"/>
          <w:b/>
          <w:sz w:val="24"/>
          <w:szCs w:val="24"/>
        </w:rPr>
        <w:t>ANEXO B</w:t>
      </w:r>
    </w:p>
    <w:p>
      <w:pPr>
        <w:pStyle w:val="style0"/>
        <w:shd w:fill="FFFFFF" w:val="clear"/>
        <w:spacing w:after="180" w:before="180"/>
        <w:jc w:val="center"/>
      </w:pPr>
      <w:r>
        <w:rPr>
          <w:rFonts w:ascii="Arial" w:cs="Arial" w:hAnsi="Arial"/>
          <w:b/>
          <w:sz w:val="24"/>
          <w:szCs w:val="24"/>
        </w:rPr>
        <w:t>VALIDACION DE LOS INTRUMENTOS DE RECOLECCIÒN DE INFORMACIÒN</w:t>
      </w:r>
    </w:p>
    <w:p>
      <w:pPr>
        <w:pStyle w:val="style0"/>
        <w:shd w:fill="FFFFFF" w:val="clear"/>
        <w:spacing w:after="180" w:before="180"/>
        <w:jc w:val="center"/>
      </w:pPr>
      <w:r>
        <w:rPr>
          <w:rFonts w:ascii="Arial" w:cs="Arial" w:hAnsi="Arial"/>
          <w:b/>
          <w:sz w:val="24"/>
          <w:szCs w:val="24"/>
        </w:rPr>
      </w:r>
    </w:p>
    <w:p>
      <w:pPr>
        <w:pStyle w:val="style0"/>
        <w:pageBreakBefore/>
        <w:jc w:val="center"/>
      </w:pPr>
      <w:r>
        <w:rPr>
          <w:rFonts w:ascii="Arial" w:cs="Arial" w:hAnsi="Arial"/>
          <w:b/>
        </w:rPr>
        <w:t>FORMATO PARA REVISION Y VALIDACION DEL INSTRUMENTO</w:t>
      </w:r>
    </w:p>
    <w:p>
      <w:pPr>
        <w:pStyle w:val="style0"/>
        <w:jc w:val="center"/>
      </w:pPr>
      <w:r>
        <w:rPr>
          <w:rFonts w:ascii="Arial" w:cs="Arial" w:hAnsi="Arial"/>
          <w:b/>
        </w:rPr>
      </w:r>
    </w:p>
    <w:p>
      <w:pPr>
        <w:pStyle w:val="style0"/>
        <w:spacing w:line="480" w:lineRule="auto"/>
        <w:jc w:val="both"/>
      </w:pPr>
      <w:r>
        <w:rPr>
          <w:rFonts w:ascii="Arial" w:cs="Arial" w:hAnsi="Arial"/>
          <w:b/>
        </w:rPr>
        <w:t>Nombre y Apellidos: ________________________________________________</w:t>
      </w:r>
    </w:p>
    <w:p>
      <w:pPr>
        <w:pStyle w:val="style0"/>
        <w:spacing w:line="480" w:lineRule="auto"/>
        <w:jc w:val="both"/>
      </w:pPr>
      <w:r>
        <w:rPr>
          <w:rFonts w:ascii="Arial" w:cs="Arial" w:hAnsi="Arial"/>
          <w:b/>
        </w:rPr>
        <w:t>Títulos: ___________________________________________________________</w:t>
      </w:r>
    </w:p>
    <w:p>
      <w:pPr>
        <w:pStyle w:val="style0"/>
        <w:spacing w:line="480" w:lineRule="auto"/>
        <w:jc w:val="both"/>
      </w:pPr>
      <w:r>
        <w:rPr>
          <w:rFonts w:ascii="Arial" w:cs="Arial" w:hAnsi="Arial"/>
          <w:b/>
        </w:rPr>
        <w:t>Cargo Desempeñado: _______________________________________________</w:t>
      </w:r>
    </w:p>
    <w:p>
      <w:pPr>
        <w:pStyle w:val="style0"/>
        <w:spacing w:line="360" w:lineRule="auto"/>
        <w:jc w:val="both"/>
      </w:pPr>
      <w:r>
        <w:rPr>
          <w:rFonts w:ascii="Arial" w:cs="Arial" w:hAnsi="Arial"/>
          <w:b/>
          <w:sz w:val="24"/>
          <w:szCs w:val="24"/>
        </w:rPr>
        <w:t>Instrucciones:</w:t>
      </w:r>
    </w:p>
    <w:p>
      <w:pPr>
        <w:pStyle w:val="style0"/>
        <w:numPr>
          <w:ilvl w:val="0"/>
          <w:numId w:val="31"/>
        </w:numPr>
        <w:spacing w:after="0" w:before="0" w:line="480" w:lineRule="auto"/>
        <w:ind w:hanging="357" w:left="714" w:right="0"/>
        <w:jc w:val="both"/>
      </w:pPr>
      <w:r>
        <w:rPr>
          <w:rFonts w:ascii="Arial" w:cs="Arial" w:eastAsia="Arial" w:hAnsi="Arial"/>
          <w:b/>
          <w:sz w:val="24"/>
          <w:szCs w:val="24"/>
        </w:rPr>
        <w:t xml:space="preserve"> </w:t>
      </w:r>
      <w:r>
        <w:rPr>
          <w:rFonts w:ascii="Arial" w:cs="Arial" w:hAnsi="Arial"/>
          <w:sz w:val="24"/>
          <w:szCs w:val="24"/>
        </w:rPr>
        <w:t>Use este formato para expresar su opinión en cuanto a la presentación de cada ítem, escribiendo una equis (x) en el espacio que corresponda, según la escala dada.</w:t>
      </w:r>
    </w:p>
    <w:p>
      <w:pPr>
        <w:pStyle w:val="style0"/>
        <w:numPr>
          <w:ilvl w:val="0"/>
          <w:numId w:val="31"/>
        </w:numPr>
        <w:spacing w:after="0" w:before="0" w:line="480" w:lineRule="auto"/>
        <w:ind w:hanging="357" w:left="714" w:right="0"/>
        <w:jc w:val="both"/>
      </w:pPr>
      <w:r>
        <w:rPr>
          <w:rFonts w:ascii="Arial" w:cs="Arial" w:hAnsi="Arial"/>
          <w:sz w:val="24"/>
          <w:szCs w:val="24"/>
        </w:rPr>
        <w:t>Si tuviera alguna sugerencia para mejorar el ítem dado, puede escribirla en el espacio correspondiente a observaciones.</w:t>
      </w:r>
    </w:p>
    <w:p>
      <w:pPr>
        <w:pStyle w:val="style0"/>
        <w:numPr>
          <w:ilvl w:val="0"/>
          <w:numId w:val="31"/>
        </w:numPr>
        <w:spacing w:after="0" w:before="0" w:line="480" w:lineRule="auto"/>
        <w:ind w:hanging="357" w:left="714" w:right="0"/>
        <w:jc w:val="both"/>
      </w:pPr>
      <w:r>
        <w:rPr>
          <w:rFonts w:ascii="Arial" w:cs="Arial" w:hAnsi="Arial"/>
          <w:sz w:val="24"/>
          <w:szCs w:val="24"/>
        </w:rPr>
        <w:t>En caso de sugerencias no especificadas  para los ítems correspondientes, puede escribirla en el espacio correspondiente a observaciones generales.</w:t>
      </w:r>
    </w:p>
    <w:p>
      <w:pPr>
        <w:pStyle w:val="style0"/>
        <w:pageBreakBefore/>
        <w:spacing w:after="0" w:before="0" w:line="480" w:lineRule="auto"/>
        <w:ind w:hanging="0" w:left="714" w:right="0"/>
        <w:jc w:val="both"/>
      </w:pPr>
      <w:r>
        <w:rPr>
          <w:rFonts w:ascii="Arial" w:cs="Arial" w:hAnsi="Arial"/>
        </w:rPr>
        <w:drawing>
          <wp:inline distB="0" distL="0" distR="0" distT="0">
            <wp:extent cx="5250815" cy="6796405"/>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74"/>
                    <a:srcRect/>
                    <a:stretch>
                      <a:fillRect/>
                    </a:stretch>
                  </pic:blipFill>
                  <pic:spPr bwMode="auto">
                    <a:xfrm>
                      <a:off x="0" y="0"/>
                      <a:ext cx="5250815" cy="6796405"/>
                    </a:xfrm>
                    <a:prstGeom prst="rect">
                      <a:avLst/>
                    </a:prstGeom>
                    <a:noFill/>
                    <a:ln w="9525">
                      <a:noFill/>
                      <a:miter lim="800000"/>
                      <a:headEnd/>
                      <a:tailEnd/>
                    </a:ln>
                  </pic:spPr>
                </pic:pic>
              </a:graphicData>
            </a:graphic>
          </wp:inline>
        </w:drawing>
      </w:r>
    </w:p>
    <w:p>
      <w:pPr>
        <w:pStyle w:val="style0"/>
        <w:pageBreakBefore/>
        <w:spacing w:after="0" w:before="0" w:line="480" w:lineRule="auto"/>
        <w:ind w:hanging="0" w:left="714" w:right="0"/>
        <w:jc w:val="both"/>
      </w:pPr>
      <w:r>
        <w:rPr>
          <w:rFonts w:ascii="Arial" w:cs="Arial" w:hAnsi="Arial"/>
        </w:rPr>
        <w:drawing>
          <wp:inline distB="0" distL="0" distR="0" distT="0">
            <wp:extent cx="5250815" cy="6796405"/>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75"/>
                    <a:srcRect/>
                    <a:stretch>
                      <a:fillRect/>
                    </a:stretch>
                  </pic:blipFill>
                  <pic:spPr bwMode="auto">
                    <a:xfrm>
                      <a:off x="0" y="0"/>
                      <a:ext cx="5250815" cy="6796405"/>
                    </a:xfrm>
                    <a:prstGeom prst="rect">
                      <a:avLst/>
                    </a:prstGeom>
                    <a:noFill/>
                    <a:ln w="9525">
                      <a:noFill/>
                      <a:miter lim="800000"/>
                      <a:headEnd/>
                      <a:tailEnd/>
                    </a:ln>
                  </pic:spPr>
                </pic:pic>
              </a:graphicData>
            </a:graphic>
          </wp:inline>
        </w:drawing>
      </w:r>
    </w:p>
    <w:p>
      <w:pPr>
        <w:pStyle w:val="style0"/>
        <w:pageBreakBefore/>
        <w:spacing w:after="0" w:before="0" w:line="480" w:lineRule="auto"/>
        <w:ind w:hanging="0" w:left="714" w:right="0"/>
        <w:jc w:val="both"/>
      </w:pPr>
      <w:r>
        <w:rPr>
          <w:rFonts w:ascii="Arial" w:cs="Arial" w:hAnsi="Arial"/>
        </w:rPr>
        <w:drawing>
          <wp:inline distB="0" distL="0" distR="0" distT="0">
            <wp:extent cx="5250815" cy="6796405"/>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76"/>
                    <a:srcRect/>
                    <a:stretch>
                      <a:fillRect/>
                    </a:stretch>
                  </pic:blipFill>
                  <pic:spPr bwMode="auto">
                    <a:xfrm>
                      <a:off x="0" y="0"/>
                      <a:ext cx="5250815" cy="6796405"/>
                    </a:xfrm>
                    <a:prstGeom prst="rect">
                      <a:avLst/>
                    </a:prstGeom>
                    <a:noFill/>
                    <a:ln w="9525">
                      <a:noFill/>
                      <a:miter lim="800000"/>
                      <a:headEnd/>
                      <a:tailEnd/>
                    </a:ln>
                  </pic:spPr>
                </pic:pic>
              </a:graphicData>
            </a:graphic>
          </wp:inline>
        </w:drawing>
      </w:r>
    </w:p>
    <w:p>
      <w:pPr>
        <w:pStyle w:val="style0"/>
        <w:pageBreakBefore/>
        <w:spacing w:after="0" w:before="0" w:line="480" w:lineRule="auto"/>
        <w:ind w:hanging="0" w:left="714" w:right="0"/>
        <w:jc w:val="both"/>
      </w:pPr>
      <w:r>
        <w:rPr>
          <w:rFonts w:ascii="Arial" w:cs="Arial" w:hAnsi="Arial"/>
          <w:color w:val="000000"/>
          <w:sz w:val="24"/>
          <w:szCs w:val="24"/>
          <w:lang w:val="es-VE"/>
        </w:rPr>
      </w:r>
    </w:p>
    <w:p>
      <w:pPr>
        <w:pStyle w:val="style0"/>
        <w:shd w:fill="FFFFFF" w:val="clear"/>
        <w:spacing w:after="180" w:before="180"/>
        <w:jc w:val="center"/>
      </w:pPr>
      <w:r>
        <w:rPr>
          <w:rFonts w:ascii="Arial" w:cs="Arial" w:hAnsi="Arial"/>
          <w:b/>
          <w:sz w:val="24"/>
          <w:szCs w:val="24"/>
          <w:lang w:val="es-VE"/>
        </w:rPr>
      </w:r>
    </w:p>
    <w:p>
      <w:pPr>
        <w:pStyle w:val="style0"/>
        <w:shd w:fill="FFFFFF" w:val="clear"/>
        <w:spacing w:after="180" w:before="180"/>
        <w:jc w:val="center"/>
      </w:pPr>
      <w:r>
        <w:rPr>
          <w:rFonts w:ascii="Arial" w:cs="Arial" w:hAnsi="Arial"/>
          <w:b/>
          <w:sz w:val="24"/>
          <w:szCs w:val="24"/>
        </w:rPr>
      </w:r>
    </w:p>
    <w:p>
      <w:pPr>
        <w:pStyle w:val="style0"/>
        <w:shd w:fill="FFFFFF" w:val="clear"/>
        <w:spacing w:after="180" w:before="180"/>
        <w:jc w:val="center"/>
      </w:pPr>
      <w:r>
        <w:rPr>
          <w:rFonts w:ascii="Arial" w:cs="Arial" w:hAnsi="Arial"/>
          <w:b/>
          <w:sz w:val="24"/>
          <w:szCs w:val="24"/>
        </w:rPr>
      </w:r>
    </w:p>
    <w:p>
      <w:pPr>
        <w:pStyle w:val="style0"/>
        <w:shd w:fill="FFFFFF" w:val="clear"/>
        <w:spacing w:after="180" w:before="180"/>
        <w:jc w:val="center"/>
      </w:pPr>
      <w:r>
        <w:rPr>
          <w:rFonts w:ascii="Arial" w:cs="Arial" w:hAnsi="Arial"/>
          <w:b/>
          <w:sz w:val="24"/>
          <w:szCs w:val="24"/>
        </w:rPr>
      </w:r>
    </w:p>
    <w:p>
      <w:pPr>
        <w:pStyle w:val="style0"/>
        <w:shd w:fill="FFFFFF" w:val="clear"/>
        <w:spacing w:after="180" w:before="180"/>
        <w:jc w:val="center"/>
      </w:pPr>
      <w:r>
        <w:rPr>
          <w:rFonts w:ascii="Arial" w:cs="Arial" w:hAnsi="Arial"/>
          <w:b/>
          <w:sz w:val="24"/>
          <w:szCs w:val="24"/>
        </w:rPr>
      </w:r>
    </w:p>
    <w:p>
      <w:pPr>
        <w:pStyle w:val="style0"/>
        <w:shd w:fill="FFFFFF" w:val="clear"/>
        <w:spacing w:after="180" w:before="180"/>
        <w:jc w:val="center"/>
      </w:pPr>
      <w:r>
        <w:rPr>
          <w:rFonts w:ascii="Arial" w:cs="Arial" w:hAnsi="Arial"/>
          <w:b/>
          <w:sz w:val="24"/>
          <w:szCs w:val="24"/>
        </w:rPr>
      </w:r>
    </w:p>
    <w:p>
      <w:pPr>
        <w:pStyle w:val="style0"/>
        <w:shd w:fill="FFFFFF" w:val="clear"/>
        <w:spacing w:after="180" w:before="180"/>
        <w:jc w:val="center"/>
      </w:pPr>
      <w:r>
        <w:rPr>
          <w:rFonts w:ascii="Arial" w:cs="Arial" w:hAnsi="Arial"/>
          <w:b/>
          <w:sz w:val="24"/>
          <w:szCs w:val="24"/>
        </w:rPr>
      </w:r>
    </w:p>
    <w:p>
      <w:pPr>
        <w:pStyle w:val="style0"/>
        <w:shd w:fill="FFFFFF" w:val="clear"/>
        <w:spacing w:after="180" w:before="180"/>
        <w:jc w:val="center"/>
      </w:pPr>
      <w:r>
        <w:rPr>
          <w:rFonts w:ascii="Arial" w:cs="Arial" w:hAnsi="Arial"/>
          <w:b/>
          <w:sz w:val="24"/>
          <w:szCs w:val="24"/>
        </w:rPr>
        <w:t>ANEXO C</w:t>
      </w:r>
    </w:p>
    <w:p>
      <w:pPr>
        <w:pStyle w:val="style0"/>
        <w:spacing w:after="0" w:before="0" w:line="240" w:lineRule="auto"/>
        <w:jc w:val="center"/>
      </w:pPr>
      <w:r>
        <w:rPr>
          <w:rFonts w:ascii="Arial" w:cs="Arial" w:eastAsia="Times New Roman" w:hAnsi="Arial"/>
          <w:b/>
          <w:bCs/>
          <w:sz w:val="24"/>
          <w:szCs w:val="24"/>
          <w:lang w:eastAsia="es-ES"/>
        </w:rPr>
        <w:t>COEFICIENTE ALFA CRONBACH</w:t>
      </w:r>
    </w:p>
    <w:p>
      <w:pPr>
        <w:pStyle w:val="style0"/>
        <w:shd w:fill="FFFFFF" w:val="clear"/>
        <w:spacing w:after="180" w:before="180"/>
        <w:jc w:val="center"/>
      </w:pPr>
      <w:r>
        <w:rPr>
          <w:rFonts w:ascii="Arial" w:cs="Arial" w:hAnsi="Arial"/>
          <w:b/>
          <w:sz w:val="24"/>
          <w:szCs w:val="24"/>
        </w:rPr>
      </w:r>
    </w:p>
    <w:p>
      <w:pPr>
        <w:sectPr>
          <w:headerReference r:id="rId78" w:type="default"/>
          <w:footerReference r:id="rId79" w:type="default"/>
          <w:type w:val="nextPage"/>
          <w:pgSz w:h="12240" w:orient="landscape" w:w="15840"/>
          <w:pgMar w:bottom="1701" w:footer="709" w:gutter="0" w:header="709" w:left="2268" w:right="1701" w:top="2268"/>
          <w:pgNumType w:fmt="decimal"/>
          <w:formProt w:val="false"/>
          <w:textDirection w:val="lrTb"/>
          <w:docGrid w:charSpace="0" w:linePitch="360" w:type="default"/>
        </w:sectPr>
        <w:pStyle w:val="style0"/>
        <w:pageBreakBefore/>
        <w:shd w:fill="FFFFFF" w:val="clear"/>
        <w:spacing w:after="180" w:before="180"/>
        <w:jc w:val="center"/>
      </w:pPr>
      <w:r>
        <w:rPr>
          <w:rFonts w:ascii="Arial" w:cs="Arial" w:hAnsi="Arial"/>
          <w:b/>
          <w:sz w:val="24"/>
          <w:szCs w:val="24"/>
        </w:rPr>
        <w:drawing>
          <wp:inline distB="0" distL="0" distR="0" distT="0">
            <wp:extent cx="5250815" cy="6796405"/>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77"/>
                    <a:srcRect/>
                    <a:stretch>
                      <a:fillRect/>
                    </a:stretch>
                  </pic:blipFill>
                  <pic:spPr bwMode="auto">
                    <a:xfrm>
                      <a:off x="0" y="0"/>
                      <a:ext cx="5250815" cy="6796405"/>
                    </a:xfrm>
                    <a:prstGeom prst="rect">
                      <a:avLst/>
                    </a:prstGeom>
                    <a:noFill/>
                    <a:ln w="9525">
                      <a:noFill/>
                      <a:miter lim="800000"/>
                      <a:headEnd/>
                      <a:tailEnd/>
                    </a:ln>
                  </pic:spPr>
                </pic:pic>
              </a:graphicData>
            </a:graphic>
          </wp:inline>
        </w:drawing>
      </w:r>
    </w:p>
    <w:p>
      <w:pPr>
        <w:pStyle w:val="style0"/>
        <w:shd w:fill="FFFFFF" w:val="clear"/>
        <w:spacing w:after="180" w:before="180"/>
        <w:jc w:val="center"/>
      </w:pPr>
      <w:r>
        <w:rPr>
          <w:rFonts w:ascii="Arial" w:cs="Arial" w:hAnsi="Arial"/>
          <w:b/>
          <w:sz w:val="24"/>
          <w:szCs w:val="24"/>
        </w:rPr>
      </w:r>
    </w:p>
    <w:p>
      <w:pPr>
        <w:pStyle w:val="style0"/>
        <w:shd w:fill="FFFFFF" w:val="clear"/>
        <w:spacing w:after="180" w:before="180"/>
        <w:jc w:val="center"/>
      </w:pPr>
      <w:r>
        <w:rPr>
          <w:rFonts w:ascii="Arial" w:cs="Arial" w:hAnsi="Arial"/>
          <w:b/>
          <w:sz w:val="24"/>
          <w:szCs w:val="24"/>
        </w:rPr>
      </w:r>
    </w:p>
    <w:p>
      <w:pPr>
        <w:pStyle w:val="style0"/>
        <w:shd w:fill="FFFFFF" w:val="clear"/>
        <w:spacing w:after="180" w:before="180"/>
        <w:jc w:val="center"/>
      </w:pPr>
      <w:r>
        <w:rPr>
          <w:rFonts w:ascii="Arial" w:cs="Arial" w:hAnsi="Arial"/>
          <w:b/>
          <w:sz w:val="24"/>
          <w:szCs w:val="24"/>
        </w:rPr>
      </w:r>
    </w:p>
    <w:p>
      <w:pPr>
        <w:pStyle w:val="style0"/>
        <w:shd w:fill="FFFFFF" w:val="clear"/>
        <w:spacing w:after="180" w:before="180"/>
        <w:jc w:val="center"/>
      </w:pPr>
      <w:r>
        <w:rPr>
          <w:rFonts w:ascii="Arial" w:cs="Arial" w:hAnsi="Arial"/>
          <w:b/>
          <w:sz w:val="24"/>
          <w:szCs w:val="24"/>
        </w:rPr>
      </w:r>
    </w:p>
    <w:p>
      <w:pPr>
        <w:pStyle w:val="style0"/>
        <w:shd w:fill="FFFFFF" w:val="clear"/>
        <w:spacing w:after="180" w:before="180"/>
        <w:jc w:val="center"/>
      </w:pPr>
      <w:r>
        <w:rPr>
          <w:rFonts w:ascii="Arial" w:cs="Arial" w:hAnsi="Arial"/>
          <w:b/>
          <w:sz w:val="24"/>
          <w:szCs w:val="24"/>
        </w:rPr>
      </w:r>
    </w:p>
    <w:p>
      <w:pPr>
        <w:pStyle w:val="style0"/>
        <w:shd w:fill="FFFFFF" w:val="clear"/>
        <w:spacing w:after="180" w:before="180"/>
        <w:jc w:val="center"/>
      </w:pPr>
      <w:r>
        <w:rPr>
          <w:rFonts w:ascii="Arial" w:cs="Arial" w:hAnsi="Arial"/>
          <w:b/>
          <w:sz w:val="24"/>
          <w:szCs w:val="24"/>
        </w:rPr>
      </w:r>
    </w:p>
    <w:p>
      <w:pPr>
        <w:pStyle w:val="style0"/>
        <w:shd w:fill="FFFFFF" w:val="clear"/>
        <w:spacing w:after="180" w:before="180"/>
        <w:jc w:val="center"/>
      </w:pPr>
      <w:r>
        <w:rPr>
          <w:rFonts w:ascii="Arial" w:cs="Arial" w:hAnsi="Arial"/>
          <w:b/>
          <w:sz w:val="24"/>
          <w:szCs w:val="24"/>
        </w:rPr>
      </w:r>
    </w:p>
    <w:p>
      <w:pPr>
        <w:pStyle w:val="style0"/>
        <w:shd w:fill="FFFFFF" w:val="clear"/>
        <w:spacing w:after="180" w:before="180"/>
        <w:jc w:val="center"/>
      </w:pPr>
      <w:r>
        <w:rPr>
          <w:rFonts w:ascii="Arial" w:cs="Arial" w:hAnsi="Arial"/>
          <w:b/>
          <w:sz w:val="24"/>
          <w:szCs w:val="24"/>
        </w:rPr>
      </w:r>
    </w:p>
    <w:p>
      <w:pPr>
        <w:pStyle w:val="style0"/>
        <w:shd w:fill="FFFFFF" w:val="clear"/>
        <w:spacing w:after="180" w:before="180"/>
        <w:jc w:val="center"/>
      </w:pPr>
      <w:r>
        <w:rPr>
          <w:rFonts w:ascii="Arial" w:cs="Arial" w:hAnsi="Arial"/>
          <w:b/>
          <w:sz w:val="24"/>
          <w:szCs w:val="24"/>
        </w:rPr>
      </w:r>
    </w:p>
    <w:p>
      <w:pPr>
        <w:pStyle w:val="style0"/>
        <w:shd w:fill="FFFFFF" w:val="clear"/>
        <w:spacing w:after="180" w:before="180"/>
        <w:jc w:val="center"/>
      </w:pPr>
      <w:r>
        <w:rPr>
          <w:rFonts w:ascii="Arial" w:cs="Arial" w:hAnsi="Arial"/>
          <w:b/>
          <w:sz w:val="24"/>
          <w:szCs w:val="24"/>
        </w:rPr>
        <w:t>ANEXO D</w:t>
      </w:r>
    </w:p>
    <w:p>
      <w:pPr>
        <w:pStyle w:val="style0"/>
        <w:spacing w:line="360" w:lineRule="auto"/>
        <w:jc w:val="center"/>
      </w:pPr>
      <w:r>
        <w:rPr>
          <w:rFonts w:ascii="Arial" w:cs="Arial" w:hAnsi="Arial"/>
          <w:b/>
          <w:sz w:val="24"/>
          <w:szCs w:val="24"/>
        </w:rPr>
        <w:t>CRONOGRAMA DE ACTIVIDADES</w:t>
      </w:r>
    </w:p>
    <w:p>
      <w:pPr>
        <w:pStyle w:val="style0"/>
        <w:pageBreakBefore/>
        <w:spacing w:line="360" w:lineRule="auto"/>
        <w:jc w:val="center"/>
      </w:pPr>
      <w:r>
        <w:rPr>
          <w:rFonts w:ascii="Arial" w:cs="Arial" w:hAnsi="Arial"/>
          <w:b/>
          <w:sz w:val="24"/>
          <w:szCs w:val="24"/>
        </w:rPr>
        <w:drawing>
          <wp:inline distB="0" distL="0" distR="0" distT="0">
            <wp:extent cx="5250815" cy="6796405"/>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80"/>
                    <a:srcRect/>
                    <a:stretch>
                      <a:fillRect/>
                    </a:stretch>
                  </pic:blipFill>
                  <pic:spPr bwMode="auto">
                    <a:xfrm>
                      <a:off x="0" y="0"/>
                      <a:ext cx="5250815" cy="6796405"/>
                    </a:xfrm>
                    <a:prstGeom prst="rect">
                      <a:avLst/>
                    </a:prstGeom>
                    <a:noFill/>
                    <a:ln w="9525">
                      <a:noFill/>
                      <a:miter lim="800000"/>
                      <a:headEnd/>
                      <a:tailEnd/>
                    </a:ln>
                  </pic:spPr>
                </pic:pic>
              </a:graphicData>
            </a:graphic>
          </wp:inline>
        </w:drawing>
      </w:r>
    </w:p>
    <w:p>
      <w:pPr>
        <w:pStyle w:val="style0"/>
        <w:pageBreakBefore/>
        <w:shd w:fill="FFFFFF" w:val="clear"/>
        <w:spacing w:after="180" w:before="180"/>
        <w:jc w:val="center"/>
      </w:pPr>
      <w:r>
        <w:rPr>
          <w:rFonts w:ascii="Arial" w:cs="Arial" w:hAnsi="Arial"/>
          <w:b/>
          <w:sz w:val="24"/>
          <w:szCs w:val="24"/>
        </w:rPr>
        <w:drawing>
          <wp:inline distB="0" distL="0" distR="0" distT="0">
            <wp:extent cx="5242560" cy="6657975"/>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81"/>
                    <a:srcRect/>
                    <a:stretch>
                      <a:fillRect/>
                    </a:stretch>
                  </pic:blipFill>
                  <pic:spPr bwMode="auto">
                    <a:xfrm>
                      <a:off x="0" y="0"/>
                      <a:ext cx="5242560" cy="6657975"/>
                    </a:xfrm>
                    <a:prstGeom prst="rect">
                      <a:avLst/>
                    </a:prstGeom>
                    <a:noFill/>
                    <a:ln w="9525">
                      <a:noFill/>
                      <a:miter lim="800000"/>
                      <a:headEnd/>
                      <a:tailEnd/>
                    </a:ln>
                  </pic:spPr>
                </pic:pic>
              </a:graphicData>
            </a:graphic>
          </wp:inline>
        </w:drawing>
      </w:r>
    </w:p>
    <w:p>
      <w:pPr>
        <w:pStyle w:val="style0"/>
        <w:pageBreakBefore/>
        <w:shd w:fill="FFFFFF" w:val="clear"/>
        <w:spacing w:after="180" w:before="180"/>
        <w:jc w:val="center"/>
      </w:pPr>
      <w:r>
        <w:rPr>
          <w:rFonts w:ascii="Arial" w:cs="Arial" w:hAnsi="Arial"/>
          <w:b/>
          <w:sz w:val="24"/>
          <w:szCs w:val="24"/>
        </w:rPr>
      </w:r>
    </w:p>
    <w:p>
      <w:pPr>
        <w:pStyle w:val="style0"/>
        <w:shd w:fill="FFFFFF" w:val="clear"/>
        <w:spacing w:after="180" w:before="180"/>
        <w:jc w:val="center"/>
      </w:pPr>
      <w:r>
        <w:rPr>
          <w:rFonts w:ascii="Arial" w:cs="Arial" w:hAnsi="Arial"/>
          <w:b/>
          <w:sz w:val="24"/>
          <w:szCs w:val="24"/>
        </w:rPr>
      </w:r>
    </w:p>
    <w:p>
      <w:pPr>
        <w:pStyle w:val="style0"/>
        <w:shd w:fill="FFFFFF" w:val="clear"/>
        <w:spacing w:after="180" w:before="180"/>
        <w:jc w:val="center"/>
      </w:pPr>
      <w:r>
        <w:rPr>
          <w:rFonts w:ascii="Arial" w:cs="Arial" w:hAnsi="Arial"/>
          <w:b/>
          <w:sz w:val="24"/>
          <w:szCs w:val="24"/>
        </w:rPr>
      </w:r>
    </w:p>
    <w:p>
      <w:pPr>
        <w:pStyle w:val="style0"/>
        <w:shd w:fill="FFFFFF" w:val="clear"/>
        <w:spacing w:after="180" w:before="180"/>
        <w:jc w:val="center"/>
      </w:pPr>
      <w:r>
        <w:rPr>
          <w:rFonts w:ascii="Arial" w:cs="Arial" w:hAnsi="Arial"/>
          <w:b/>
          <w:sz w:val="24"/>
          <w:szCs w:val="24"/>
        </w:rPr>
      </w:r>
    </w:p>
    <w:p>
      <w:pPr>
        <w:pStyle w:val="style0"/>
        <w:shd w:fill="FFFFFF" w:val="clear"/>
        <w:spacing w:after="180" w:before="180"/>
        <w:jc w:val="center"/>
      </w:pPr>
      <w:r>
        <w:rPr>
          <w:rFonts w:ascii="Arial" w:cs="Arial" w:hAnsi="Arial"/>
          <w:b/>
          <w:sz w:val="24"/>
          <w:szCs w:val="24"/>
        </w:rPr>
      </w:r>
    </w:p>
    <w:p>
      <w:pPr>
        <w:pStyle w:val="style0"/>
        <w:shd w:fill="FFFFFF" w:val="clear"/>
        <w:spacing w:after="180" w:before="180"/>
        <w:jc w:val="center"/>
      </w:pPr>
      <w:r>
        <w:rPr>
          <w:rFonts w:ascii="Arial" w:cs="Arial" w:hAnsi="Arial"/>
          <w:b/>
          <w:sz w:val="24"/>
          <w:szCs w:val="24"/>
        </w:rPr>
      </w:r>
    </w:p>
    <w:p>
      <w:pPr>
        <w:pStyle w:val="style0"/>
        <w:shd w:fill="FFFFFF" w:val="clear"/>
        <w:spacing w:after="180" w:before="180"/>
        <w:jc w:val="center"/>
      </w:pPr>
      <w:r>
        <w:rPr>
          <w:rFonts w:ascii="Arial" w:cs="Arial" w:hAnsi="Arial"/>
          <w:b/>
          <w:sz w:val="24"/>
          <w:szCs w:val="24"/>
        </w:rPr>
        <w:t>ANEXO E</w:t>
      </w:r>
    </w:p>
    <w:p>
      <w:pPr>
        <w:pStyle w:val="style0"/>
        <w:spacing w:line="360" w:lineRule="auto"/>
        <w:jc w:val="center"/>
      </w:pPr>
      <w:r>
        <w:rPr>
          <w:rFonts w:ascii="Arial" w:cs="Arial" w:hAnsi="Arial"/>
          <w:b/>
          <w:sz w:val="24"/>
          <w:szCs w:val="24"/>
        </w:rPr>
        <w:t>EVIDENCIAS FOTOGRAFICA</w:t>
      </w:r>
    </w:p>
    <w:p>
      <w:pPr>
        <w:pStyle w:val="style0"/>
        <w:pageBreakBefore/>
      </w:pPr>
      <w:r>
        <w:rPr>
          <w:rFonts w:ascii="Arial" w:cs="Arial" w:hAnsi="Arial"/>
          <w:bCs/>
          <w:sz w:val="24"/>
          <w:szCs w:val="24"/>
        </w:rPr>
      </w:r>
    </w:p>
    <w:p>
      <w:pPr>
        <w:pStyle w:val="style0"/>
        <w:jc w:val="center"/>
      </w:pPr>
      <w:r>
        <w:rPr>
          <w:rFonts w:ascii="Arial" w:cs="Arial" w:hAnsi="Arial"/>
          <w:sz w:val="24"/>
          <w:szCs w:val="24"/>
          <w:lang w:val="es-ES"/>
        </w:rPr>
        <w:t xml:space="preserve">TRACTOR Marca: </w:t>
      </w:r>
      <w:r>
        <w:rPr>
          <w:rFonts w:ascii="Arial" w:cs="Arial" w:hAnsi="Arial"/>
          <w:sz w:val="24"/>
          <w:szCs w:val="24"/>
          <w:u w:val="single"/>
          <w:lang w:val="es-ES"/>
        </w:rPr>
        <w:t xml:space="preserve">FORTSCHRIT </w:t>
      </w:r>
    </w:p>
    <w:p>
      <w:pPr>
        <w:pStyle w:val="style0"/>
        <w:jc w:val="center"/>
      </w:pPr>
      <w:r>
        <w:rPr>
          <w:rFonts w:ascii="Arial" w:cs="Arial" w:hAnsi="Arial"/>
          <w:sz w:val="24"/>
          <w:szCs w:val="24"/>
          <w:lang w:val="es-ES"/>
        </w:rPr>
        <w:t>Modelo: ZT5-300-C</w:t>
      </w:r>
    </w:p>
    <w:p>
      <w:pPr>
        <w:pStyle w:val="style0"/>
        <w:jc w:val="center"/>
      </w:pPr>
      <w:r>
        <w:rPr>
          <w:rFonts w:ascii="Arial" w:cs="Arial" w:hAnsi="Arial"/>
          <w:sz w:val="24"/>
          <w:szCs w:val="24"/>
          <w:lang w:eastAsia="es-VE" w:val="es-VE"/>
        </w:rPr>
        <w:pict>
          <v:rect id="shape_0" style="position:absolute;margin-left:-13.9pt;margin-top:0.9pt;width:454.25pt;height:350.35pt">
            <v:wrap v:type="none"/>
            <v:fill detectmouseclick="t"/>
            <v:stroke color="black" joinstyle="miter" weight="57240"/>
          </v:rect>
        </w:pict>
      </w:r>
    </w:p>
    <w:p>
      <w:pPr>
        <w:pStyle w:val="style0"/>
        <w:jc w:val="center"/>
      </w:pPr>
      <w:r>
        <w:rPr>
          <w:rFonts w:ascii="Arial" w:cs="Arial" w:hAnsi="Arial"/>
          <w:sz w:val="24"/>
          <w:szCs w:val="24"/>
          <w:lang w:eastAsia="es-VE" w:val="es-VE"/>
        </w:rPr>
        <w:drawing>
          <wp:inline distB="0" distL="0" distR="0" distT="0">
            <wp:extent cx="5401945" cy="3733165"/>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82"/>
                    <a:srcRect/>
                    <a:stretch>
                      <a:fillRect/>
                    </a:stretch>
                  </pic:blipFill>
                  <pic:spPr bwMode="auto">
                    <a:xfrm>
                      <a:off x="0" y="0"/>
                      <a:ext cx="5401945" cy="3733165"/>
                    </a:xfrm>
                    <a:prstGeom prst="rect">
                      <a:avLst/>
                    </a:prstGeom>
                    <a:noFill/>
                    <a:ln w="9525">
                      <a:noFill/>
                      <a:miter lim="800000"/>
                      <a:headEnd/>
                      <a:tailEnd/>
                    </a:ln>
                  </pic:spPr>
                </pic:pic>
              </a:graphicData>
            </a:graphic>
          </wp:inline>
        </w:drawing>
      </w:r>
    </w:p>
    <w:p>
      <w:pPr>
        <w:pStyle w:val="style0"/>
        <w:jc w:val="center"/>
      </w:pPr>
      <w:r>
        <w:rPr>
          <w:rFonts w:ascii="Arial" w:cs="Arial" w:hAnsi="Arial"/>
          <w:sz w:val="24"/>
          <w:szCs w:val="24"/>
        </w:rPr>
      </w:r>
    </w:p>
    <w:p>
      <w:pPr>
        <w:pStyle w:val="style0"/>
        <w:jc w:val="center"/>
      </w:pPr>
      <w:r>
        <w:rPr>
          <w:rFonts w:ascii="Arial" w:cs="Arial" w:hAnsi="Arial"/>
          <w:sz w:val="24"/>
          <w:szCs w:val="24"/>
        </w:rPr>
      </w:r>
    </w:p>
    <w:p>
      <w:pPr>
        <w:pStyle w:val="style0"/>
        <w:jc w:val="center"/>
      </w:pPr>
      <w:r>
        <w:rPr>
          <w:rFonts w:ascii="Arial" w:cs="Arial" w:hAnsi="Arial"/>
          <w:sz w:val="24"/>
          <w:szCs w:val="24"/>
        </w:rPr>
        <w:t>UAAPS “PALITO BLANCO”</w:t>
      </w:r>
    </w:p>
    <w:p>
      <w:pPr>
        <w:pStyle w:val="style0"/>
        <w:jc w:val="center"/>
      </w:pPr>
      <w:r>
        <w:rPr>
          <w:rFonts w:ascii="Arial" w:cs="Arial" w:hAnsi="Arial"/>
          <w:sz w:val="24"/>
          <w:szCs w:val="24"/>
        </w:rPr>
      </w:r>
    </w:p>
    <w:p>
      <w:pPr>
        <w:pStyle w:val="style0"/>
        <w:jc w:val="center"/>
      </w:pPr>
      <w:r>
        <w:rPr>
          <w:rFonts w:ascii="Arial" w:cs="Arial" w:hAnsi="Arial"/>
          <w:sz w:val="24"/>
          <w:szCs w:val="24"/>
        </w:rPr>
      </w:r>
    </w:p>
    <w:p>
      <w:pPr>
        <w:pStyle w:val="style0"/>
        <w:jc w:val="center"/>
      </w:pPr>
      <w:r>
        <w:rPr>
          <w:rFonts w:ascii="Arial" w:cs="Arial" w:hAnsi="Arial"/>
          <w:sz w:val="24"/>
          <w:szCs w:val="24"/>
        </w:rPr>
      </w:r>
    </w:p>
    <w:p>
      <w:pPr>
        <w:pStyle w:val="style0"/>
        <w:jc w:val="center"/>
      </w:pPr>
      <w:r>
        <w:rPr>
          <w:rFonts w:ascii="Arial" w:cs="Arial" w:hAnsi="Arial"/>
          <w:sz w:val="24"/>
          <w:szCs w:val="24"/>
        </w:rPr>
      </w:r>
    </w:p>
    <w:p>
      <w:pPr>
        <w:pStyle w:val="style0"/>
        <w:jc w:val="center"/>
      </w:pPr>
      <w:r>
        <w:rPr>
          <w:rFonts w:ascii="Arial" w:cs="Arial" w:hAnsi="Arial"/>
          <w:sz w:val="24"/>
          <w:szCs w:val="24"/>
          <w:lang w:val="es-ES"/>
        </w:rPr>
        <w:t xml:space="preserve">TRACTOR Marca: </w:t>
      </w:r>
      <w:r>
        <w:rPr>
          <w:rFonts w:ascii="Arial" w:cs="Arial" w:hAnsi="Arial"/>
          <w:sz w:val="24"/>
          <w:szCs w:val="24"/>
          <w:u w:val="single"/>
          <w:lang w:val="es-ES"/>
        </w:rPr>
        <w:t xml:space="preserve">FORTSCHRITT </w:t>
      </w:r>
    </w:p>
    <w:p>
      <w:pPr>
        <w:pStyle w:val="style0"/>
        <w:jc w:val="center"/>
      </w:pPr>
      <w:r>
        <w:rPr>
          <w:rFonts w:ascii="Arial" w:cs="Arial" w:hAnsi="Arial"/>
          <w:sz w:val="24"/>
          <w:szCs w:val="24"/>
          <w:lang w:val="es-ES"/>
        </w:rPr>
        <w:t>Modelo: ZT-300-C</w:t>
      </w:r>
    </w:p>
    <w:p>
      <w:pPr>
        <w:pStyle w:val="style0"/>
        <w:jc w:val="center"/>
      </w:pPr>
      <w:r>
        <w:rPr>
          <w:rFonts w:ascii="Arial" w:cs="Arial" w:hAnsi="Arial"/>
          <w:sz w:val="24"/>
          <w:szCs w:val="24"/>
          <w:lang w:eastAsia="es-VE" w:val="es-VE"/>
        </w:rPr>
        <w:pict>
          <v:rect id="shape_0" style="position:absolute;margin-left:-1.9pt;margin-top:14.65pt;width:458.5pt;height:297.5pt">
            <v:wrap v:type="none"/>
            <v:fill detectmouseclick="t"/>
            <v:stroke color="black" joinstyle="miter" weight="57240"/>
          </v:rect>
        </w:pict>
      </w:r>
    </w:p>
    <w:p>
      <w:pPr>
        <w:pStyle w:val="style0"/>
        <w:ind w:firstLine="284" w:left="0" w:right="0"/>
      </w:pPr>
      <w:r>
        <w:rPr>
          <w:rFonts w:ascii="Arial" w:cs="Arial" w:hAnsi="Arial"/>
          <w:sz w:val="24"/>
          <w:szCs w:val="24"/>
          <w:lang w:eastAsia="es-VE" w:val="es-VE"/>
        </w:rPr>
        <w:drawing>
          <wp:inline distB="0" distL="0" distR="0" distT="0">
            <wp:extent cx="5396865" cy="3364865"/>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83"/>
                    <a:srcRect/>
                    <a:stretch>
                      <a:fillRect/>
                    </a:stretch>
                  </pic:blipFill>
                  <pic:spPr bwMode="auto">
                    <a:xfrm>
                      <a:off x="0" y="0"/>
                      <a:ext cx="5396865" cy="3364865"/>
                    </a:xfrm>
                    <a:prstGeom prst="rect">
                      <a:avLst/>
                    </a:prstGeom>
                    <a:noFill/>
                    <a:ln w="9525">
                      <a:noFill/>
                      <a:miter lim="800000"/>
                      <a:headEnd/>
                      <a:tailEnd/>
                    </a:ln>
                  </pic:spPr>
                </pic:pic>
              </a:graphicData>
            </a:graphic>
          </wp:inline>
        </w:drawing>
      </w:r>
    </w:p>
    <w:p>
      <w:pPr>
        <w:pStyle w:val="style0"/>
        <w:jc w:val="center"/>
      </w:pPr>
      <w:r>
        <w:rPr>
          <w:rFonts w:ascii="Arial" w:cs="Arial" w:hAnsi="Arial"/>
          <w:sz w:val="24"/>
          <w:szCs w:val="24"/>
        </w:rPr>
      </w:r>
    </w:p>
    <w:p>
      <w:pPr>
        <w:pStyle w:val="style0"/>
        <w:jc w:val="center"/>
      </w:pPr>
      <w:r>
        <w:rPr>
          <w:rFonts w:ascii="Arial" w:cs="Arial" w:hAnsi="Arial"/>
          <w:sz w:val="24"/>
          <w:szCs w:val="24"/>
        </w:rPr>
      </w:r>
    </w:p>
    <w:p>
      <w:pPr>
        <w:pStyle w:val="style0"/>
        <w:jc w:val="center"/>
      </w:pPr>
      <w:r>
        <w:rPr>
          <w:rFonts w:ascii="Arial" w:cs="Arial" w:hAnsi="Arial"/>
          <w:sz w:val="24"/>
          <w:szCs w:val="24"/>
        </w:rPr>
      </w:r>
    </w:p>
    <w:p>
      <w:pPr>
        <w:pStyle w:val="style0"/>
        <w:jc w:val="center"/>
      </w:pPr>
      <w:r>
        <w:rPr>
          <w:rFonts w:ascii="Arial" w:cs="Arial" w:hAnsi="Arial"/>
          <w:sz w:val="24"/>
          <w:szCs w:val="24"/>
        </w:rPr>
      </w:r>
    </w:p>
    <w:p>
      <w:pPr>
        <w:pStyle w:val="style0"/>
        <w:jc w:val="center"/>
      </w:pPr>
      <w:r>
        <w:rPr>
          <w:rFonts w:ascii="Arial" w:cs="Arial" w:hAnsi="Arial"/>
          <w:sz w:val="24"/>
          <w:szCs w:val="24"/>
        </w:rPr>
        <w:t>UAAPS “PALITO BLANCO”</w:t>
      </w:r>
    </w:p>
    <w:p>
      <w:pPr>
        <w:pStyle w:val="style0"/>
        <w:jc w:val="center"/>
      </w:pPr>
      <w:r>
        <w:rPr>
          <w:rFonts w:ascii="Arial" w:cs="Arial" w:hAnsi="Arial"/>
          <w:sz w:val="24"/>
          <w:szCs w:val="24"/>
        </w:rPr>
      </w:r>
    </w:p>
    <w:p>
      <w:pPr>
        <w:pStyle w:val="style0"/>
        <w:jc w:val="center"/>
      </w:pPr>
      <w:r>
        <w:rPr>
          <w:rFonts w:ascii="Arial" w:cs="Arial" w:hAnsi="Arial"/>
          <w:sz w:val="24"/>
          <w:szCs w:val="24"/>
        </w:rPr>
      </w:r>
    </w:p>
    <w:p>
      <w:pPr>
        <w:pStyle w:val="style0"/>
        <w:jc w:val="center"/>
      </w:pPr>
      <w:r>
        <w:rPr>
          <w:rFonts w:ascii="Arial" w:cs="Arial" w:hAnsi="Arial"/>
          <w:sz w:val="24"/>
          <w:szCs w:val="24"/>
        </w:rPr>
      </w:r>
    </w:p>
    <w:p>
      <w:pPr>
        <w:pStyle w:val="style0"/>
        <w:jc w:val="center"/>
      </w:pPr>
      <w:r>
        <w:rPr>
          <w:rFonts w:ascii="Arial" w:cs="Arial" w:hAnsi="Arial"/>
          <w:sz w:val="24"/>
          <w:szCs w:val="24"/>
        </w:rPr>
      </w:r>
    </w:p>
    <w:p>
      <w:pPr>
        <w:pStyle w:val="style0"/>
        <w:spacing w:line="360" w:lineRule="auto"/>
        <w:jc w:val="both"/>
      </w:pPr>
      <w:r>
        <w:rPr>
          <w:rFonts w:ascii="Arial" w:cs="Arial" w:hAnsi="Arial"/>
          <w:sz w:val="24"/>
          <w:szCs w:val="24"/>
          <w:lang w:val="es-ES"/>
        </w:rPr>
        <w:t xml:space="preserve">Clase </w:t>
      </w:r>
      <w:r>
        <w:rPr>
          <w:rFonts w:ascii="Arial" w:cs="Arial" w:hAnsi="Arial"/>
          <w:sz w:val="24"/>
          <w:szCs w:val="24"/>
          <w:u w:val="single"/>
          <w:lang w:val="es-ES"/>
        </w:rPr>
        <w:t>CAMION</w:t>
      </w:r>
      <w:r>
        <w:rPr>
          <w:rFonts w:ascii="Arial" w:cs="Arial" w:hAnsi="Arial"/>
          <w:sz w:val="24"/>
          <w:szCs w:val="24"/>
          <w:lang w:val="es-ES"/>
        </w:rPr>
        <w:t xml:space="preserve"> Marca: </w:t>
      </w:r>
      <w:r>
        <w:rPr>
          <w:rFonts w:ascii="Arial" w:cs="Arial" w:hAnsi="Arial"/>
          <w:sz w:val="24"/>
          <w:szCs w:val="24"/>
          <w:u w:val="single"/>
          <w:lang w:val="es-ES"/>
        </w:rPr>
        <w:t xml:space="preserve">FORD </w:t>
      </w:r>
      <w:r>
        <w:rPr>
          <w:rFonts w:ascii="Arial" w:cs="Arial" w:hAnsi="Arial"/>
          <w:sz w:val="24"/>
          <w:szCs w:val="24"/>
          <w:lang w:val="es-ES"/>
        </w:rPr>
        <w:t xml:space="preserve">Modelo: F-750 Año: 1975 Color: </w:t>
      </w:r>
      <w:r>
        <w:rPr>
          <w:rFonts w:ascii="Arial" w:cs="Arial" w:hAnsi="Arial"/>
          <w:sz w:val="24"/>
          <w:szCs w:val="24"/>
          <w:u w:val="single"/>
          <w:lang w:val="es-ES"/>
        </w:rPr>
        <w:t>BLANCO-NARANJA</w:t>
      </w:r>
      <w:r>
        <w:rPr>
          <w:rFonts w:ascii="Arial" w:cs="Arial" w:hAnsi="Arial"/>
          <w:sz w:val="24"/>
          <w:szCs w:val="24"/>
          <w:lang w:val="es-ES"/>
        </w:rPr>
        <w:t xml:space="preserve"> Matricula: P-01639    y  Clase </w:t>
      </w:r>
      <w:r>
        <w:rPr>
          <w:rFonts w:ascii="Arial" w:cs="Arial" w:hAnsi="Arial"/>
          <w:sz w:val="24"/>
          <w:szCs w:val="24"/>
          <w:u w:val="single"/>
          <w:lang w:val="es-ES"/>
        </w:rPr>
        <w:t>CAMION</w:t>
      </w:r>
      <w:r>
        <w:rPr>
          <w:rFonts w:ascii="Arial" w:cs="Arial" w:hAnsi="Arial"/>
          <w:sz w:val="24"/>
          <w:szCs w:val="24"/>
          <w:lang w:val="es-ES"/>
        </w:rPr>
        <w:t xml:space="preserve"> Marca: </w:t>
      </w:r>
      <w:r>
        <w:rPr>
          <w:rFonts w:ascii="Arial" w:cs="Arial" w:hAnsi="Arial"/>
          <w:sz w:val="24"/>
          <w:szCs w:val="24"/>
          <w:u w:val="single"/>
          <w:lang w:val="es-ES"/>
        </w:rPr>
        <w:t xml:space="preserve">FORD  </w:t>
      </w:r>
      <w:r>
        <w:rPr>
          <w:rFonts w:ascii="Arial" w:cs="Arial" w:hAnsi="Arial"/>
          <w:sz w:val="24"/>
          <w:szCs w:val="24"/>
          <w:lang w:val="es-ES"/>
        </w:rPr>
        <w:t xml:space="preserve">Modelo: F-750 Año: 1975 Color: </w:t>
      </w:r>
      <w:r>
        <w:rPr>
          <w:rFonts w:ascii="Arial" w:cs="Arial" w:hAnsi="Arial"/>
          <w:sz w:val="24"/>
          <w:szCs w:val="24"/>
          <w:u w:val="single"/>
          <w:lang w:val="es-ES"/>
        </w:rPr>
        <w:t>BLANCO-NARANJA</w:t>
      </w:r>
      <w:r>
        <w:rPr>
          <w:rFonts w:ascii="Arial" w:cs="Arial" w:hAnsi="Arial"/>
          <w:sz w:val="24"/>
          <w:szCs w:val="24"/>
          <w:lang w:val="es-ES"/>
        </w:rPr>
        <w:t xml:space="preserve"> Matricula: P-01640 </w:t>
      </w:r>
    </w:p>
    <w:p>
      <w:pPr>
        <w:pStyle w:val="style0"/>
        <w:jc w:val="both"/>
      </w:pPr>
      <w:r>
        <w:rPr>
          <w:rFonts w:ascii="Arial" w:cs="Arial" w:hAnsi="Arial"/>
          <w:sz w:val="24"/>
          <w:szCs w:val="24"/>
          <w:lang w:eastAsia="es-VE" w:val="es-ES"/>
        </w:rPr>
        <w:pict>
          <v:rect id="shape_0" style="position:absolute;margin-left:-1.9pt;margin-top:1.25pt;width:440.5pt;height:328.85pt">
            <v:wrap v:type="none"/>
            <v:fill detectmouseclick="t"/>
            <v:stroke color="black" joinstyle="miter" weight="57240"/>
          </v:rect>
        </w:pict>
      </w:r>
    </w:p>
    <w:p>
      <w:pPr>
        <w:pStyle w:val="style0"/>
        <w:jc w:val="center"/>
      </w:pPr>
      <w:r>
        <w:rPr>
          <w:rFonts w:ascii="Arial" w:cs="Arial" w:hAnsi="Arial"/>
          <w:sz w:val="24"/>
          <w:szCs w:val="24"/>
          <w:lang w:eastAsia="es-VE" w:val="es-VE"/>
        </w:rPr>
        <w:drawing>
          <wp:inline distB="0" distL="0" distR="0" distT="0">
            <wp:extent cx="5175250" cy="3688080"/>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84"/>
                    <a:srcRect/>
                    <a:stretch>
                      <a:fillRect/>
                    </a:stretch>
                  </pic:blipFill>
                  <pic:spPr bwMode="auto">
                    <a:xfrm>
                      <a:off x="0" y="0"/>
                      <a:ext cx="5175250" cy="3688080"/>
                    </a:xfrm>
                    <a:prstGeom prst="rect">
                      <a:avLst/>
                    </a:prstGeom>
                    <a:noFill/>
                    <a:ln w="9525">
                      <a:noFill/>
                      <a:miter lim="800000"/>
                      <a:headEnd/>
                      <a:tailEnd/>
                    </a:ln>
                  </pic:spPr>
                </pic:pic>
              </a:graphicData>
            </a:graphic>
          </wp:inline>
        </w:drawing>
      </w:r>
    </w:p>
    <w:p>
      <w:pPr>
        <w:pStyle w:val="style0"/>
        <w:jc w:val="center"/>
      </w:pPr>
      <w:r>
        <w:rPr>
          <w:rFonts w:ascii="Arial" w:cs="Arial" w:hAnsi="Arial"/>
          <w:sz w:val="24"/>
          <w:szCs w:val="24"/>
        </w:rPr>
      </w:r>
    </w:p>
    <w:p>
      <w:pPr>
        <w:pStyle w:val="style0"/>
        <w:pageBreakBefore/>
        <w:jc w:val="center"/>
      </w:pPr>
      <w:r>
        <w:rPr>
          <w:rFonts w:ascii="Arial" w:cs="Arial" w:hAnsi="Arial"/>
          <w:sz w:val="24"/>
          <w:szCs w:val="24"/>
          <w:lang w:val="es-ES"/>
        </w:rPr>
      </w:r>
    </w:p>
    <w:p>
      <w:pPr>
        <w:pStyle w:val="style0"/>
        <w:jc w:val="center"/>
      </w:pPr>
      <w:r>
        <w:rPr>
          <w:rFonts w:ascii="Arial" w:cs="Arial" w:hAnsi="Arial"/>
          <w:sz w:val="24"/>
          <w:szCs w:val="24"/>
          <w:lang w:val="es-ES"/>
        </w:rPr>
      </w:r>
    </w:p>
    <w:p>
      <w:pPr>
        <w:pStyle w:val="style0"/>
        <w:jc w:val="center"/>
      </w:pPr>
      <w:r>
        <w:rPr>
          <w:rFonts w:ascii="Arial" w:cs="Arial" w:hAnsi="Arial"/>
          <w:sz w:val="24"/>
          <w:szCs w:val="24"/>
          <w:lang w:val="es-ES"/>
        </w:rPr>
        <w:t xml:space="preserve">Clase </w:t>
      </w:r>
      <w:r>
        <w:rPr>
          <w:rFonts w:ascii="Arial" w:cs="Arial" w:hAnsi="Arial"/>
          <w:sz w:val="24"/>
          <w:szCs w:val="24"/>
          <w:u w:val="single"/>
          <w:lang w:val="es-ES"/>
        </w:rPr>
        <w:t>CAMION</w:t>
      </w:r>
      <w:r>
        <w:rPr>
          <w:rFonts w:ascii="Arial" w:cs="Arial" w:hAnsi="Arial"/>
          <w:sz w:val="24"/>
          <w:szCs w:val="24"/>
          <w:lang w:val="es-ES"/>
        </w:rPr>
        <w:t xml:space="preserve"> Marca: </w:t>
      </w:r>
      <w:r>
        <w:rPr>
          <w:rFonts w:ascii="Arial" w:cs="Arial" w:hAnsi="Arial"/>
          <w:sz w:val="24"/>
          <w:szCs w:val="24"/>
          <w:u w:val="single"/>
          <w:lang w:val="es-ES"/>
        </w:rPr>
        <w:t xml:space="preserve">FORD  </w:t>
      </w:r>
    </w:p>
    <w:p>
      <w:pPr>
        <w:pStyle w:val="style0"/>
        <w:jc w:val="center"/>
      </w:pPr>
      <w:r>
        <w:rPr>
          <w:rFonts w:ascii="Arial" w:cs="Arial" w:hAnsi="Arial"/>
          <w:sz w:val="24"/>
          <w:szCs w:val="24"/>
          <w:lang w:val="es-ES"/>
        </w:rPr>
        <w:t xml:space="preserve">Modelo: F-350Año: 1975  Color: </w:t>
      </w:r>
      <w:r>
        <w:rPr>
          <w:rFonts w:ascii="Arial" w:cs="Arial" w:hAnsi="Arial"/>
          <w:sz w:val="24"/>
          <w:szCs w:val="24"/>
          <w:u w:val="single"/>
          <w:lang w:val="es-ES"/>
        </w:rPr>
        <w:t>BLANCO-NARANJA</w:t>
      </w:r>
      <w:r>
        <w:rPr>
          <w:rFonts w:ascii="Arial" w:cs="Arial" w:hAnsi="Arial"/>
          <w:sz w:val="24"/>
          <w:szCs w:val="24"/>
          <w:lang w:val="es-ES"/>
        </w:rPr>
        <w:t xml:space="preserve"> Matricula: </w:t>
      </w:r>
    </w:p>
    <w:p>
      <w:pPr>
        <w:pStyle w:val="style0"/>
        <w:jc w:val="center"/>
      </w:pPr>
      <w:r>
        <w:rPr>
          <w:rFonts w:ascii="Arial" w:cs="Arial" w:hAnsi="Arial"/>
          <w:sz w:val="24"/>
          <w:szCs w:val="24"/>
          <w:lang w:val="es-ES"/>
        </w:rPr>
        <w:t>P-01641</w:t>
      </w:r>
    </w:p>
    <w:p>
      <w:pPr>
        <w:pStyle w:val="style0"/>
        <w:jc w:val="center"/>
      </w:pPr>
      <w:r>
        <w:rPr>
          <w:rFonts w:ascii="Arial" w:cs="Arial" w:hAnsi="Arial"/>
          <w:sz w:val="24"/>
          <w:szCs w:val="24"/>
          <w:lang w:eastAsia="es-VE" w:val="es-ES"/>
        </w:rPr>
        <w:pict>
          <v:rect id="shape_0" style="position:absolute;margin-left:-1.9pt;margin-top:8.45pt;width:449.95pt;height:331.7pt">
            <v:wrap v:type="none"/>
            <v:fill detectmouseclick="t"/>
            <v:stroke color="black" joinstyle="miter" weight="57240"/>
          </v:rect>
        </w:pict>
      </w:r>
    </w:p>
    <w:p>
      <w:pPr>
        <w:pStyle w:val="style0"/>
        <w:jc w:val="center"/>
      </w:pPr>
      <w:r>
        <w:rPr>
          <w:rFonts w:ascii="Arial" w:cs="Arial" w:hAnsi="Arial"/>
          <w:sz w:val="24"/>
          <w:szCs w:val="24"/>
        </w:rPr>
      </w:r>
    </w:p>
    <w:p>
      <w:pPr>
        <w:pStyle w:val="style0"/>
        <w:ind w:firstLine="284" w:left="0" w:right="0"/>
        <w:jc w:val="center"/>
      </w:pPr>
      <w:r>
        <w:rPr>
          <w:rFonts w:ascii="Arial" w:cs="Arial" w:hAnsi="Arial"/>
          <w:sz w:val="24"/>
          <w:szCs w:val="24"/>
          <w:lang w:eastAsia="es-VE" w:val="es-VE"/>
        </w:rPr>
        <w:drawing>
          <wp:inline distB="0" distL="0" distR="0" distT="0">
            <wp:extent cx="5290185" cy="3295650"/>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85"/>
                    <a:srcRect/>
                    <a:stretch>
                      <a:fillRect/>
                    </a:stretch>
                  </pic:blipFill>
                  <pic:spPr bwMode="auto">
                    <a:xfrm>
                      <a:off x="0" y="0"/>
                      <a:ext cx="5290185" cy="3295650"/>
                    </a:xfrm>
                    <a:prstGeom prst="rect">
                      <a:avLst/>
                    </a:prstGeom>
                    <a:noFill/>
                    <a:ln w="9525">
                      <a:noFill/>
                      <a:miter lim="800000"/>
                      <a:headEnd/>
                      <a:tailEnd/>
                    </a:ln>
                  </pic:spPr>
                </pic:pic>
              </a:graphicData>
            </a:graphic>
          </wp:inline>
        </w:drawing>
      </w:r>
    </w:p>
    <w:p>
      <w:pPr>
        <w:pStyle w:val="style0"/>
        <w:jc w:val="center"/>
      </w:pPr>
      <w:r>
        <w:rPr>
          <w:rFonts w:ascii="Arial" w:cs="Arial" w:hAnsi="Arial"/>
          <w:sz w:val="24"/>
          <w:szCs w:val="24"/>
        </w:rPr>
      </w:r>
    </w:p>
    <w:p>
      <w:pPr>
        <w:pStyle w:val="style0"/>
        <w:jc w:val="center"/>
      </w:pPr>
      <w:r>
        <w:rPr>
          <w:rFonts w:ascii="Arial" w:cs="Arial" w:hAnsi="Arial"/>
          <w:sz w:val="24"/>
          <w:szCs w:val="24"/>
        </w:rPr>
      </w:r>
    </w:p>
    <w:p>
      <w:pPr>
        <w:pStyle w:val="style0"/>
        <w:jc w:val="center"/>
      </w:pPr>
      <w:r>
        <w:rPr>
          <w:rFonts w:ascii="Arial" w:cs="Arial" w:hAnsi="Arial"/>
          <w:sz w:val="24"/>
          <w:szCs w:val="24"/>
        </w:rPr>
      </w:r>
    </w:p>
    <w:p>
      <w:pPr>
        <w:pStyle w:val="style0"/>
        <w:jc w:val="center"/>
      </w:pPr>
      <w:r>
        <w:rPr>
          <w:rFonts w:ascii="Arial" w:cs="Arial" w:hAnsi="Arial"/>
          <w:sz w:val="24"/>
          <w:szCs w:val="24"/>
        </w:rPr>
      </w:r>
    </w:p>
    <w:p>
      <w:pPr>
        <w:pStyle w:val="style0"/>
        <w:jc w:val="center"/>
      </w:pPr>
      <w:r>
        <w:rPr>
          <w:rFonts w:ascii="Arial" w:cs="Arial" w:hAnsi="Arial"/>
          <w:sz w:val="24"/>
          <w:szCs w:val="24"/>
        </w:rPr>
      </w:r>
    </w:p>
    <w:p>
      <w:pPr>
        <w:pStyle w:val="style0"/>
        <w:jc w:val="center"/>
      </w:pPr>
      <w:r>
        <w:rPr>
          <w:rFonts w:ascii="Arial" w:cs="Arial" w:hAnsi="Arial"/>
          <w:sz w:val="24"/>
          <w:szCs w:val="24"/>
        </w:rPr>
      </w:r>
    </w:p>
    <w:p>
      <w:pPr>
        <w:pStyle w:val="style0"/>
        <w:jc w:val="center"/>
      </w:pPr>
      <w:r>
        <w:rPr>
          <w:rFonts w:ascii="Arial" w:cs="Arial" w:hAnsi="Arial"/>
          <w:sz w:val="24"/>
          <w:szCs w:val="24"/>
        </w:rPr>
      </w:r>
    </w:p>
    <w:p>
      <w:pPr>
        <w:pStyle w:val="style0"/>
        <w:jc w:val="center"/>
      </w:pPr>
      <w:r>
        <w:rPr>
          <w:rFonts w:ascii="Arial" w:cs="Arial" w:hAnsi="Arial"/>
          <w:sz w:val="24"/>
          <w:szCs w:val="24"/>
          <w:lang w:val="es-ES"/>
        </w:rPr>
        <w:t>Clase CAMIONETA Marca: DODGE</w:t>
      </w:r>
    </w:p>
    <w:p>
      <w:pPr>
        <w:pStyle w:val="style0"/>
        <w:jc w:val="both"/>
      </w:pPr>
      <w:r>
        <w:rPr>
          <w:rFonts w:ascii="Arial" w:cs="Arial" w:hAnsi="Arial"/>
          <w:sz w:val="24"/>
          <w:szCs w:val="24"/>
          <w:lang w:val="es-ES"/>
        </w:rPr>
        <w:t>Modelo: D-100 Año: 1976 Color: BLANCO Y ROJO Matricula: 457-UAP</w:t>
      </w:r>
    </w:p>
    <w:p>
      <w:pPr>
        <w:pStyle w:val="style0"/>
        <w:jc w:val="both"/>
      </w:pPr>
      <w:r>
        <w:rPr>
          <w:rFonts w:ascii="Arial" w:cs="Arial" w:hAnsi="Arial"/>
          <w:sz w:val="24"/>
          <w:szCs w:val="24"/>
          <w:lang w:val="es-ES"/>
        </w:rPr>
      </w:r>
    </w:p>
    <w:p>
      <w:pPr>
        <w:pStyle w:val="style0"/>
        <w:jc w:val="both"/>
      </w:pPr>
      <w:r>
        <w:rPr>
          <w:rFonts w:ascii="Arial" w:cs="Arial" w:hAnsi="Arial"/>
          <w:sz w:val="24"/>
          <w:szCs w:val="24"/>
          <w:lang w:eastAsia="es-VE" w:val="es-ES"/>
        </w:rPr>
        <w:pict>
          <v:rect id="shape_0" style="position:absolute;margin-left:-13.9pt;margin-top:11.1pt;width:467.95pt;height:291.8pt">
            <v:wrap v:type="none"/>
            <v:fill detectmouseclick="t"/>
            <v:stroke color="black" joinstyle="miter" weight="57240"/>
          </v:rect>
        </w:pict>
      </w:r>
    </w:p>
    <w:p>
      <w:pPr>
        <w:pStyle w:val="style0"/>
        <w:jc w:val="center"/>
      </w:pPr>
      <w:r>
        <w:rPr>
          <w:rFonts w:ascii="Arial" w:cs="Arial" w:hAnsi="Arial"/>
          <w:sz w:val="24"/>
          <w:szCs w:val="24"/>
          <w:lang w:eastAsia="es-VE" w:val="es-VE"/>
        </w:rPr>
        <w:drawing>
          <wp:inline distB="0" distL="0" distR="0" distT="0">
            <wp:extent cx="5534025" cy="3225165"/>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86"/>
                    <a:srcRect/>
                    <a:stretch>
                      <a:fillRect/>
                    </a:stretch>
                  </pic:blipFill>
                  <pic:spPr bwMode="auto">
                    <a:xfrm>
                      <a:off x="0" y="0"/>
                      <a:ext cx="5534025" cy="3225165"/>
                    </a:xfrm>
                    <a:prstGeom prst="rect">
                      <a:avLst/>
                    </a:prstGeom>
                    <a:noFill/>
                    <a:ln w="9525">
                      <a:noFill/>
                      <a:miter lim="800000"/>
                      <a:headEnd/>
                      <a:tailEnd/>
                    </a:ln>
                  </pic:spPr>
                </pic:pic>
              </a:graphicData>
            </a:graphic>
          </wp:inline>
        </w:drawing>
      </w:r>
    </w:p>
    <w:p>
      <w:pPr>
        <w:pStyle w:val="style0"/>
        <w:jc w:val="center"/>
      </w:pPr>
      <w:r>
        <w:rPr>
          <w:rFonts w:ascii="Arial" w:cs="Arial" w:hAnsi="Arial"/>
          <w:sz w:val="24"/>
          <w:szCs w:val="24"/>
        </w:rPr>
      </w:r>
    </w:p>
    <w:p>
      <w:pPr>
        <w:pStyle w:val="style0"/>
        <w:jc w:val="center"/>
      </w:pPr>
      <w:r>
        <w:rPr>
          <w:rFonts w:ascii="Arial" w:cs="Arial" w:hAnsi="Arial"/>
          <w:sz w:val="24"/>
          <w:szCs w:val="24"/>
        </w:rPr>
      </w:r>
    </w:p>
    <w:p>
      <w:pPr>
        <w:pStyle w:val="style0"/>
        <w:jc w:val="center"/>
      </w:pPr>
      <w:r>
        <w:rPr>
          <w:rFonts w:ascii="Arial" w:cs="Arial" w:hAnsi="Arial"/>
          <w:sz w:val="24"/>
          <w:szCs w:val="24"/>
        </w:rPr>
      </w:r>
    </w:p>
    <w:p>
      <w:pPr>
        <w:pStyle w:val="style0"/>
        <w:jc w:val="center"/>
      </w:pPr>
      <w:r>
        <w:rPr>
          <w:rFonts w:ascii="Arial" w:cs="Arial" w:hAnsi="Arial"/>
          <w:sz w:val="24"/>
          <w:szCs w:val="24"/>
        </w:rPr>
      </w:r>
    </w:p>
    <w:p>
      <w:pPr>
        <w:pStyle w:val="style0"/>
        <w:jc w:val="center"/>
      </w:pPr>
      <w:r>
        <w:rPr>
          <w:rFonts w:ascii="Arial" w:cs="Arial" w:hAnsi="Arial"/>
          <w:sz w:val="24"/>
          <w:szCs w:val="24"/>
        </w:rPr>
      </w:r>
    </w:p>
    <w:p>
      <w:pPr>
        <w:pStyle w:val="style0"/>
        <w:jc w:val="center"/>
      </w:pPr>
      <w:r>
        <w:rPr>
          <w:rFonts w:ascii="Arial" w:cs="Arial" w:hAnsi="Arial"/>
          <w:sz w:val="24"/>
          <w:szCs w:val="24"/>
        </w:rPr>
      </w:r>
    </w:p>
    <w:p>
      <w:pPr>
        <w:pStyle w:val="style0"/>
        <w:jc w:val="center"/>
      </w:pPr>
      <w:r>
        <w:rPr>
          <w:rFonts w:ascii="Arial" w:cs="Arial" w:hAnsi="Arial"/>
          <w:sz w:val="24"/>
          <w:szCs w:val="24"/>
        </w:rPr>
      </w:r>
    </w:p>
    <w:p>
      <w:pPr>
        <w:pStyle w:val="style0"/>
        <w:jc w:val="center"/>
      </w:pPr>
      <w:r>
        <w:rPr>
          <w:rFonts w:ascii="Arial" w:cs="Arial" w:hAnsi="Arial"/>
          <w:sz w:val="24"/>
          <w:szCs w:val="24"/>
        </w:rPr>
      </w:r>
    </w:p>
    <w:p>
      <w:pPr>
        <w:pStyle w:val="style0"/>
        <w:jc w:val="center"/>
      </w:pPr>
      <w:r>
        <w:rPr>
          <w:rFonts w:ascii="Arial" w:cs="Arial" w:hAnsi="Arial"/>
          <w:sz w:val="24"/>
          <w:szCs w:val="24"/>
          <w:lang w:val="es-ES"/>
        </w:rPr>
        <w:t>Clase VEHICULO  Marca: JEEP</w:t>
      </w:r>
    </w:p>
    <w:p>
      <w:pPr>
        <w:pStyle w:val="style0"/>
        <w:jc w:val="both"/>
      </w:pPr>
      <w:r>
        <w:rPr>
          <w:rFonts w:ascii="Arial" w:cs="Arial" w:hAnsi="Arial"/>
          <w:sz w:val="24"/>
          <w:szCs w:val="24"/>
          <w:lang w:val="es-ES"/>
        </w:rPr>
        <w:t>Modelo: CJ-5 Año: 1976 Color: AZUL CARONNI Matricula: UAO-525</w:t>
      </w:r>
    </w:p>
    <w:p>
      <w:pPr>
        <w:pStyle w:val="style0"/>
        <w:jc w:val="both"/>
      </w:pPr>
      <w:r>
        <w:rPr>
          <w:rFonts w:ascii="Arial" w:cs="Arial" w:hAnsi="Arial"/>
          <w:sz w:val="24"/>
          <w:szCs w:val="24"/>
          <w:lang w:val="es-ES"/>
        </w:rPr>
      </w:r>
    </w:p>
    <w:p>
      <w:pPr>
        <w:pStyle w:val="style0"/>
        <w:jc w:val="center"/>
      </w:pPr>
      <w:r>
        <w:rPr>
          <w:rFonts w:ascii="Arial" w:cs="Arial" w:hAnsi="Arial"/>
          <w:sz w:val="24"/>
          <w:szCs w:val="24"/>
          <w:lang w:eastAsia="es-VE" w:val="es-VE"/>
        </w:rPr>
        <w:pict>
          <v:rect id="shape_0" style="position:absolute;margin-left:4.1pt;margin-top:11.1pt;width:419.95pt;height:310.1pt">
            <v:wrap v:type="none"/>
            <v:fill detectmouseclick="t"/>
            <v:stroke color="black" joinstyle="miter" weight="57240"/>
          </v:rect>
        </w:pict>
      </w:r>
    </w:p>
    <w:p>
      <w:pPr>
        <w:pStyle w:val="style0"/>
        <w:jc w:val="center"/>
      </w:pPr>
      <w:r>
        <w:rPr>
          <w:rFonts w:ascii="Arial" w:cs="Arial" w:hAnsi="Arial"/>
          <w:sz w:val="24"/>
          <w:szCs w:val="24"/>
          <w:lang w:eastAsia="es-VE" w:val="es-VE"/>
        </w:rPr>
        <w:drawing>
          <wp:inline distB="0" distL="0" distR="0" distT="0">
            <wp:extent cx="4754245" cy="3549015"/>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87"/>
                    <a:srcRect/>
                    <a:stretch>
                      <a:fillRect/>
                    </a:stretch>
                  </pic:blipFill>
                  <pic:spPr bwMode="auto">
                    <a:xfrm>
                      <a:off x="0" y="0"/>
                      <a:ext cx="4754245" cy="3549015"/>
                    </a:xfrm>
                    <a:prstGeom prst="rect">
                      <a:avLst/>
                    </a:prstGeom>
                    <a:noFill/>
                    <a:ln w="9525">
                      <a:noFill/>
                      <a:miter lim="800000"/>
                      <a:headEnd/>
                      <a:tailEnd/>
                    </a:ln>
                  </pic:spPr>
                </pic:pic>
              </a:graphicData>
            </a:graphic>
          </wp:inline>
        </w:drawing>
      </w:r>
    </w:p>
    <w:p>
      <w:pPr>
        <w:pStyle w:val="style0"/>
        <w:jc w:val="center"/>
      </w:pPr>
      <w:r>
        <w:rPr>
          <w:rFonts w:ascii="Arial" w:cs="Arial" w:hAnsi="Arial"/>
          <w:sz w:val="24"/>
          <w:szCs w:val="24"/>
        </w:rPr>
      </w:r>
    </w:p>
    <w:p>
      <w:pPr>
        <w:pStyle w:val="style0"/>
        <w:jc w:val="center"/>
      </w:pPr>
      <w:r>
        <w:rPr>
          <w:rFonts w:ascii="Arial" w:cs="Arial" w:hAnsi="Arial"/>
          <w:sz w:val="24"/>
          <w:szCs w:val="24"/>
        </w:rPr>
      </w:r>
    </w:p>
    <w:p>
      <w:pPr>
        <w:pStyle w:val="style0"/>
        <w:jc w:val="center"/>
      </w:pPr>
      <w:r>
        <w:rPr>
          <w:rFonts w:ascii="Arial" w:cs="Arial" w:hAnsi="Arial"/>
          <w:sz w:val="24"/>
          <w:szCs w:val="24"/>
        </w:rPr>
      </w:r>
    </w:p>
    <w:p>
      <w:pPr>
        <w:pStyle w:val="style0"/>
        <w:jc w:val="center"/>
      </w:pPr>
      <w:r>
        <w:rPr>
          <w:rFonts w:ascii="Arial" w:cs="Arial" w:hAnsi="Arial"/>
          <w:sz w:val="24"/>
          <w:szCs w:val="24"/>
        </w:rPr>
      </w:r>
    </w:p>
    <w:p>
      <w:pPr>
        <w:pStyle w:val="style0"/>
        <w:jc w:val="center"/>
      </w:pPr>
      <w:r>
        <w:rPr>
          <w:rFonts w:ascii="Arial" w:cs="Arial" w:hAnsi="Arial"/>
          <w:sz w:val="24"/>
          <w:szCs w:val="24"/>
        </w:rPr>
      </w:r>
    </w:p>
    <w:p>
      <w:pPr>
        <w:pStyle w:val="style0"/>
        <w:jc w:val="center"/>
      </w:pPr>
      <w:r>
        <w:rPr>
          <w:rFonts w:ascii="Arial" w:cs="Arial" w:hAnsi="Arial"/>
          <w:sz w:val="24"/>
          <w:szCs w:val="24"/>
        </w:rPr>
      </w:r>
    </w:p>
    <w:p>
      <w:pPr>
        <w:pStyle w:val="style0"/>
        <w:jc w:val="center"/>
      </w:pPr>
      <w:r>
        <w:rPr>
          <w:rFonts w:ascii="Arial" w:cs="Arial" w:hAnsi="Arial"/>
          <w:sz w:val="24"/>
          <w:szCs w:val="24"/>
        </w:rPr>
      </w:r>
    </w:p>
    <w:p>
      <w:pPr>
        <w:pStyle w:val="style0"/>
        <w:jc w:val="center"/>
      </w:pPr>
      <w:r>
        <w:rPr>
          <w:rFonts w:ascii="Arial" w:cs="Arial" w:hAnsi="Arial"/>
          <w:sz w:val="24"/>
          <w:szCs w:val="24"/>
          <w:lang w:val="es-ES"/>
        </w:rPr>
        <w:t xml:space="preserve">Clase: </w:t>
      </w:r>
      <w:r>
        <w:rPr>
          <w:rFonts w:ascii="Arial" w:cs="Arial" w:hAnsi="Arial"/>
          <w:sz w:val="24"/>
          <w:szCs w:val="24"/>
          <w:u w:val="single"/>
          <w:lang w:val="es-ES"/>
        </w:rPr>
        <w:t xml:space="preserve">CAMIONETA </w:t>
      </w:r>
      <w:r>
        <w:rPr>
          <w:rFonts w:ascii="Arial" w:cs="Arial" w:hAnsi="Arial"/>
          <w:sz w:val="24"/>
          <w:szCs w:val="24"/>
          <w:lang w:val="es-ES"/>
        </w:rPr>
        <w:t>Marca: DODGE</w:t>
      </w:r>
    </w:p>
    <w:p>
      <w:pPr>
        <w:pStyle w:val="style0"/>
        <w:jc w:val="both"/>
      </w:pPr>
      <w:r>
        <w:rPr>
          <w:rFonts w:ascii="Arial" w:cs="Arial" w:hAnsi="Arial"/>
          <w:sz w:val="24"/>
          <w:szCs w:val="24"/>
          <w:lang w:val="es-ES"/>
        </w:rPr>
        <w:t>Modelo: CORONET Año: 1975 Color: GRIS METALIZADO Matricula: UAO-521</w:t>
      </w:r>
    </w:p>
    <w:p>
      <w:pPr>
        <w:pStyle w:val="style0"/>
        <w:jc w:val="center"/>
      </w:pPr>
      <w:r>
        <w:rPr>
          <w:rFonts w:ascii="Arial" w:cs="Arial" w:hAnsi="Arial"/>
          <w:sz w:val="24"/>
          <w:szCs w:val="24"/>
          <w:lang w:eastAsia="es-VE" w:val="es-VE"/>
        </w:rPr>
        <w:pict>
          <v:rect id="shape_0" style="position:absolute;margin-left:-7.05pt;margin-top:8.85pt;width:455.1pt;height:305.4pt">
            <v:wrap v:type="none"/>
            <v:fill detectmouseclick="t"/>
            <v:stroke color="black" joinstyle="miter" weight="57240"/>
          </v:rect>
        </w:pict>
      </w:r>
    </w:p>
    <w:p>
      <w:pPr>
        <w:pStyle w:val="style0"/>
        <w:jc w:val="center"/>
      </w:pPr>
      <w:r>
        <w:rPr>
          <w:rFonts w:ascii="Arial" w:cs="Arial" w:hAnsi="Arial"/>
          <w:sz w:val="24"/>
          <w:szCs w:val="24"/>
          <w:lang w:eastAsia="es-VE" w:val="es-VE"/>
        </w:rPr>
        <w:drawing>
          <wp:inline distB="0" distL="0" distR="0" distT="0">
            <wp:extent cx="5550535" cy="3453130"/>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88"/>
                    <a:srcRect/>
                    <a:stretch>
                      <a:fillRect/>
                    </a:stretch>
                  </pic:blipFill>
                  <pic:spPr bwMode="auto">
                    <a:xfrm>
                      <a:off x="0" y="0"/>
                      <a:ext cx="5550535" cy="3453130"/>
                    </a:xfrm>
                    <a:prstGeom prst="rect">
                      <a:avLst/>
                    </a:prstGeom>
                    <a:noFill/>
                    <a:ln w="9525">
                      <a:noFill/>
                      <a:miter lim="800000"/>
                      <a:headEnd/>
                      <a:tailEnd/>
                    </a:ln>
                  </pic:spPr>
                </pic:pic>
              </a:graphicData>
            </a:graphic>
          </wp:inline>
        </w:drawing>
      </w:r>
    </w:p>
    <w:p>
      <w:pPr>
        <w:pStyle w:val="style0"/>
        <w:jc w:val="center"/>
      </w:pPr>
      <w:r>
        <w:rPr>
          <w:rFonts w:ascii="Arial" w:cs="Arial" w:hAnsi="Arial"/>
          <w:sz w:val="24"/>
          <w:szCs w:val="24"/>
        </w:rPr>
      </w:r>
    </w:p>
    <w:p>
      <w:pPr>
        <w:pStyle w:val="style0"/>
        <w:jc w:val="center"/>
      </w:pPr>
      <w:r>
        <w:rPr>
          <w:rFonts w:ascii="Arial" w:cs="Arial" w:hAnsi="Arial"/>
          <w:sz w:val="24"/>
          <w:szCs w:val="24"/>
        </w:rPr>
      </w:r>
    </w:p>
    <w:p>
      <w:pPr>
        <w:pStyle w:val="style0"/>
        <w:jc w:val="center"/>
      </w:pPr>
      <w:r>
        <w:rPr>
          <w:rFonts w:ascii="Arial" w:cs="Arial" w:hAnsi="Arial"/>
          <w:sz w:val="24"/>
          <w:szCs w:val="24"/>
        </w:rPr>
      </w:r>
    </w:p>
    <w:p>
      <w:pPr>
        <w:pStyle w:val="style0"/>
        <w:jc w:val="center"/>
      </w:pPr>
      <w:r>
        <w:rPr>
          <w:rFonts w:ascii="Arial" w:cs="Arial" w:hAnsi="Arial"/>
          <w:sz w:val="24"/>
          <w:szCs w:val="24"/>
        </w:rPr>
      </w:r>
    </w:p>
    <w:p>
      <w:pPr>
        <w:pStyle w:val="style0"/>
        <w:jc w:val="center"/>
      </w:pPr>
      <w:r>
        <w:rPr>
          <w:rFonts w:ascii="Arial" w:cs="Arial" w:hAnsi="Arial"/>
          <w:sz w:val="24"/>
          <w:szCs w:val="24"/>
        </w:rPr>
      </w:r>
    </w:p>
    <w:p>
      <w:pPr>
        <w:pStyle w:val="style0"/>
        <w:jc w:val="center"/>
      </w:pPr>
      <w:r>
        <w:rPr>
          <w:rFonts w:ascii="Arial" w:cs="Arial" w:hAnsi="Arial"/>
          <w:sz w:val="24"/>
          <w:szCs w:val="24"/>
        </w:rPr>
      </w:r>
    </w:p>
    <w:p>
      <w:pPr>
        <w:pStyle w:val="style0"/>
        <w:jc w:val="center"/>
      </w:pPr>
      <w:r>
        <w:rPr>
          <w:rFonts w:ascii="Arial" w:cs="Arial" w:hAnsi="Arial"/>
          <w:sz w:val="24"/>
          <w:szCs w:val="24"/>
        </w:rPr>
      </w:r>
    </w:p>
    <w:p>
      <w:pPr>
        <w:pStyle w:val="style0"/>
        <w:jc w:val="center"/>
      </w:pPr>
      <w:r>
        <w:rPr>
          <w:rFonts w:ascii="Arial" w:cs="Arial" w:hAnsi="Arial"/>
          <w:sz w:val="24"/>
          <w:szCs w:val="24"/>
        </w:rPr>
      </w:r>
    </w:p>
    <w:p>
      <w:pPr>
        <w:pStyle w:val="style0"/>
        <w:jc w:val="center"/>
      </w:pPr>
      <w:r>
        <w:rPr>
          <w:rFonts w:ascii="Arial" w:cs="Arial" w:hAnsi="Arial"/>
          <w:sz w:val="24"/>
          <w:szCs w:val="24"/>
          <w:lang w:val="es-ES"/>
        </w:rPr>
        <w:t xml:space="preserve">Clase: </w:t>
      </w:r>
      <w:r>
        <w:rPr>
          <w:rFonts w:ascii="Arial" w:cs="Arial" w:hAnsi="Arial"/>
          <w:sz w:val="24"/>
          <w:szCs w:val="24"/>
          <w:u w:val="single"/>
          <w:lang w:val="es-ES"/>
        </w:rPr>
        <w:t xml:space="preserve">CAMION </w:t>
      </w:r>
      <w:r>
        <w:rPr>
          <w:rFonts w:ascii="Arial" w:cs="Arial" w:hAnsi="Arial"/>
          <w:sz w:val="24"/>
          <w:szCs w:val="24"/>
          <w:lang w:val="es-ES"/>
        </w:rPr>
        <w:t>Marca: FORD</w:t>
      </w:r>
    </w:p>
    <w:p>
      <w:pPr>
        <w:pStyle w:val="style0"/>
        <w:jc w:val="center"/>
      </w:pPr>
      <w:r>
        <w:rPr>
          <w:rFonts w:ascii="Arial" w:cs="Arial" w:hAnsi="Arial"/>
          <w:sz w:val="24"/>
          <w:szCs w:val="24"/>
          <w:lang w:val="es-ES"/>
        </w:rPr>
        <w:t>Año: 1979 Color: AMARILLO ESCOLAR Matricula: P0-2892</w:t>
      </w:r>
    </w:p>
    <w:p>
      <w:pPr>
        <w:pStyle w:val="style0"/>
        <w:jc w:val="center"/>
      </w:pPr>
      <w:r>
        <w:rPr>
          <w:rFonts w:ascii="Arial" w:cs="Arial" w:hAnsi="Arial"/>
          <w:sz w:val="24"/>
          <w:szCs w:val="24"/>
          <w:lang w:eastAsia="es-VE" w:val="es-ES"/>
        </w:rPr>
        <w:pict>
          <v:rect id="shape_0" style="position:absolute;margin-left:-13.9pt;margin-top:12.05pt;width:463.65pt;height:354.45pt">
            <v:wrap v:type="none"/>
            <v:fill detectmouseclick="t"/>
            <v:stroke color="black" joinstyle="miter" weight="57240"/>
          </v:rect>
        </w:pict>
      </w:r>
    </w:p>
    <w:p>
      <w:pPr>
        <w:pStyle w:val="style0"/>
        <w:jc w:val="center"/>
      </w:pPr>
      <w:r>
        <w:rPr>
          <w:rFonts w:ascii="Arial" w:cs="Arial" w:hAnsi="Arial"/>
          <w:sz w:val="24"/>
          <w:szCs w:val="24"/>
          <w:lang w:eastAsia="es-VE" w:val="es-VE"/>
        </w:rPr>
        <w:drawing>
          <wp:inline distB="0" distL="0" distR="0" distT="0">
            <wp:extent cx="5461635" cy="4086225"/>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89"/>
                    <a:srcRect/>
                    <a:stretch>
                      <a:fillRect/>
                    </a:stretch>
                  </pic:blipFill>
                  <pic:spPr bwMode="auto">
                    <a:xfrm>
                      <a:off x="0" y="0"/>
                      <a:ext cx="5461635" cy="4086225"/>
                    </a:xfrm>
                    <a:prstGeom prst="rect">
                      <a:avLst/>
                    </a:prstGeom>
                    <a:noFill/>
                    <a:ln w="9525">
                      <a:noFill/>
                      <a:miter lim="800000"/>
                      <a:headEnd/>
                      <a:tailEnd/>
                    </a:ln>
                  </pic:spPr>
                </pic:pic>
              </a:graphicData>
            </a:graphic>
          </wp:inline>
        </w:drawing>
      </w:r>
    </w:p>
    <w:p>
      <w:pPr>
        <w:pStyle w:val="style0"/>
      </w:pPr>
      <w:r>
        <w:rPr>
          <w:rFonts w:ascii="Arial" w:cs="Arial" w:hAnsi="Arial"/>
          <w:sz w:val="24"/>
          <w:szCs w:val="24"/>
        </w:rPr>
      </w:r>
    </w:p>
    <w:p>
      <w:pPr>
        <w:pStyle w:val="style0"/>
        <w:jc w:val="center"/>
      </w:pPr>
      <w:r>
        <w:rPr>
          <w:rFonts w:ascii="Arial" w:cs="Arial" w:hAnsi="Arial"/>
          <w:sz w:val="24"/>
          <w:szCs w:val="24"/>
        </w:rPr>
      </w:r>
    </w:p>
    <w:p>
      <w:pPr>
        <w:pStyle w:val="style0"/>
        <w:jc w:val="both"/>
      </w:pPr>
      <w:r>
        <w:rPr>
          <w:rFonts w:ascii="Arial" w:cs="Arial" w:hAnsi="Arial"/>
          <w:sz w:val="24"/>
          <w:szCs w:val="24"/>
          <w:lang w:val="es-ES"/>
        </w:rPr>
      </w:r>
    </w:p>
    <w:p>
      <w:pPr>
        <w:pStyle w:val="style0"/>
        <w:jc w:val="both"/>
      </w:pPr>
      <w:r>
        <w:rPr>
          <w:rFonts w:ascii="Arial" w:cs="Arial" w:hAnsi="Arial"/>
          <w:sz w:val="24"/>
          <w:szCs w:val="24"/>
          <w:lang w:val="es-ES"/>
        </w:rPr>
      </w:r>
    </w:p>
    <w:p>
      <w:pPr>
        <w:pStyle w:val="style0"/>
        <w:jc w:val="both"/>
      </w:pPr>
      <w:r>
        <w:rPr>
          <w:rFonts w:ascii="Arial" w:cs="Arial" w:hAnsi="Arial"/>
          <w:sz w:val="24"/>
          <w:szCs w:val="24"/>
          <w:lang w:val="es-ES"/>
        </w:rPr>
      </w:r>
    </w:p>
    <w:p>
      <w:pPr>
        <w:pStyle w:val="style0"/>
        <w:jc w:val="both"/>
      </w:pPr>
      <w:r>
        <w:rPr>
          <w:rFonts w:ascii="Arial" w:cs="Arial" w:hAnsi="Arial"/>
          <w:sz w:val="24"/>
          <w:szCs w:val="24"/>
          <w:lang w:val="es-ES"/>
        </w:rPr>
      </w:r>
    </w:p>
    <w:p>
      <w:pPr>
        <w:pStyle w:val="style0"/>
        <w:jc w:val="both"/>
      </w:pPr>
      <w:r>
        <w:rPr>
          <w:rFonts w:ascii="Arial" w:cs="Arial" w:hAnsi="Arial"/>
          <w:sz w:val="24"/>
          <w:szCs w:val="24"/>
          <w:lang w:val="es-ES"/>
        </w:rPr>
      </w:r>
    </w:p>
    <w:p>
      <w:pPr>
        <w:pStyle w:val="style0"/>
        <w:jc w:val="center"/>
      </w:pPr>
      <w:r>
        <w:rPr>
          <w:rFonts w:ascii="Arial" w:cs="Arial" w:hAnsi="Arial"/>
          <w:sz w:val="24"/>
          <w:szCs w:val="24"/>
          <w:lang w:val="es-ES"/>
        </w:rPr>
        <w:t xml:space="preserve">Clase: </w:t>
      </w:r>
      <w:r>
        <w:rPr>
          <w:rFonts w:ascii="Arial" w:cs="Arial" w:hAnsi="Arial"/>
          <w:sz w:val="24"/>
          <w:szCs w:val="24"/>
          <w:u w:val="single"/>
          <w:lang w:val="es-ES"/>
        </w:rPr>
        <w:t xml:space="preserve">CAMION </w:t>
      </w:r>
      <w:r>
        <w:rPr>
          <w:rFonts w:ascii="Arial" w:cs="Arial" w:hAnsi="Arial"/>
          <w:sz w:val="24"/>
          <w:szCs w:val="24"/>
          <w:lang w:val="es-ES"/>
        </w:rPr>
        <w:t>Marca: BLUE BIRD</w:t>
      </w:r>
    </w:p>
    <w:p>
      <w:pPr>
        <w:pStyle w:val="style0"/>
        <w:tabs>
          <w:tab w:leader="none" w:pos="5897" w:val="left"/>
        </w:tabs>
        <w:jc w:val="center"/>
      </w:pPr>
      <w:r>
        <w:rPr>
          <w:rFonts w:ascii="Arial" w:cs="Arial" w:hAnsi="Arial"/>
          <w:sz w:val="24"/>
          <w:szCs w:val="24"/>
          <w:lang w:val="es-ES"/>
        </w:rPr>
        <w:t>Año: 1979 Color: BLANCO Matricula: F-08690</w:t>
      </w:r>
    </w:p>
    <w:p>
      <w:pPr>
        <w:pStyle w:val="style0"/>
        <w:jc w:val="center"/>
      </w:pPr>
      <w:r>
        <w:rPr>
          <w:rFonts w:ascii="Arial" w:cs="Arial" w:hAnsi="Arial"/>
          <w:sz w:val="24"/>
          <w:szCs w:val="24"/>
          <w:lang w:val="es-ES"/>
        </w:rPr>
      </w:r>
    </w:p>
    <w:p>
      <w:pPr>
        <w:pStyle w:val="style0"/>
        <w:jc w:val="center"/>
      </w:pPr>
      <w:r>
        <w:rPr>
          <w:rFonts w:ascii="Arial" w:cs="Arial" w:hAnsi="Arial"/>
          <w:sz w:val="24"/>
          <w:szCs w:val="24"/>
          <w:lang w:eastAsia="es-VE" w:val="es-ES"/>
        </w:rPr>
        <w:pict>
          <v:rect id="shape_0" style="position:absolute;margin-left:-14.75pt;margin-top:8.85pt;width:458.5pt;height:345.75pt">
            <v:wrap v:type="none"/>
            <v:fill detectmouseclick="t"/>
            <v:stroke color="black" joinstyle="miter" weight="57240"/>
          </v:rect>
        </w:pict>
      </w:r>
    </w:p>
    <w:p>
      <w:pPr>
        <w:pStyle w:val="style0"/>
        <w:jc w:val="center"/>
      </w:pPr>
      <w:r>
        <w:rPr>
          <w:rFonts w:ascii="Arial" w:cs="Arial" w:hAnsi="Arial"/>
          <w:sz w:val="24"/>
          <w:szCs w:val="24"/>
          <w:lang w:eastAsia="es-VE" w:val="es-VE"/>
        </w:rPr>
        <w:drawing>
          <wp:inline distB="0" distL="0" distR="0" distT="0">
            <wp:extent cx="5318760" cy="3978910"/>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90"/>
                    <a:srcRect/>
                    <a:stretch>
                      <a:fillRect/>
                    </a:stretch>
                  </pic:blipFill>
                  <pic:spPr bwMode="auto">
                    <a:xfrm>
                      <a:off x="0" y="0"/>
                      <a:ext cx="5318760" cy="3978910"/>
                    </a:xfrm>
                    <a:prstGeom prst="rect">
                      <a:avLst/>
                    </a:prstGeom>
                    <a:noFill/>
                    <a:ln w="9525">
                      <a:noFill/>
                      <a:miter lim="800000"/>
                      <a:headEnd/>
                      <a:tailEnd/>
                    </a:ln>
                  </pic:spPr>
                </pic:pic>
              </a:graphicData>
            </a:graphic>
          </wp:inline>
        </w:drawing>
      </w:r>
    </w:p>
    <w:p>
      <w:pPr>
        <w:pStyle w:val="style0"/>
      </w:pPr>
      <w:r>
        <w:rPr>
          <w:rFonts w:ascii="Arial" w:cs="Arial" w:hAnsi="Arial"/>
          <w:sz w:val="24"/>
          <w:szCs w:val="24"/>
        </w:rPr>
      </w:r>
    </w:p>
    <w:p>
      <w:pPr>
        <w:pStyle w:val="style0"/>
      </w:pPr>
      <w:r>
        <w:rPr>
          <w:rFonts w:ascii="Arial" w:cs="Arial" w:hAnsi="Arial"/>
          <w:sz w:val="24"/>
          <w:szCs w:val="24"/>
        </w:rPr>
      </w:r>
    </w:p>
    <w:p>
      <w:pPr>
        <w:pStyle w:val="style0"/>
      </w:pPr>
      <w:r>
        <w:rPr>
          <w:rFonts w:ascii="Arial" w:cs="Arial" w:hAnsi="Arial"/>
          <w:sz w:val="24"/>
          <w:szCs w:val="24"/>
        </w:rPr>
      </w:r>
    </w:p>
    <w:p>
      <w:pPr>
        <w:pStyle w:val="style0"/>
      </w:pPr>
      <w:r>
        <w:rPr>
          <w:rFonts w:ascii="Arial" w:cs="Arial" w:hAnsi="Arial"/>
          <w:sz w:val="24"/>
          <w:szCs w:val="24"/>
        </w:rPr>
      </w:r>
    </w:p>
    <w:p>
      <w:pPr>
        <w:pStyle w:val="style0"/>
      </w:pPr>
      <w:r>
        <w:rPr>
          <w:rFonts w:ascii="Arial" w:cs="Arial" w:hAnsi="Arial"/>
          <w:sz w:val="24"/>
          <w:szCs w:val="24"/>
        </w:rPr>
      </w:r>
    </w:p>
    <w:p>
      <w:pPr>
        <w:pStyle w:val="style0"/>
      </w:pPr>
      <w:r>
        <w:rPr>
          <w:rFonts w:ascii="Arial" w:cs="Arial" w:hAnsi="Arial"/>
          <w:sz w:val="24"/>
          <w:szCs w:val="24"/>
        </w:rPr>
      </w:r>
    </w:p>
    <w:p>
      <w:pPr>
        <w:pStyle w:val="style0"/>
        <w:jc w:val="center"/>
      </w:pPr>
      <w:r>
        <w:rPr>
          <w:rFonts w:ascii="Arial" w:cs="Arial" w:hAnsi="Arial"/>
          <w:sz w:val="24"/>
          <w:szCs w:val="24"/>
          <w:lang w:val="es-ES"/>
        </w:rPr>
        <w:t xml:space="preserve">Clase: </w:t>
      </w:r>
      <w:r>
        <w:rPr>
          <w:rFonts w:ascii="Arial" w:cs="Arial" w:hAnsi="Arial"/>
          <w:sz w:val="24"/>
          <w:szCs w:val="24"/>
          <w:u w:val="single"/>
          <w:lang w:val="es-ES"/>
        </w:rPr>
        <w:t xml:space="preserve">CAMION </w:t>
      </w:r>
      <w:r>
        <w:rPr>
          <w:rFonts w:ascii="Arial" w:cs="Arial" w:hAnsi="Arial"/>
          <w:sz w:val="24"/>
          <w:szCs w:val="24"/>
          <w:lang w:val="es-ES"/>
        </w:rPr>
        <w:t>Marca: CHEVROLET</w:t>
      </w:r>
    </w:p>
    <w:p>
      <w:pPr>
        <w:pStyle w:val="style0"/>
        <w:jc w:val="both"/>
      </w:pPr>
      <w:r>
        <w:rPr>
          <w:rFonts w:ascii="Arial" w:cs="Arial" w:hAnsi="Arial"/>
          <w:sz w:val="24"/>
          <w:szCs w:val="24"/>
          <w:lang w:val="es-ES"/>
        </w:rPr>
        <w:t xml:space="preserve">Modelo: C-750 Año: 1981 Color: AMARILLO ESCOLAR Matricula: </w:t>
      </w:r>
    </w:p>
    <w:p>
      <w:pPr>
        <w:pStyle w:val="style0"/>
        <w:jc w:val="both"/>
      </w:pPr>
      <w:r>
        <w:rPr>
          <w:rFonts w:ascii="Arial" w:cs="Arial" w:hAnsi="Arial"/>
          <w:sz w:val="24"/>
          <w:szCs w:val="24"/>
          <w:lang w:val="es-ES"/>
        </w:rPr>
        <w:t xml:space="preserve">E-04521 </w:t>
      </w:r>
    </w:p>
    <w:p>
      <w:pPr>
        <w:pStyle w:val="style0"/>
        <w:jc w:val="both"/>
      </w:pPr>
      <w:r>
        <w:rPr>
          <w:rFonts w:ascii="Arial" w:cs="Arial" w:hAnsi="Arial"/>
          <w:sz w:val="24"/>
          <w:szCs w:val="24"/>
          <w:lang w:eastAsia="es-VE" w:val="es-ES"/>
        </w:rPr>
        <w:pict>
          <v:rect id="shape_0" style="position:absolute;margin-left:-13.9pt;margin-top:6.55pt;width:471.35pt;height:375.1pt">
            <v:wrap v:type="none"/>
            <v:fill detectmouseclick="t"/>
            <v:stroke color="black" joinstyle="miter" weight="57240"/>
          </v:rect>
        </w:pict>
      </w:r>
    </w:p>
    <w:p>
      <w:pPr>
        <w:pStyle w:val="style0"/>
      </w:pPr>
      <w:r>
        <w:rPr>
          <w:rFonts w:ascii="Arial" w:cs="Arial" w:hAnsi="Arial"/>
          <w:sz w:val="24"/>
          <w:szCs w:val="24"/>
          <w:lang w:eastAsia="es-VE" w:val="es-VE"/>
        </w:rPr>
        <w:drawing>
          <wp:inline distB="0" distL="0" distR="0" distT="0">
            <wp:extent cx="5513705" cy="4145280"/>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91"/>
                    <a:srcRect/>
                    <a:stretch>
                      <a:fillRect/>
                    </a:stretch>
                  </pic:blipFill>
                  <pic:spPr bwMode="auto">
                    <a:xfrm>
                      <a:off x="0" y="0"/>
                      <a:ext cx="5513705" cy="4145280"/>
                    </a:xfrm>
                    <a:prstGeom prst="rect">
                      <a:avLst/>
                    </a:prstGeom>
                    <a:noFill/>
                    <a:ln w="9525">
                      <a:noFill/>
                      <a:miter lim="800000"/>
                      <a:headEnd/>
                      <a:tailEnd/>
                    </a:ln>
                  </pic:spPr>
                </pic:pic>
              </a:graphicData>
            </a:graphic>
          </wp:inline>
        </w:drawing>
      </w:r>
    </w:p>
    <w:p>
      <w:pPr>
        <w:pStyle w:val="style0"/>
        <w:jc w:val="both"/>
      </w:pPr>
      <w:r>
        <w:rPr>
          <w:rFonts w:ascii="Arial" w:cs="Arial" w:hAnsi="Arial"/>
          <w:sz w:val="24"/>
          <w:szCs w:val="24"/>
          <w:lang w:val="es-ES"/>
        </w:rPr>
      </w:r>
    </w:p>
    <w:p>
      <w:pPr>
        <w:pStyle w:val="style0"/>
        <w:jc w:val="both"/>
      </w:pPr>
      <w:r>
        <w:rPr>
          <w:rFonts w:ascii="Arial" w:cs="Arial" w:hAnsi="Arial"/>
          <w:sz w:val="24"/>
          <w:szCs w:val="24"/>
          <w:lang w:val="es-ES"/>
        </w:rPr>
      </w:r>
    </w:p>
    <w:p>
      <w:pPr>
        <w:pStyle w:val="style0"/>
        <w:jc w:val="both"/>
      </w:pPr>
      <w:r>
        <w:rPr>
          <w:rFonts w:ascii="Arial" w:cs="Arial" w:hAnsi="Arial"/>
          <w:sz w:val="24"/>
          <w:szCs w:val="24"/>
          <w:lang w:val="es-ES"/>
        </w:rPr>
      </w:r>
    </w:p>
    <w:p>
      <w:pPr>
        <w:pStyle w:val="style0"/>
        <w:jc w:val="both"/>
      </w:pPr>
      <w:r>
        <w:rPr>
          <w:rFonts w:ascii="Arial" w:cs="Arial" w:hAnsi="Arial"/>
          <w:sz w:val="24"/>
          <w:szCs w:val="24"/>
          <w:lang w:val="es-ES"/>
        </w:rPr>
      </w:r>
    </w:p>
    <w:p>
      <w:pPr>
        <w:pStyle w:val="style0"/>
        <w:jc w:val="both"/>
      </w:pPr>
      <w:r>
        <w:rPr>
          <w:rFonts w:ascii="Arial" w:cs="Arial" w:hAnsi="Arial"/>
          <w:sz w:val="24"/>
          <w:szCs w:val="24"/>
          <w:lang w:val="es-ES"/>
        </w:rPr>
      </w:r>
    </w:p>
    <w:p>
      <w:pPr>
        <w:pStyle w:val="style0"/>
        <w:jc w:val="both"/>
      </w:pPr>
      <w:r>
        <w:rPr>
          <w:rFonts w:ascii="Arial" w:cs="Arial" w:hAnsi="Arial"/>
          <w:sz w:val="24"/>
          <w:szCs w:val="24"/>
          <w:lang w:val="es-ES"/>
        </w:rPr>
      </w:r>
    </w:p>
    <w:p>
      <w:pPr>
        <w:pStyle w:val="style0"/>
        <w:jc w:val="center"/>
      </w:pPr>
      <w:r>
        <w:rPr>
          <w:rFonts w:ascii="Arial" w:cs="Arial" w:hAnsi="Arial"/>
          <w:sz w:val="24"/>
          <w:szCs w:val="24"/>
          <w:lang w:val="es-ES"/>
        </w:rPr>
        <w:t xml:space="preserve">Clase: </w:t>
      </w:r>
      <w:r>
        <w:rPr>
          <w:rFonts w:ascii="Arial" w:cs="Arial" w:hAnsi="Arial"/>
          <w:sz w:val="24"/>
          <w:szCs w:val="24"/>
          <w:u w:val="single"/>
          <w:lang w:val="es-ES"/>
        </w:rPr>
        <w:t xml:space="preserve">CAMION </w:t>
      </w:r>
      <w:r>
        <w:rPr>
          <w:rFonts w:ascii="Arial" w:cs="Arial" w:hAnsi="Arial"/>
          <w:sz w:val="24"/>
          <w:szCs w:val="24"/>
          <w:lang w:val="es-ES"/>
        </w:rPr>
        <w:t>Marca: GCM</w:t>
      </w:r>
    </w:p>
    <w:p>
      <w:pPr>
        <w:pStyle w:val="style0"/>
        <w:jc w:val="center"/>
      </w:pPr>
      <w:r>
        <w:rPr>
          <w:rFonts w:ascii="Arial" w:cs="Arial" w:hAnsi="Arial"/>
          <w:sz w:val="24"/>
          <w:szCs w:val="24"/>
          <w:lang w:val="es-ES"/>
        </w:rPr>
        <w:t>Año: 1980 Color: AMARILLO ESCOLAR Matricula: 878-XFX</w:t>
      </w:r>
    </w:p>
    <w:p>
      <w:pPr>
        <w:pStyle w:val="style0"/>
      </w:pPr>
      <w:r>
        <w:rPr>
          <w:rFonts w:ascii="Arial" w:cs="Arial" w:hAnsi="Arial"/>
          <w:sz w:val="24"/>
          <w:szCs w:val="24"/>
          <w:lang w:val="es-ES"/>
        </w:rPr>
      </w:r>
    </w:p>
    <w:p>
      <w:pPr>
        <w:pStyle w:val="style0"/>
      </w:pPr>
      <w:r>
        <w:rPr>
          <w:rFonts w:ascii="Arial" w:cs="Arial" w:hAnsi="Arial"/>
          <w:sz w:val="24"/>
          <w:szCs w:val="24"/>
          <w:lang w:eastAsia="es-VE" w:val="es-VE"/>
        </w:rPr>
        <w:pict>
          <v:rect id="shape_0" style="position:absolute;margin-left:-13.9pt;margin-top:8.65pt;width:459.35pt;height:351.4pt">
            <v:wrap v:type="none"/>
            <v:fill detectmouseclick="t"/>
            <v:stroke color="black" joinstyle="miter" weight="57240"/>
          </v:rect>
        </w:pict>
      </w:r>
    </w:p>
    <w:p>
      <w:pPr>
        <w:pStyle w:val="style0"/>
      </w:pPr>
      <w:r>
        <w:rPr>
          <w:rFonts w:ascii="Arial" w:cs="Arial" w:hAnsi="Arial"/>
          <w:sz w:val="24"/>
          <w:szCs w:val="24"/>
          <w:lang w:eastAsia="es-VE" w:val="es-VE"/>
        </w:rPr>
        <w:drawing>
          <wp:inline distB="0" distL="0" distR="0" distT="0">
            <wp:extent cx="5383530" cy="4037965"/>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92"/>
                    <a:srcRect/>
                    <a:stretch>
                      <a:fillRect/>
                    </a:stretch>
                  </pic:blipFill>
                  <pic:spPr bwMode="auto">
                    <a:xfrm>
                      <a:off x="0" y="0"/>
                      <a:ext cx="5383530" cy="4037965"/>
                    </a:xfrm>
                    <a:prstGeom prst="rect">
                      <a:avLst/>
                    </a:prstGeom>
                    <a:noFill/>
                    <a:ln w="9525">
                      <a:noFill/>
                      <a:miter lim="800000"/>
                      <a:headEnd/>
                      <a:tailEnd/>
                    </a:ln>
                  </pic:spPr>
                </pic:pic>
              </a:graphicData>
            </a:graphic>
          </wp:inline>
        </w:drawing>
      </w:r>
    </w:p>
    <w:p>
      <w:pPr>
        <w:pStyle w:val="style0"/>
      </w:pPr>
      <w:r>
        <w:rPr>
          <w:rFonts w:ascii="Arial" w:cs="Arial" w:hAnsi="Arial"/>
          <w:sz w:val="24"/>
          <w:szCs w:val="24"/>
        </w:rPr>
      </w:r>
    </w:p>
    <w:p>
      <w:pPr>
        <w:pStyle w:val="style0"/>
      </w:pPr>
      <w:r>
        <w:rPr>
          <w:rFonts w:ascii="Arial" w:cs="Arial" w:hAnsi="Arial"/>
          <w:sz w:val="24"/>
          <w:szCs w:val="24"/>
        </w:rPr>
      </w:r>
    </w:p>
    <w:p>
      <w:pPr>
        <w:pStyle w:val="style0"/>
      </w:pPr>
      <w:r>
        <w:rPr>
          <w:rFonts w:ascii="Arial" w:cs="Arial" w:hAnsi="Arial"/>
          <w:sz w:val="24"/>
          <w:szCs w:val="24"/>
        </w:rPr>
      </w:r>
    </w:p>
    <w:p>
      <w:pPr>
        <w:pStyle w:val="style0"/>
      </w:pPr>
      <w:r>
        <w:rPr>
          <w:rFonts w:ascii="Arial" w:cs="Arial" w:hAnsi="Arial"/>
          <w:sz w:val="24"/>
          <w:szCs w:val="24"/>
        </w:rPr>
      </w:r>
    </w:p>
    <w:p>
      <w:pPr>
        <w:pStyle w:val="style0"/>
      </w:pPr>
      <w:r>
        <w:rPr>
          <w:rFonts w:ascii="Arial" w:cs="Arial" w:hAnsi="Arial"/>
          <w:sz w:val="24"/>
          <w:szCs w:val="24"/>
        </w:rPr>
      </w:r>
    </w:p>
    <w:p>
      <w:pPr>
        <w:pStyle w:val="style0"/>
      </w:pPr>
      <w:r>
        <w:rPr>
          <w:rFonts w:ascii="Arial" w:cs="Arial" w:hAnsi="Arial"/>
          <w:sz w:val="24"/>
          <w:szCs w:val="24"/>
        </w:rPr>
      </w:r>
    </w:p>
    <w:p>
      <w:pPr>
        <w:pStyle w:val="style0"/>
        <w:jc w:val="center"/>
      </w:pPr>
      <w:r>
        <w:rPr>
          <w:rFonts w:ascii="Arial" w:cs="Arial" w:hAnsi="Arial"/>
          <w:sz w:val="24"/>
          <w:szCs w:val="24"/>
          <w:lang w:val="es-ES"/>
        </w:rPr>
        <w:t xml:space="preserve">Clase: </w:t>
      </w:r>
      <w:r>
        <w:rPr>
          <w:rFonts w:ascii="Arial" w:cs="Arial" w:hAnsi="Arial"/>
          <w:sz w:val="24"/>
          <w:szCs w:val="24"/>
          <w:u w:val="single"/>
          <w:lang w:val="es-ES"/>
        </w:rPr>
        <w:t xml:space="preserve">CAMION </w:t>
      </w:r>
      <w:r>
        <w:rPr>
          <w:rFonts w:ascii="Arial" w:cs="Arial" w:hAnsi="Arial"/>
          <w:sz w:val="24"/>
          <w:szCs w:val="24"/>
          <w:lang w:val="es-ES"/>
        </w:rPr>
        <w:t>Marca: CHEVROLET</w:t>
      </w:r>
    </w:p>
    <w:p>
      <w:pPr>
        <w:pStyle w:val="style0"/>
        <w:jc w:val="center"/>
      </w:pPr>
      <w:r>
        <w:rPr>
          <w:rFonts w:ascii="Arial" w:cs="Arial" w:hAnsi="Arial"/>
          <w:sz w:val="24"/>
          <w:szCs w:val="24"/>
          <w:lang w:val="es-ES"/>
        </w:rPr>
        <w:t xml:space="preserve">Año: 1977 Color: AZUL Matricula: C-09717 </w:t>
      </w:r>
    </w:p>
    <w:p>
      <w:pPr>
        <w:pStyle w:val="style0"/>
      </w:pPr>
      <w:r>
        <w:rPr>
          <w:rFonts w:ascii="Arial" w:cs="Arial" w:hAnsi="Arial"/>
          <w:sz w:val="24"/>
          <w:szCs w:val="24"/>
          <w:lang w:val="es-ES"/>
        </w:rPr>
      </w:r>
    </w:p>
    <w:p>
      <w:pPr>
        <w:pStyle w:val="style0"/>
      </w:pPr>
      <w:r>
        <w:rPr>
          <w:rFonts w:ascii="Arial" w:cs="Arial" w:hAnsi="Arial"/>
          <w:sz w:val="24"/>
          <w:szCs w:val="24"/>
          <w:lang w:val="es-ES"/>
        </w:rPr>
      </w:r>
    </w:p>
    <w:p>
      <w:pPr>
        <w:pStyle w:val="style0"/>
      </w:pPr>
      <w:r>
        <w:rPr>
          <w:rFonts w:ascii="Arial" w:cs="Arial" w:hAnsi="Arial"/>
          <w:sz w:val="24"/>
          <w:szCs w:val="24"/>
          <w:lang w:eastAsia="es-VE" w:val="es-ES"/>
        </w:rPr>
        <w:pict>
          <v:rect id="shape_0" style="position:absolute;margin-left:-13.9pt;margin-top:11.1pt;width:448.25pt;height:344.55pt">
            <v:wrap v:type="none"/>
            <v:fill detectmouseclick="t"/>
            <v:stroke color="black" joinstyle="miter" weight="57240"/>
          </v:rect>
        </w:pict>
      </w:r>
    </w:p>
    <w:p>
      <w:pPr>
        <w:pStyle w:val="style0"/>
      </w:pPr>
      <w:r>
        <w:rPr>
          <w:rFonts w:ascii="Arial" w:cs="Arial" w:hAnsi="Arial"/>
          <w:sz w:val="24"/>
          <w:szCs w:val="24"/>
          <w:lang w:eastAsia="es-VE" w:val="es-VE"/>
        </w:rPr>
        <w:drawing>
          <wp:inline distB="0" distL="0" distR="0" distT="0">
            <wp:extent cx="5204460" cy="3907155"/>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93"/>
                    <a:srcRect/>
                    <a:stretch>
                      <a:fillRect/>
                    </a:stretch>
                  </pic:blipFill>
                  <pic:spPr bwMode="auto">
                    <a:xfrm>
                      <a:off x="0" y="0"/>
                      <a:ext cx="5204460" cy="3907155"/>
                    </a:xfrm>
                    <a:prstGeom prst="rect">
                      <a:avLst/>
                    </a:prstGeom>
                    <a:noFill/>
                    <a:ln w="9525">
                      <a:noFill/>
                      <a:miter lim="800000"/>
                      <a:headEnd/>
                      <a:tailEnd/>
                    </a:ln>
                  </pic:spPr>
                </pic:pic>
              </a:graphicData>
            </a:graphic>
          </wp:inline>
        </w:drawing>
      </w:r>
    </w:p>
    <w:p>
      <w:pPr>
        <w:pStyle w:val="style0"/>
      </w:pPr>
      <w:r>
        <w:rPr>
          <w:rFonts w:ascii="Arial" w:cs="Arial" w:hAnsi="Arial"/>
          <w:sz w:val="24"/>
          <w:szCs w:val="24"/>
          <w:lang w:val="es-ES"/>
        </w:rPr>
      </w:r>
    </w:p>
    <w:p>
      <w:pPr>
        <w:pStyle w:val="style0"/>
      </w:pPr>
      <w:r>
        <w:rPr>
          <w:rFonts w:ascii="Arial" w:cs="Arial" w:hAnsi="Arial"/>
          <w:sz w:val="24"/>
          <w:szCs w:val="24"/>
          <w:lang w:val="es-ES"/>
        </w:rPr>
      </w:r>
    </w:p>
    <w:p>
      <w:pPr>
        <w:pStyle w:val="style0"/>
      </w:pPr>
      <w:r>
        <w:rPr>
          <w:rFonts w:ascii="Arial" w:cs="Arial" w:hAnsi="Arial"/>
          <w:sz w:val="24"/>
          <w:szCs w:val="24"/>
          <w:lang w:val="es-ES"/>
        </w:rPr>
      </w:r>
    </w:p>
    <w:p>
      <w:pPr>
        <w:pStyle w:val="style0"/>
      </w:pPr>
      <w:r>
        <w:rPr>
          <w:rFonts w:ascii="Arial" w:cs="Arial" w:hAnsi="Arial"/>
          <w:sz w:val="24"/>
          <w:szCs w:val="24"/>
          <w:lang w:val="es-ES"/>
        </w:rPr>
      </w:r>
    </w:p>
    <w:p>
      <w:pPr>
        <w:pStyle w:val="style0"/>
      </w:pPr>
      <w:r>
        <w:rPr>
          <w:rFonts w:ascii="Arial" w:cs="Arial" w:hAnsi="Arial"/>
          <w:sz w:val="24"/>
          <w:szCs w:val="24"/>
          <w:lang w:val="es-ES"/>
        </w:rPr>
      </w:r>
    </w:p>
    <w:p>
      <w:pPr>
        <w:pStyle w:val="style0"/>
      </w:pPr>
      <w:r>
        <w:rPr>
          <w:rFonts w:ascii="Arial" w:cs="Arial" w:hAnsi="Arial"/>
          <w:sz w:val="24"/>
          <w:szCs w:val="24"/>
          <w:lang w:val="es-ES"/>
        </w:rPr>
      </w:r>
    </w:p>
    <w:p>
      <w:pPr>
        <w:pStyle w:val="style0"/>
        <w:jc w:val="center"/>
      </w:pPr>
      <w:r>
        <w:rPr>
          <w:rFonts w:ascii="Arial" w:cs="Arial" w:hAnsi="Arial"/>
          <w:sz w:val="24"/>
          <w:szCs w:val="24"/>
          <w:lang w:val="es-ES"/>
        </w:rPr>
        <w:t xml:space="preserve">Clase </w:t>
      </w:r>
      <w:r>
        <w:rPr>
          <w:rFonts w:ascii="Arial" w:cs="Arial" w:hAnsi="Arial"/>
          <w:sz w:val="24"/>
          <w:szCs w:val="24"/>
          <w:u w:val="single"/>
          <w:lang w:val="es-ES"/>
        </w:rPr>
        <w:t>CAMION</w:t>
      </w:r>
      <w:r>
        <w:rPr>
          <w:rFonts w:ascii="Arial" w:cs="Arial" w:hAnsi="Arial"/>
          <w:sz w:val="24"/>
          <w:szCs w:val="24"/>
          <w:lang w:val="es-ES"/>
        </w:rPr>
        <w:t xml:space="preserve"> Marca: </w:t>
      </w:r>
      <w:r>
        <w:rPr>
          <w:rFonts w:ascii="Arial" w:cs="Arial" w:hAnsi="Arial"/>
          <w:sz w:val="24"/>
          <w:szCs w:val="24"/>
          <w:u w:val="single"/>
          <w:lang w:val="es-ES"/>
        </w:rPr>
        <w:t xml:space="preserve">FORD  </w:t>
      </w:r>
    </w:p>
    <w:p>
      <w:pPr>
        <w:pStyle w:val="style0"/>
        <w:jc w:val="center"/>
      </w:pPr>
      <w:r>
        <w:rPr>
          <w:rFonts w:ascii="Arial" w:cs="Arial" w:hAnsi="Arial"/>
          <w:sz w:val="24"/>
          <w:szCs w:val="24"/>
          <w:lang w:val="es-ES"/>
        </w:rPr>
        <w:t xml:space="preserve">Modelo: F-350 Año: 1975 _Color: </w:t>
      </w:r>
      <w:r>
        <w:rPr>
          <w:rFonts w:ascii="Arial" w:cs="Arial" w:hAnsi="Arial"/>
          <w:sz w:val="24"/>
          <w:szCs w:val="24"/>
          <w:u w:val="single"/>
          <w:lang w:val="es-ES"/>
        </w:rPr>
        <w:t>BLANCO-NARANJA</w:t>
      </w:r>
      <w:r>
        <w:rPr>
          <w:rFonts w:ascii="Arial" w:cs="Arial" w:hAnsi="Arial"/>
          <w:sz w:val="24"/>
          <w:szCs w:val="24"/>
          <w:lang w:val="es-ES"/>
        </w:rPr>
        <w:t xml:space="preserve"> Matricula: P-01643</w:t>
      </w:r>
    </w:p>
    <w:p>
      <w:pPr>
        <w:pStyle w:val="style0"/>
      </w:pPr>
      <w:r>
        <w:rPr>
          <w:rFonts w:ascii="Arial" w:cs="Arial" w:hAnsi="Arial"/>
          <w:sz w:val="24"/>
          <w:szCs w:val="24"/>
          <w:lang w:eastAsia="es-VE" w:val="es-ES"/>
        </w:rPr>
        <w:pict>
          <v:rect id="shape_0" style="position:absolute;margin-left:-13.9pt;margin-top:25.2pt;width:448.25pt;height:344.7pt">
            <v:wrap v:type="none"/>
            <v:fill detectmouseclick="t"/>
            <v:stroke color="black" joinstyle="miter" weight="57240"/>
          </v:rect>
        </w:pict>
      </w:r>
    </w:p>
    <w:p>
      <w:pPr>
        <w:pStyle w:val="style0"/>
      </w:pPr>
      <w:r>
        <w:rPr>
          <w:rFonts w:ascii="Arial" w:cs="Arial" w:hAnsi="Arial"/>
          <w:sz w:val="24"/>
          <w:szCs w:val="24"/>
          <w:lang w:val="es-ES"/>
        </w:rPr>
      </w:r>
    </w:p>
    <w:p>
      <w:pPr>
        <w:pStyle w:val="style0"/>
      </w:pPr>
      <w:r>
        <w:rPr>
          <w:rFonts w:ascii="Arial" w:cs="Arial" w:hAnsi="Arial"/>
          <w:sz w:val="24"/>
          <w:szCs w:val="24"/>
          <w:lang w:eastAsia="es-VE" w:val="es-VE"/>
        </w:rPr>
        <w:drawing>
          <wp:inline distB="0" distL="0" distR="0" distT="0">
            <wp:extent cx="5063490" cy="3803650"/>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94"/>
                    <a:srcRect/>
                    <a:stretch>
                      <a:fillRect/>
                    </a:stretch>
                  </pic:blipFill>
                  <pic:spPr bwMode="auto">
                    <a:xfrm>
                      <a:off x="0" y="0"/>
                      <a:ext cx="5063490" cy="3803650"/>
                    </a:xfrm>
                    <a:prstGeom prst="rect">
                      <a:avLst/>
                    </a:prstGeom>
                    <a:noFill/>
                    <a:ln w="9525">
                      <a:noFill/>
                      <a:miter lim="800000"/>
                      <a:headEnd/>
                      <a:tailEnd/>
                    </a:ln>
                  </pic:spPr>
                </pic:pic>
              </a:graphicData>
            </a:graphic>
          </wp:inline>
        </w:drawing>
      </w:r>
    </w:p>
    <w:p>
      <w:pPr>
        <w:pStyle w:val="style0"/>
      </w:pPr>
      <w:r>
        <w:rPr>
          <w:rFonts w:ascii="Arial" w:cs="Arial" w:hAnsi="Arial"/>
          <w:sz w:val="24"/>
          <w:szCs w:val="24"/>
          <w:lang w:val="es-ES"/>
        </w:rPr>
      </w:r>
    </w:p>
    <w:p>
      <w:pPr>
        <w:pStyle w:val="style0"/>
      </w:pPr>
      <w:r>
        <w:rPr>
          <w:rFonts w:ascii="Arial" w:cs="Arial" w:hAnsi="Arial"/>
          <w:sz w:val="24"/>
          <w:szCs w:val="24"/>
          <w:lang w:val="es-ES"/>
        </w:rPr>
      </w:r>
    </w:p>
    <w:p>
      <w:pPr>
        <w:pStyle w:val="style0"/>
      </w:pPr>
      <w:r>
        <w:rPr>
          <w:rFonts w:ascii="Arial" w:cs="Arial" w:hAnsi="Arial"/>
          <w:sz w:val="24"/>
          <w:szCs w:val="24"/>
          <w:lang w:val="es-ES"/>
        </w:rPr>
      </w:r>
    </w:p>
    <w:p>
      <w:pPr>
        <w:pStyle w:val="style0"/>
      </w:pPr>
      <w:r>
        <w:rPr>
          <w:rFonts w:ascii="Arial" w:cs="Arial" w:hAnsi="Arial"/>
          <w:sz w:val="24"/>
          <w:szCs w:val="24"/>
          <w:lang w:val="es-ES"/>
        </w:rPr>
      </w:r>
    </w:p>
    <w:p>
      <w:pPr>
        <w:pStyle w:val="style0"/>
      </w:pPr>
      <w:r>
        <w:rPr>
          <w:rFonts w:ascii="Arial" w:cs="Arial" w:hAnsi="Arial"/>
          <w:sz w:val="24"/>
          <w:szCs w:val="24"/>
          <w:lang w:val="es-ES"/>
        </w:rPr>
      </w:r>
    </w:p>
    <w:p>
      <w:pPr>
        <w:pStyle w:val="style0"/>
      </w:pPr>
      <w:r>
        <w:rPr>
          <w:rFonts w:ascii="Arial" w:cs="Arial" w:hAnsi="Arial"/>
          <w:sz w:val="24"/>
          <w:szCs w:val="24"/>
          <w:lang w:val="es-ES"/>
        </w:rPr>
      </w:r>
    </w:p>
    <w:p>
      <w:pPr>
        <w:pStyle w:val="style0"/>
      </w:pPr>
      <w:r>
        <w:rPr>
          <w:rFonts w:ascii="Arial" w:cs="Arial" w:hAnsi="Arial"/>
          <w:sz w:val="24"/>
          <w:szCs w:val="24"/>
          <w:lang w:val="es-ES"/>
        </w:rPr>
      </w:r>
    </w:p>
    <w:p>
      <w:pPr>
        <w:pStyle w:val="style0"/>
        <w:jc w:val="center"/>
      </w:pPr>
      <w:r>
        <w:rPr>
          <w:rFonts w:ascii="Arial" w:cs="Arial" w:hAnsi="Arial"/>
          <w:sz w:val="24"/>
          <w:szCs w:val="24"/>
          <w:lang w:val="es-ES"/>
        </w:rPr>
        <w:t xml:space="preserve">Clase </w:t>
      </w:r>
      <w:r>
        <w:rPr>
          <w:rFonts w:ascii="Arial" w:cs="Arial" w:hAnsi="Arial"/>
          <w:sz w:val="24"/>
          <w:szCs w:val="24"/>
          <w:u w:val="single"/>
          <w:lang w:val="es-ES"/>
        </w:rPr>
        <w:t>CAMION</w:t>
      </w:r>
      <w:r>
        <w:rPr>
          <w:rFonts w:ascii="Arial" w:cs="Arial" w:hAnsi="Arial"/>
          <w:sz w:val="24"/>
          <w:szCs w:val="24"/>
          <w:lang w:val="es-ES"/>
        </w:rPr>
        <w:t xml:space="preserve"> Marca: </w:t>
      </w:r>
      <w:r>
        <w:rPr>
          <w:rFonts w:ascii="Arial" w:cs="Arial" w:hAnsi="Arial"/>
          <w:sz w:val="24"/>
          <w:szCs w:val="24"/>
          <w:u w:val="single"/>
          <w:lang w:val="es-ES"/>
        </w:rPr>
        <w:t xml:space="preserve">INTERMECA  </w:t>
      </w:r>
    </w:p>
    <w:p>
      <w:pPr>
        <w:pStyle w:val="style0"/>
        <w:jc w:val="center"/>
      </w:pPr>
      <w:r>
        <w:rPr>
          <w:rFonts w:ascii="Arial" w:cs="Arial" w:hAnsi="Arial"/>
          <w:sz w:val="24"/>
          <w:szCs w:val="24"/>
          <w:lang w:val="es-ES"/>
        </w:rPr>
        <w:t xml:space="preserve">Año: 1983 _Color: </w:t>
      </w:r>
      <w:r>
        <w:rPr>
          <w:rFonts w:ascii="Arial" w:cs="Arial" w:hAnsi="Arial"/>
          <w:sz w:val="24"/>
          <w:szCs w:val="24"/>
          <w:u w:val="single"/>
          <w:lang w:val="es-ES"/>
        </w:rPr>
        <w:t>NEGRO-NARANJA</w:t>
      </w:r>
      <w:r>
        <w:rPr>
          <w:rFonts w:ascii="Arial" w:cs="Arial" w:hAnsi="Arial"/>
          <w:sz w:val="24"/>
          <w:szCs w:val="24"/>
          <w:lang w:val="es-ES"/>
        </w:rPr>
        <w:t xml:space="preserve"> Matricula: 901-XGF</w:t>
      </w:r>
    </w:p>
    <w:p>
      <w:pPr>
        <w:pStyle w:val="style0"/>
        <w:jc w:val="center"/>
      </w:pPr>
      <w:r>
        <w:rPr>
          <w:rFonts w:ascii="Arial" w:cs="Arial" w:hAnsi="Arial"/>
          <w:sz w:val="24"/>
          <w:szCs w:val="24"/>
          <w:lang w:val="es-ES"/>
        </w:rPr>
      </w:r>
    </w:p>
    <w:p>
      <w:pPr>
        <w:pStyle w:val="style0"/>
        <w:jc w:val="center"/>
      </w:pPr>
      <w:r>
        <w:rPr>
          <w:rFonts w:ascii="Arial" w:cs="Arial" w:hAnsi="Arial"/>
          <w:sz w:val="24"/>
          <w:szCs w:val="24"/>
          <w:lang w:eastAsia="es-VE" w:val="es-ES"/>
        </w:rPr>
        <w:pict>
          <v:rect id="shape_0" style="position:absolute;margin-left:-13.9pt;margin-top:13.4pt;width:459.35pt;height:341.1pt">
            <v:wrap v:type="none"/>
            <v:fill detectmouseclick="t"/>
            <v:stroke color="black" joinstyle="miter" weight="57240"/>
          </v:rect>
        </w:pict>
      </w:r>
    </w:p>
    <w:p>
      <w:pPr>
        <w:pStyle w:val="style0"/>
        <w:jc w:val="center"/>
      </w:pPr>
      <w:r>
        <w:rPr>
          <w:rFonts w:ascii="Arial" w:cs="Arial" w:hAnsi="Arial"/>
          <w:sz w:val="24"/>
          <w:szCs w:val="24"/>
          <w:lang w:eastAsia="es-VE" w:val="es-VE"/>
        </w:rPr>
        <w:drawing>
          <wp:inline distB="0" distL="0" distR="0" distT="0">
            <wp:extent cx="5131435" cy="3854450"/>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95"/>
                    <a:srcRect/>
                    <a:stretch>
                      <a:fillRect/>
                    </a:stretch>
                  </pic:blipFill>
                  <pic:spPr bwMode="auto">
                    <a:xfrm>
                      <a:off x="0" y="0"/>
                      <a:ext cx="5131435" cy="3854450"/>
                    </a:xfrm>
                    <a:prstGeom prst="rect">
                      <a:avLst/>
                    </a:prstGeom>
                    <a:noFill/>
                    <a:ln w="9525">
                      <a:noFill/>
                      <a:miter lim="800000"/>
                      <a:headEnd/>
                      <a:tailEnd/>
                    </a:ln>
                  </pic:spPr>
                </pic:pic>
              </a:graphicData>
            </a:graphic>
          </wp:inline>
        </w:drawing>
      </w:r>
    </w:p>
    <w:p>
      <w:pPr>
        <w:pStyle w:val="style0"/>
        <w:jc w:val="center"/>
      </w:pPr>
      <w:r>
        <w:rPr>
          <w:rFonts w:ascii="Arial" w:cs="Arial" w:hAnsi="Arial"/>
          <w:sz w:val="24"/>
          <w:szCs w:val="24"/>
          <w:lang w:val="es-ES"/>
        </w:rPr>
      </w:r>
    </w:p>
    <w:p>
      <w:pPr>
        <w:pStyle w:val="style0"/>
        <w:jc w:val="center"/>
      </w:pPr>
      <w:r>
        <w:rPr>
          <w:rFonts w:ascii="Arial" w:cs="Arial" w:hAnsi="Arial"/>
          <w:sz w:val="24"/>
          <w:szCs w:val="24"/>
          <w:lang w:val="es-ES"/>
        </w:rPr>
      </w:r>
    </w:p>
    <w:p>
      <w:pPr>
        <w:pStyle w:val="style0"/>
        <w:jc w:val="center"/>
      </w:pPr>
      <w:r>
        <w:rPr>
          <w:rFonts w:ascii="Arial" w:cs="Arial" w:hAnsi="Arial"/>
          <w:sz w:val="24"/>
          <w:szCs w:val="24"/>
          <w:lang w:val="es-ES"/>
        </w:rPr>
      </w:r>
    </w:p>
    <w:p>
      <w:pPr>
        <w:pStyle w:val="style0"/>
        <w:jc w:val="center"/>
      </w:pPr>
      <w:r>
        <w:rPr>
          <w:rFonts w:ascii="Arial" w:cs="Arial" w:hAnsi="Arial"/>
          <w:sz w:val="24"/>
          <w:szCs w:val="24"/>
          <w:lang w:val="es-ES"/>
        </w:rPr>
      </w:r>
    </w:p>
    <w:p>
      <w:pPr>
        <w:pStyle w:val="style0"/>
        <w:jc w:val="center"/>
      </w:pPr>
      <w:r>
        <w:rPr>
          <w:rFonts w:ascii="Arial" w:cs="Arial" w:hAnsi="Arial"/>
          <w:sz w:val="24"/>
          <w:szCs w:val="24"/>
          <w:lang w:val="es-ES"/>
        </w:rPr>
      </w:r>
    </w:p>
    <w:p>
      <w:pPr>
        <w:pStyle w:val="style0"/>
        <w:jc w:val="center"/>
      </w:pPr>
      <w:r>
        <w:rPr>
          <w:rFonts w:ascii="Arial" w:cs="Arial" w:hAnsi="Arial"/>
          <w:sz w:val="24"/>
          <w:szCs w:val="24"/>
          <w:lang w:val="es-ES"/>
        </w:rPr>
      </w:r>
    </w:p>
    <w:p>
      <w:pPr>
        <w:pStyle w:val="style0"/>
        <w:jc w:val="center"/>
      </w:pPr>
      <w:r>
        <w:rPr>
          <w:rFonts w:ascii="Arial" w:cs="Arial" w:hAnsi="Arial"/>
          <w:sz w:val="24"/>
          <w:szCs w:val="24"/>
          <w:lang w:val="es-ES"/>
        </w:rPr>
      </w:r>
    </w:p>
    <w:p>
      <w:pPr>
        <w:pStyle w:val="style0"/>
        <w:jc w:val="center"/>
      </w:pPr>
      <w:r>
        <w:rPr>
          <w:rFonts w:ascii="Arial" w:cs="Arial" w:hAnsi="Arial"/>
          <w:sz w:val="24"/>
          <w:szCs w:val="24"/>
          <w:lang w:val="es-ES"/>
        </w:rPr>
        <w:t xml:space="preserve">Clase </w:t>
      </w:r>
      <w:r>
        <w:rPr>
          <w:rFonts w:ascii="Arial" w:cs="Arial" w:hAnsi="Arial"/>
          <w:sz w:val="24"/>
          <w:szCs w:val="24"/>
          <w:u w:val="single"/>
          <w:lang w:val="es-ES"/>
        </w:rPr>
        <w:t>CAMION</w:t>
      </w:r>
      <w:r>
        <w:rPr>
          <w:rFonts w:ascii="Arial" w:cs="Arial" w:hAnsi="Arial"/>
          <w:sz w:val="24"/>
          <w:szCs w:val="24"/>
          <w:lang w:val="es-ES"/>
        </w:rPr>
        <w:t xml:space="preserve"> Marca: </w:t>
      </w:r>
      <w:r>
        <w:rPr>
          <w:rFonts w:ascii="Arial" w:cs="Arial" w:hAnsi="Arial"/>
          <w:sz w:val="24"/>
          <w:szCs w:val="24"/>
          <w:u w:val="single"/>
          <w:lang w:val="es-ES"/>
        </w:rPr>
        <w:t xml:space="preserve">FORD  </w:t>
      </w:r>
    </w:p>
    <w:p>
      <w:pPr>
        <w:pStyle w:val="style0"/>
        <w:jc w:val="center"/>
      </w:pPr>
      <w:r>
        <w:rPr>
          <w:rFonts w:ascii="Arial" w:cs="Arial" w:hAnsi="Arial"/>
          <w:sz w:val="24"/>
          <w:szCs w:val="24"/>
          <w:lang w:val="es-ES"/>
        </w:rPr>
        <w:t xml:space="preserve">Año: 1983 _Color: </w:t>
      </w:r>
      <w:r>
        <w:rPr>
          <w:rFonts w:ascii="Arial" w:cs="Arial" w:hAnsi="Arial"/>
          <w:sz w:val="24"/>
          <w:szCs w:val="24"/>
          <w:u w:val="single"/>
          <w:lang w:val="es-ES"/>
        </w:rPr>
        <w:t>NARANJA</w:t>
      </w:r>
      <w:r>
        <w:rPr>
          <w:rFonts w:ascii="Arial" w:cs="Arial" w:hAnsi="Arial"/>
          <w:sz w:val="24"/>
          <w:szCs w:val="24"/>
          <w:lang w:val="es-ES"/>
        </w:rPr>
        <w:t xml:space="preserve"> Matricula: PO-4356</w:t>
      </w:r>
    </w:p>
    <w:p>
      <w:pPr>
        <w:pStyle w:val="style0"/>
        <w:jc w:val="center"/>
      </w:pPr>
      <w:r>
        <w:rPr>
          <w:rFonts w:ascii="Arial" w:cs="Arial" w:hAnsi="Arial"/>
          <w:sz w:val="24"/>
          <w:szCs w:val="24"/>
          <w:lang w:val="es-ES"/>
        </w:rPr>
      </w:r>
    </w:p>
    <w:p>
      <w:pPr>
        <w:pStyle w:val="style0"/>
        <w:jc w:val="center"/>
      </w:pPr>
      <w:r>
        <w:rPr>
          <w:rFonts w:ascii="Arial" w:cs="Arial" w:hAnsi="Arial"/>
          <w:sz w:val="24"/>
          <w:szCs w:val="24"/>
          <w:lang w:eastAsia="es-VE" w:val="es-ES"/>
        </w:rPr>
        <w:pict>
          <v:rect id="shape_0" style="position:absolute;margin-left:-13.9pt;margin-top:4.55pt;width:468.8pt;height:377.1pt">
            <v:wrap v:type="none"/>
            <v:fill detectmouseclick="t"/>
            <v:stroke color="black" joinstyle="miter" weight="57240"/>
          </v:rect>
        </w:pict>
      </w:r>
    </w:p>
    <w:p>
      <w:pPr>
        <w:pStyle w:val="style0"/>
        <w:jc w:val="center"/>
      </w:pPr>
      <w:r>
        <w:rPr>
          <w:rFonts w:ascii="Arial" w:cs="Arial" w:hAnsi="Arial"/>
          <w:sz w:val="24"/>
          <w:szCs w:val="24"/>
          <w:lang w:eastAsia="es-VE" w:val="es-VE"/>
        </w:rPr>
        <w:drawing>
          <wp:inline distB="0" distL="0" distR="0" distT="0">
            <wp:extent cx="5480050" cy="4114800"/>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96"/>
                    <a:srcRect/>
                    <a:stretch>
                      <a:fillRect/>
                    </a:stretch>
                  </pic:blipFill>
                  <pic:spPr bwMode="auto">
                    <a:xfrm>
                      <a:off x="0" y="0"/>
                      <a:ext cx="5480050" cy="4114800"/>
                    </a:xfrm>
                    <a:prstGeom prst="rect">
                      <a:avLst/>
                    </a:prstGeom>
                    <a:noFill/>
                    <a:ln w="9525">
                      <a:noFill/>
                      <a:miter lim="800000"/>
                      <a:headEnd/>
                      <a:tailEnd/>
                    </a:ln>
                  </pic:spPr>
                </pic:pic>
              </a:graphicData>
            </a:graphic>
          </wp:inline>
        </w:drawing>
      </w:r>
    </w:p>
    <w:p>
      <w:pPr>
        <w:pStyle w:val="style0"/>
        <w:jc w:val="center"/>
      </w:pPr>
      <w:r>
        <w:rPr>
          <w:rFonts w:ascii="Arial" w:cs="Arial" w:hAnsi="Arial"/>
          <w:sz w:val="24"/>
          <w:szCs w:val="24"/>
          <w:lang w:val="es-ES"/>
        </w:rPr>
      </w:r>
    </w:p>
    <w:p>
      <w:pPr>
        <w:pStyle w:val="style0"/>
        <w:jc w:val="center"/>
      </w:pPr>
      <w:r>
        <w:rPr>
          <w:rFonts w:ascii="Arial" w:cs="Arial" w:hAnsi="Arial"/>
          <w:sz w:val="24"/>
          <w:szCs w:val="24"/>
          <w:lang w:val="es-ES"/>
        </w:rPr>
      </w:r>
    </w:p>
    <w:p>
      <w:pPr>
        <w:pStyle w:val="style0"/>
        <w:jc w:val="center"/>
      </w:pPr>
      <w:r>
        <w:rPr>
          <w:rFonts w:ascii="Arial" w:cs="Arial" w:hAnsi="Arial"/>
          <w:sz w:val="24"/>
          <w:szCs w:val="24"/>
          <w:lang w:val="es-ES"/>
        </w:rPr>
      </w:r>
    </w:p>
    <w:p>
      <w:pPr>
        <w:pStyle w:val="style0"/>
        <w:jc w:val="center"/>
      </w:pPr>
      <w:r>
        <w:rPr>
          <w:rFonts w:ascii="Arial" w:cs="Arial" w:hAnsi="Arial"/>
          <w:sz w:val="24"/>
          <w:szCs w:val="24"/>
          <w:lang w:val="es-ES"/>
        </w:rPr>
      </w:r>
    </w:p>
    <w:p>
      <w:pPr>
        <w:pStyle w:val="style0"/>
        <w:jc w:val="center"/>
      </w:pPr>
      <w:r>
        <w:rPr>
          <w:rFonts w:ascii="Arial" w:cs="Arial" w:hAnsi="Arial"/>
          <w:sz w:val="24"/>
          <w:szCs w:val="24"/>
          <w:lang w:val="es-ES"/>
        </w:rPr>
      </w:r>
    </w:p>
    <w:p>
      <w:pPr>
        <w:pStyle w:val="style0"/>
        <w:jc w:val="center"/>
      </w:pPr>
      <w:r>
        <w:rPr>
          <w:rFonts w:ascii="Arial" w:cs="Arial" w:hAnsi="Arial"/>
          <w:sz w:val="24"/>
          <w:szCs w:val="24"/>
          <w:lang w:val="es-ES"/>
        </w:rPr>
      </w:r>
    </w:p>
    <w:p>
      <w:pPr>
        <w:pStyle w:val="style0"/>
        <w:jc w:val="center"/>
      </w:pPr>
      <w:r>
        <w:rPr>
          <w:rFonts w:ascii="Arial" w:cs="Arial" w:hAnsi="Arial"/>
          <w:sz w:val="24"/>
          <w:szCs w:val="24"/>
          <w:lang w:val="es-ES"/>
        </w:rPr>
        <w:t xml:space="preserve">Clase </w:t>
      </w:r>
      <w:r>
        <w:rPr>
          <w:rFonts w:ascii="Arial" w:cs="Arial" w:hAnsi="Arial"/>
          <w:sz w:val="24"/>
          <w:szCs w:val="24"/>
          <w:u w:val="single"/>
          <w:lang w:val="es-ES"/>
        </w:rPr>
        <w:t>CAMION</w:t>
      </w:r>
      <w:r>
        <w:rPr>
          <w:rFonts w:ascii="Arial" w:cs="Arial" w:hAnsi="Arial"/>
          <w:sz w:val="24"/>
          <w:szCs w:val="24"/>
          <w:lang w:val="es-ES"/>
        </w:rPr>
        <w:t xml:space="preserve"> Marca: </w:t>
      </w:r>
      <w:r>
        <w:rPr>
          <w:rFonts w:ascii="Arial" w:cs="Arial" w:hAnsi="Arial"/>
          <w:sz w:val="24"/>
          <w:szCs w:val="24"/>
          <w:u w:val="single"/>
          <w:lang w:val="es-ES"/>
        </w:rPr>
        <w:t xml:space="preserve">AUTOGAGO </w:t>
      </w:r>
    </w:p>
    <w:p>
      <w:pPr>
        <w:pStyle w:val="style0"/>
        <w:jc w:val="center"/>
      </w:pPr>
      <w:r>
        <w:rPr>
          <w:rFonts w:ascii="Arial" w:cs="Arial" w:eastAsia="Arial" w:hAnsi="Arial"/>
          <w:sz w:val="24"/>
          <w:szCs w:val="24"/>
          <w:u w:val="single"/>
          <w:lang w:val="es-ES"/>
        </w:rPr>
        <w:t xml:space="preserve"> </w:t>
      </w:r>
      <w:r>
        <w:rPr>
          <w:rFonts w:ascii="Arial" w:cs="Arial" w:hAnsi="Arial"/>
          <w:sz w:val="24"/>
          <w:szCs w:val="24"/>
          <w:lang w:val="es-ES"/>
        </w:rPr>
        <w:t xml:space="preserve">Año: 1995 _Color: </w:t>
      </w:r>
      <w:r>
        <w:rPr>
          <w:rFonts w:ascii="Arial" w:cs="Arial" w:hAnsi="Arial"/>
          <w:sz w:val="24"/>
          <w:szCs w:val="24"/>
          <w:u w:val="single"/>
          <w:lang w:val="es-ES"/>
        </w:rPr>
        <w:t>BEIGE</w:t>
      </w:r>
      <w:r>
        <w:rPr>
          <w:rFonts w:ascii="Arial" w:cs="Arial" w:hAnsi="Arial"/>
          <w:sz w:val="24"/>
          <w:szCs w:val="24"/>
          <w:lang w:val="es-ES"/>
        </w:rPr>
        <w:t xml:space="preserve"> Matricula: 200-XGF</w:t>
      </w:r>
    </w:p>
    <w:p>
      <w:pPr>
        <w:pStyle w:val="style0"/>
        <w:jc w:val="center"/>
      </w:pPr>
      <w:r>
        <w:rPr>
          <w:rFonts w:ascii="Arial" w:cs="Arial" w:hAnsi="Arial"/>
          <w:sz w:val="24"/>
          <w:szCs w:val="24"/>
          <w:lang w:val="es-ES"/>
        </w:rPr>
      </w:r>
    </w:p>
    <w:p>
      <w:pPr>
        <w:pStyle w:val="style0"/>
        <w:jc w:val="center"/>
      </w:pPr>
      <w:r>
        <w:rPr>
          <w:rFonts w:ascii="Arial" w:cs="Arial" w:hAnsi="Arial"/>
          <w:sz w:val="24"/>
          <w:szCs w:val="24"/>
          <w:lang w:eastAsia="es-VE" w:val="es-ES"/>
        </w:rPr>
        <w:pict>
          <v:rect id="shape_0" style="position:absolute;margin-left:-2.75pt;margin-top:8.65pt;width:436.2pt;height:336.35pt">
            <v:wrap v:type="none"/>
            <v:fill detectmouseclick="t"/>
            <v:stroke color="black" joinstyle="miter" weight="57240"/>
          </v:rect>
        </w:pict>
      </w:r>
    </w:p>
    <w:p>
      <w:pPr>
        <w:pStyle w:val="style0"/>
        <w:jc w:val="center"/>
      </w:pPr>
      <w:r>
        <w:rPr>
          <w:rFonts w:ascii="Arial" w:cs="Arial" w:hAnsi="Arial"/>
          <w:sz w:val="24"/>
          <w:szCs w:val="24"/>
          <w:lang w:eastAsia="es-VE" w:val="es-VE"/>
        </w:rPr>
        <w:drawing>
          <wp:inline distB="0" distL="0" distR="0" distT="0">
            <wp:extent cx="4898390" cy="3679825"/>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97"/>
                    <a:srcRect/>
                    <a:stretch>
                      <a:fillRect/>
                    </a:stretch>
                  </pic:blipFill>
                  <pic:spPr bwMode="auto">
                    <a:xfrm>
                      <a:off x="0" y="0"/>
                      <a:ext cx="4898390" cy="3679825"/>
                    </a:xfrm>
                    <a:prstGeom prst="rect">
                      <a:avLst/>
                    </a:prstGeom>
                    <a:noFill/>
                    <a:ln w="9525">
                      <a:noFill/>
                      <a:miter lim="800000"/>
                      <a:headEnd/>
                      <a:tailEnd/>
                    </a:ln>
                  </pic:spPr>
                </pic:pic>
              </a:graphicData>
            </a:graphic>
          </wp:inline>
        </w:drawing>
      </w:r>
    </w:p>
    <w:p>
      <w:pPr>
        <w:pStyle w:val="style0"/>
        <w:jc w:val="center"/>
      </w:pPr>
      <w:r>
        <w:rPr>
          <w:rFonts w:ascii="Arial" w:cs="Arial" w:hAnsi="Arial"/>
          <w:sz w:val="24"/>
          <w:szCs w:val="24"/>
          <w:lang w:val="es-ES"/>
        </w:rPr>
      </w:r>
    </w:p>
    <w:p>
      <w:pPr>
        <w:pStyle w:val="style0"/>
        <w:jc w:val="center"/>
      </w:pPr>
      <w:r>
        <w:rPr>
          <w:rFonts w:ascii="Arial" w:cs="Arial" w:hAnsi="Arial"/>
          <w:sz w:val="24"/>
          <w:szCs w:val="24"/>
          <w:lang w:val="es-ES"/>
        </w:rPr>
      </w:r>
    </w:p>
    <w:p>
      <w:pPr>
        <w:pStyle w:val="style0"/>
        <w:jc w:val="center"/>
      </w:pPr>
      <w:r>
        <w:rPr>
          <w:rFonts w:ascii="Arial" w:cs="Arial" w:hAnsi="Arial"/>
          <w:sz w:val="24"/>
          <w:szCs w:val="24"/>
          <w:lang w:val="es-ES"/>
        </w:rPr>
      </w:r>
    </w:p>
    <w:p>
      <w:pPr>
        <w:pStyle w:val="style0"/>
        <w:jc w:val="center"/>
      </w:pPr>
      <w:r>
        <w:rPr>
          <w:rFonts w:ascii="Arial" w:cs="Arial" w:hAnsi="Arial"/>
          <w:sz w:val="24"/>
          <w:szCs w:val="24"/>
          <w:lang w:val="es-ES"/>
        </w:rPr>
      </w:r>
    </w:p>
    <w:p>
      <w:pPr>
        <w:pStyle w:val="style0"/>
        <w:jc w:val="center"/>
      </w:pPr>
      <w:r>
        <w:rPr>
          <w:rFonts w:ascii="Arial" w:cs="Arial" w:hAnsi="Arial"/>
          <w:sz w:val="24"/>
          <w:szCs w:val="24"/>
          <w:lang w:val="es-ES"/>
        </w:rPr>
      </w:r>
    </w:p>
    <w:p>
      <w:pPr>
        <w:pStyle w:val="style0"/>
        <w:jc w:val="center"/>
      </w:pPr>
      <w:r>
        <w:rPr>
          <w:rFonts w:ascii="Arial" w:cs="Arial" w:hAnsi="Arial"/>
          <w:sz w:val="24"/>
          <w:szCs w:val="24"/>
          <w:lang w:val="es-ES"/>
        </w:rPr>
      </w:r>
    </w:p>
    <w:p>
      <w:pPr>
        <w:pStyle w:val="style0"/>
        <w:jc w:val="center"/>
      </w:pPr>
      <w:r>
        <w:rPr>
          <w:rFonts w:ascii="Arial" w:cs="Arial" w:hAnsi="Arial"/>
          <w:sz w:val="24"/>
          <w:szCs w:val="24"/>
          <w:lang w:val="es-ES"/>
        </w:rPr>
      </w:r>
    </w:p>
    <w:p>
      <w:pPr>
        <w:pStyle w:val="style0"/>
        <w:jc w:val="center"/>
      </w:pPr>
      <w:r>
        <w:rPr>
          <w:rFonts w:ascii="Arial" w:cs="Arial" w:hAnsi="Arial"/>
          <w:sz w:val="24"/>
          <w:szCs w:val="24"/>
          <w:lang w:val="es-ES"/>
        </w:rPr>
        <w:t xml:space="preserve">Clase </w:t>
      </w:r>
      <w:r>
        <w:rPr>
          <w:rFonts w:ascii="Arial" w:cs="Arial" w:hAnsi="Arial"/>
          <w:sz w:val="24"/>
          <w:szCs w:val="24"/>
          <w:u w:val="single"/>
          <w:lang w:val="es-ES"/>
        </w:rPr>
        <w:t>CAMION</w:t>
      </w:r>
      <w:r>
        <w:rPr>
          <w:rFonts w:ascii="Arial" w:cs="Arial" w:hAnsi="Arial"/>
          <w:sz w:val="24"/>
          <w:szCs w:val="24"/>
          <w:lang w:val="es-ES"/>
        </w:rPr>
        <w:t xml:space="preserve"> Marca: </w:t>
      </w:r>
      <w:r>
        <w:rPr>
          <w:rFonts w:ascii="Arial" w:cs="Arial" w:hAnsi="Arial"/>
          <w:sz w:val="24"/>
          <w:szCs w:val="24"/>
          <w:u w:val="single"/>
          <w:lang w:val="es-ES"/>
        </w:rPr>
        <w:t xml:space="preserve">AUTOGAGO  </w:t>
      </w:r>
    </w:p>
    <w:p>
      <w:pPr>
        <w:pStyle w:val="style0"/>
        <w:jc w:val="center"/>
      </w:pPr>
      <w:r>
        <w:rPr>
          <w:rFonts w:ascii="Arial" w:cs="Arial" w:hAnsi="Arial"/>
          <w:sz w:val="24"/>
          <w:szCs w:val="24"/>
          <w:lang w:val="es-ES"/>
        </w:rPr>
        <w:t xml:space="preserve">Año: 1995 _Color: </w:t>
      </w:r>
      <w:r>
        <w:rPr>
          <w:rFonts w:ascii="Arial" w:cs="Arial" w:hAnsi="Arial"/>
          <w:sz w:val="24"/>
          <w:szCs w:val="24"/>
          <w:u w:val="single"/>
          <w:lang w:val="es-ES"/>
        </w:rPr>
        <w:t>BEIGE</w:t>
      </w:r>
      <w:r>
        <w:rPr>
          <w:rFonts w:ascii="Arial" w:cs="Arial" w:hAnsi="Arial"/>
          <w:sz w:val="24"/>
          <w:szCs w:val="24"/>
          <w:lang w:val="es-ES"/>
        </w:rPr>
        <w:t xml:space="preserve"> Matricula: 202-XGF</w:t>
      </w:r>
    </w:p>
    <w:p>
      <w:pPr>
        <w:pStyle w:val="style0"/>
        <w:jc w:val="center"/>
      </w:pPr>
      <w:r>
        <w:rPr>
          <w:rFonts w:ascii="Arial" w:cs="Arial" w:hAnsi="Arial"/>
          <w:sz w:val="24"/>
          <w:szCs w:val="24"/>
          <w:lang w:val="es-ES"/>
        </w:rPr>
      </w:r>
    </w:p>
    <w:p>
      <w:pPr>
        <w:pStyle w:val="style0"/>
        <w:jc w:val="center"/>
      </w:pPr>
      <w:r>
        <w:rPr>
          <w:rFonts w:ascii="Arial" w:cs="Arial" w:hAnsi="Arial"/>
          <w:sz w:val="24"/>
          <w:szCs w:val="24"/>
          <w:lang w:eastAsia="es-VE" w:val="es-ES"/>
        </w:rPr>
        <w:pict>
          <v:rect id="shape_0" style="position:absolute;margin-left:-1.9pt;margin-top:6.55pt;width:433.65pt;height:338.45pt">
            <v:wrap v:type="none"/>
            <v:fill detectmouseclick="t"/>
            <v:stroke color="black" joinstyle="miter" weight="57240"/>
          </v:rect>
        </w:pict>
      </w:r>
    </w:p>
    <w:p>
      <w:pPr>
        <w:pStyle w:val="style0"/>
        <w:jc w:val="center"/>
      </w:pPr>
      <w:r>
        <w:rPr>
          <w:rFonts w:ascii="Arial" w:cs="Arial" w:hAnsi="Arial"/>
          <w:sz w:val="24"/>
          <w:szCs w:val="24"/>
          <w:lang w:eastAsia="es-VE" w:val="es-VE"/>
        </w:rPr>
        <w:drawing>
          <wp:inline distB="0" distL="0" distR="0" distT="0">
            <wp:extent cx="5001260" cy="3754755"/>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98"/>
                    <a:srcRect/>
                    <a:stretch>
                      <a:fillRect/>
                    </a:stretch>
                  </pic:blipFill>
                  <pic:spPr bwMode="auto">
                    <a:xfrm>
                      <a:off x="0" y="0"/>
                      <a:ext cx="5001260" cy="3754755"/>
                    </a:xfrm>
                    <a:prstGeom prst="rect">
                      <a:avLst/>
                    </a:prstGeom>
                    <a:noFill/>
                    <a:ln w="9525">
                      <a:noFill/>
                      <a:miter lim="800000"/>
                      <a:headEnd/>
                      <a:tailEnd/>
                    </a:ln>
                  </pic:spPr>
                </pic:pic>
              </a:graphicData>
            </a:graphic>
          </wp:inline>
        </w:drawing>
      </w:r>
    </w:p>
    <w:p>
      <w:pPr>
        <w:pStyle w:val="style0"/>
        <w:jc w:val="center"/>
      </w:pPr>
      <w:r>
        <w:rPr>
          <w:rFonts w:ascii="Arial" w:cs="Arial" w:hAnsi="Arial"/>
          <w:sz w:val="24"/>
          <w:szCs w:val="24"/>
          <w:lang w:val="es-ES"/>
        </w:rPr>
      </w:r>
    </w:p>
    <w:p>
      <w:pPr>
        <w:pStyle w:val="style0"/>
        <w:jc w:val="center"/>
      </w:pPr>
      <w:r>
        <w:rPr>
          <w:rFonts w:ascii="Arial" w:cs="Arial" w:hAnsi="Arial"/>
          <w:sz w:val="24"/>
          <w:szCs w:val="24"/>
          <w:lang w:val="es-ES"/>
        </w:rPr>
      </w:r>
    </w:p>
    <w:p>
      <w:pPr>
        <w:pStyle w:val="style0"/>
        <w:jc w:val="center"/>
      </w:pPr>
      <w:r>
        <w:rPr>
          <w:rFonts w:ascii="Arial" w:cs="Arial" w:hAnsi="Arial"/>
          <w:sz w:val="24"/>
          <w:szCs w:val="24"/>
          <w:lang w:val="es-ES"/>
        </w:rPr>
      </w:r>
    </w:p>
    <w:p>
      <w:pPr>
        <w:pStyle w:val="style0"/>
        <w:jc w:val="center"/>
      </w:pPr>
      <w:r>
        <w:rPr>
          <w:rFonts w:ascii="Arial" w:cs="Arial" w:hAnsi="Arial"/>
          <w:sz w:val="24"/>
          <w:szCs w:val="24"/>
          <w:lang w:val="es-ES"/>
        </w:rPr>
      </w:r>
    </w:p>
    <w:p>
      <w:pPr>
        <w:pStyle w:val="style0"/>
        <w:jc w:val="center"/>
      </w:pPr>
      <w:r>
        <w:rPr>
          <w:rFonts w:ascii="Arial" w:cs="Arial" w:hAnsi="Arial"/>
          <w:sz w:val="24"/>
          <w:szCs w:val="24"/>
          <w:lang w:val="es-ES"/>
        </w:rPr>
      </w:r>
    </w:p>
    <w:p>
      <w:pPr>
        <w:pStyle w:val="style0"/>
        <w:jc w:val="center"/>
      </w:pPr>
      <w:r>
        <w:rPr>
          <w:rFonts w:ascii="Arial" w:cs="Arial" w:hAnsi="Arial"/>
          <w:sz w:val="24"/>
          <w:szCs w:val="24"/>
          <w:lang w:val="es-ES"/>
        </w:rPr>
      </w:r>
    </w:p>
    <w:p>
      <w:pPr>
        <w:pStyle w:val="style0"/>
        <w:jc w:val="center"/>
      </w:pPr>
      <w:r>
        <w:rPr>
          <w:rFonts w:ascii="Arial" w:cs="Arial" w:hAnsi="Arial"/>
          <w:sz w:val="24"/>
          <w:szCs w:val="24"/>
          <w:lang w:val="es-ES"/>
        </w:rPr>
      </w:r>
    </w:p>
    <w:p>
      <w:pPr>
        <w:pStyle w:val="style0"/>
        <w:jc w:val="center"/>
      </w:pPr>
      <w:r>
        <w:rPr>
          <w:rFonts w:ascii="Arial" w:cs="Arial" w:hAnsi="Arial"/>
          <w:sz w:val="24"/>
          <w:szCs w:val="24"/>
          <w:lang w:val="es-ES"/>
        </w:rPr>
        <w:t xml:space="preserve">lase </w:t>
      </w:r>
      <w:r>
        <w:rPr>
          <w:rFonts w:ascii="Arial" w:cs="Arial" w:hAnsi="Arial"/>
          <w:sz w:val="24"/>
          <w:szCs w:val="24"/>
          <w:u w:val="single"/>
          <w:lang w:val="es-ES"/>
        </w:rPr>
        <w:t>CAMION</w:t>
      </w:r>
      <w:r>
        <w:rPr>
          <w:rFonts w:ascii="Arial" w:cs="Arial" w:hAnsi="Arial"/>
          <w:sz w:val="24"/>
          <w:szCs w:val="24"/>
          <w:lang w:val="es-ES"/>
        </w:rPr>
        <w:t xml:space="preserve"> Marca: </w:t>
      </w:r>
      <w:r>
        <w:rPr>
          <w:rFonts w:ascii="Arial" w:cs="Arial" w:hAnsi="Arial"/>
          <w:sz w:val="24"/>
          <w:szCs w:val="24"/>
          <w:u w:val="single"/>
          <w:lang w:val="es-ES"/>
        </w:rPr>
        <w:t xml:space="preserve">AUTOGAGO  </w:t>
      </w:r>
    </w:p>
    <w:p>
      <w:pPr>
        <w:pStyle w:val="style0"/>
        <w:jc w:val="center"/>
      </w:pPr>
      <w:r>
        <w:rPr>
          <w:rFonts w:ascii="Arial" w:cs="Arial" w:hAnsi="Arial"/>
          <w:sz w:val="24"/>
          <w:szCs w:val="24"/>
          <w:lang w:val="es-ES"/>
        </w:rPr>
        <w:t xml:space="preserve">Año: 1995 _Color: </w:t>
      </w:r>
      <w:r>
        <w:rPr>
          <w:rFonts w:ascii="Arial" w:cs="Arial" w:hAnsi="Arial"/>
          <w:sz w:val="24"/>
          <w:szCs w:val="24"/>
          <w:u w:val="single"/>
          <w:lang w:val="es-ES"/>
        </w:rPr>
        <w:t>BEIGE</w:t>
      </w:r>
      <w:r>
        <w:rPr>
          <w:rFonts w:ascii="Arial" w:cs="Arial" w:hAnsi="Arial"/>
          <w:sz w:val="24"/>
          <w:szCs w:val="24"/>
          <w:lang w:val="es-ES"/>
        </w:rPr>
        <w:t xml:space="preserve"> Matricula: 203-XGF</w:t>
      </w:r>
    </w:p>
    <w:p>
      <w:pPr>
        <w:pStyle w:val="style0"/>
        <w:jc w:val="center"/>
      </w:pPr>
      <w:r>
        <w:rPr>
          <w:rFonts w:ascii="Arial" w:cs="Arial" w:hAnsi="Arial"/>
          <w:sz w:val="24"/>
          <w:szCs w:val="24"/>
          <w:lang w:val="es-ES"/>
        </w:rPr>
      </w:r>
    </w:p>
    <w:p>
      <w:pPr>
        <w:pStyle w:val="style0"/>
        <w:jc w:val="center"/>
      </w:pPr>
      <w:r>
        <w:rPr>
          <w:rFonts w:ascii="Arial" w:cs="Arial" w:hAnsi="Arial"/>
          <w:sz w:val="24"/>
          <w:szCs w:val="24"/>
          <w:lang w:eastAsia="es-VE" w:val="es-ES"/>
        </w:rPr>
        <w:pict>
          <v:rect id="shape_0" style="position:absolute;margin-left:-13.9pt;margin-top:8.15pt;width:453.35pt;height:362.65pt">
            <v:wrap v:type="none"/>
            <v:fill detectmouseclick="t"/>
            <v:stroke color="black" joinstyle="miter" weight="57240"/>
          </v:rect>
        </w:pict>
      </w:r>
    </w:p>
    <w:p>
      <w:pPr>
        <w:pStyle w:val="style0"/>
        <w:jc w:val="center"/>
      </w:pPr>
      <w:r>
        <w:rPr>
          <w:rFonts w:ascii="Arial" w:cs="Arial" w:hAnsi="Arial"/>
          <w:sz w:val="24"/>
          <w:szCs w:val="24"/>
          <w:lang w:eastAsia="es-VE" w:val="es-VE"/>
        </w:rPr>
        <w:drawing>
          <wp:inline distB="0" distL="0" distR="0" distT="0">
            <wp:extent cx="5217795" cy="3917315"/>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99"/>
                    <a:srcRect/>
                    <a:stretch>
                      <a:fillRect/>
                    </a:stretch>
                  </pic:blipFill>
                  <pic:spPr bwMode="auto">
                    <a:xfrm>
                      <a:off x="0" y="0"/>
                      <a:ext cx="5217795" cy="3917315"/>
                    </a:xfrm>
                    <a:prstGeom prst="rect">
                      <a:avLst/>
                    </a:prstGeom>
                    <a:noFill/>
                    <a:ln w="9525">
                      <a:noFill/>
                      <a:miter lim="800000"/>
                      <a:headEnd/>
                      <a:tailEnd/>
                    </a:ln>
                  </pic:spPr>
                </pic:pic>
              </a:graphicData>
            </a:graphic>
          </wp:inline>
        </w:drawing>
      </w:r>
    </w:p>
    <w:p>
      <w:pPr>
        <w:pStyle w:val="style0"/>
        <w:jc w:val="center"/>
      </w:pPr>
      <w:r>
        <w:rPr>
          <w:rFonts w:ascii="Arial" w:cs="Arial" w:hAnsi="Arial"/>
          <w:sz w:val="24"/>
          <w:szCs w:val="24"/>
          <w:lang w:val="es-ES"/>
        </w:rPr>
      </w:r>
    </w:p>
    <w:p>
      <w:pPr>
        <w:pStyle w:val="style0"/>
        <w:jc w:val="center"/>
      </w:pPr>
      <w:r>
        <w:rPr>
          <w:rFonts w:ascii="Arial" w:cs="Arial" w:hAnsi="Arial"/>
          <w:sz w:val="24"/>
          <w:szCs w:val="24"/>
          <w:lang w:val="es-ES"/>
        </w:rPr>
      </w:r>
    </w:p>
    <w:p>
      <w:pPr>
        <w:pStyle w:val="style0"/>
        <w:jc w:val="center"/>
      </w:pPr>
      <w:r>
        <w:rPr>
          <w:rFonts w:ascii="Arial" w:cs="Arial" w:hAnsi="Arial"/>
          <w:sz w:val="24"/>
          <w:szCs w:val="24"/>
          <w:lang w:val="es-ES"/>
        </w:rPr>
      </w:r>
    </w:p>
    <w:p>
      <w:pPr>
        <w:pStyle w:val="style0"/>
        <w:jc w:val="center"/>
      </w:pPr>
      <w:r>
        <w:rPr>
          <w:rFonts w:ascii="Arial" w:cs="Arial" w:hAnsi="Arial"/>
          <w:sz w:val="24"/>
          <w:szCs w:val="24"/>
          <w:lang w:val="es-ES"/>
        </w:rPr>
      </w:r>
    </w:p>
    <w:p>
      <w:pPr>
        <w:pStyle w:val="style0"/>
        <w:jc w:val="center"/>
      </w:pPr>
      <w:r>
        <w:rPr>
          <w:rFonts w:ascii="Arial" w:cs="Arial" w:hAnsi="Arial"/>
          <w:sz w:val="24"/>
          <w:szCs w:val="24"/>
          <w:lang w:val="es-ES"/>
        </w:rPr>
      </w:r>
    </w:p>
    <w:p>
      <w:pPr>
        <w:pStyle w:val="style0"/>
        <w:jc w:val="center"/>
      </w:pPr>
      <w:r>
        <w:rPr>
          <w:rFonts w:ascii="Arial" w:cs="Arial" w:hAnsi="Arial"/>
          <w:sz w:val="24"/>
          <w:szCs w:val="24"/>
          <w:lang w:val="es-ES"/>
        </w:rPr>
      </w:r>
    </w:p>
    <w:p>
      <w:pPr>
        <w:pStyle w:val="style0"/>
        <w:jc w:val="center"/>
      </w:pPr>
      <w:r>
        <w:rPr>
          <w:rFonts w:ascii="Arial" w:cs="Arial" w:hAnsi="Arial"/>
          <w:sz w:val="24"/>
          <w:szCs w:val="24"/>
          <w:lang w:val="es-ES"/>
        </w:rPr>
      </w:r>
    </w:p>
    <w:p>
      <w:pPr>
        <w:pStyle w:val="style0"/>
        <w:jc w:val="center"/>
      </w:pPr>
      <w:r>
        <w:rPr>
          <w:rFonts w:ascii="Arial" w:cs="Arial" w:hAnsi="Arial"/>
          <w:sz w:val="24"/>
          <w:szCs w:val="24"/>
          <w:lang w:val="es-ES"/>
        </w:rPr>
        <w:t xml:space="preserve">Clase </w:t>
      </w:r>
      <w:r>
        <w:rPr>
          <w:rFonts w:ascii="Arial" w:cs="Arial" w:hAnsi="Arial"/>
          <w:sz w:val="24"/>
          <w:szCs w:val="24"/>
          <w:u w:val="single"/>
          <w:lang w:val="es-ES"/>
        </w:rPr>
        <w:t>CAMION</w:t>
      </w:r>
      <w:r>
        <w:rPr>
          <w:rFonts w:ascii="Arial" w:cs="Arial" w:hAnsi="Arial"/>
          <w:sz w:val="24"/>
          <w:szCs w:val="24"/>
          <w:lang w:val="es-ES"/>
        </w:rPr>
        <w:t xml:space="preserve"> Marca: </w:t>
      </w:r>
      <w:r>
        <w:rPr>
          <w:rFonts w:ascii="Arial" w:cs="Arial" w:hAnsi="Arial"/>
          <w:sz w:val="24"/>
          <w:szCs w:val="24"/>
          <w:u w:val="single"/>
          <w:lang w:val="es-ES"/>
        </w:rPr>
        <w:t xml:space="preserve">AUTOGAGO  </w:t>
      </w:r>
    </w:p>
    <w:p>
      <w:pPr>
        <w:pStyle w:val="style0"/>
        <w:jc w:val="center"/>
      </w:pPr>
      <w:r>
        <w:rPr>
          <w:rFonts w:ascii="Arial" w:cs="Arial" w:hAnsi="Arial"/>
          <w:sz w:val="24"/>
          <w:szCs w:val="24"/>
          <w:lang w:val="es-ES"/>
        </w:rPr>
        <w:t xml:space="preserve">Año: 1995 _Color: </w:t>
      </w:r>
      <w:r>
        <w:rPr>
          <w:rFonts w:ascii="Arial" w:cs="Arial" w:hAnsi="Arial"/>
          <w:sz w:val="24"/>
          <w:szCs w:val="24"/>
          <w:u w:val="single"/>
          <w:lang w:val="es-ES"/>
        </w:rPr>
        <w:t>BEIGE</w:t>
      </w:r>
      <w:r>
        <w:rPr>
          <w:rFonts w:ascii="Arial" w:cs="Arial" w:hAnsi="Arial"/>
          <w:sz w:val="24"/>
          <w:szCs w:val="24"/>
          <w:lang w:val="es-ES"/>
        </w:rPr>
        <w:t xml:space="preserve"> Matricula: 04W-GAB</w:t>
      </w:r>
    </w:p>
    <w:p>
      <w:pPr>
        <w:pStyle w:val="style0"/>
        <w:jc w:val="center"/>
      </w:pPr>
      <w:r>
        <w:rPr>
          <w:rFonts w:ascii="Arial" w:cs="Arial" w:hAnsi="Arial"/>
          <w:sz w:val="24"/>
          <w:szCs w:val="24"/>
          <w:lang w:val="es-ES"/>
        </w:rPr>
      </w:r>
    </w:p>
    <w:p>
      <w:pPr>
        <w:pStyle w:val="style0"/>
        <w:jc w:val="center"/>
      </w:pPr>
      <w:r>
        <w:rPr>
          <w:rFonts w:ascii="Arial" w:cs="Arial" w:hAnsi="Arial"/>
          <w:sz w:val="24"/>
          <w:szCs w:val="24"/>
          <w:lang w:eastAsia="es-VE" w:val="es-ES"/>
        </w:rPr>
        <w:pict>
          <v:rect id="shape_0" style="position:absolute;margin-left:-13.9pt;margin-top:4.25pt;width:439.65pt;height:352.95pt">
            <v:wrap v:type="none"/>
            <v:fill detectmouseclick="t"/>
            <v:stroke color="black" joinstyle="miter" weight="57240"/>
          </v:rect>
        </w:pict>
      </w:r>
    </w:p>
    <w:p>
      <w:pPr>
        <w:pStyle w:val="style197"/>
        <w:spacing w:after="0" w:before="0" w:line="360" w:lineRule="auto"/>
        <w:jc w:val="both"/>
      </w:pPr>
      <w:r>
        <w:rPr>
          <w:rStyle w:val="style168"/>
          <w:rFonts w:ascii="Arial" w:cs="Arial" w:hAnsi="Arial"/>
          <w:lang w:eastAsia="es-VE" w:val="es-ES"/>
        </w:rPr>
        <w:drawing>
          <wp:inline distB="0" distL="0" distR="0" distT="0">
            <wp:extent cx="4987925" cy="3746500"/>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100"/>
                    <a:srcRect/>
                    <a:stretch>
                      <a:fillRect/>
                    </a:stretch>
                  </pic:blipFill>
                  <pic:spPr bwMode="auto">
                    <a:xfrm>
                      <a:off x="0" y="0"/>
                      <a:ext cx="4987925" cy="3746500"/>
                    </a:xfrm>
                    <a:prstGeom prst="rect">
                      <a:avLst/>
                    </a:prstGeom>
                    <a:noFill/>
                    <a:ln w="9525">
                      <a:noFill/>
                      <a:miter lim="800000"/>
                      <a:headEnd/>
                      <a:tailEnd/>
                    </a:ln>
                  </pic:spPr>
                </pic:pic>
              </a:graphicData>
            </a:graphic>
          </wp:inline>
        </w:drawing>
      </w:r>
    </w:p>
    <w:p>
      <w:pPr>
        <w:pStyle w:val="style0"/>
        <w:spacing w:after="0" w:before="0" w:line="240" w:lineRule="auto"/>
      </w:pPr>
      <w:r>
        <w:rPr>
          <w:rFonts w:ascii="Arial" w:cs="Arial" w:hAnsi="Arial"/>
          <w:sz w:val="24"/>
          <w:szCs w:val="24"/>
          <w:shd w:fill="EEEECC" w:val="clear"/>
        </w:rPr>
      </w:r>
    </w:p>
    <w:sectPr>
      <w:headerReference r:id="rId101" w:type="default"/>
      <w:footerReference r:id="rId102" w:type="default"/>
      <w:type w:val="nextPage"/>
      <w:pgSz w:h="15840" w:w="12240"/>
      <w:pgMar w:bottom="1701" w:footer="709" w:gutter="0" w:header="709" w:left="1701" w:right="2268" w:top="2268"/>
      <w:pgNumType w:fmt="decimal"/>
      <w:formProt w:val="false"/>
      <w:textDirection w:val="lrTb"/>
      <w:docGrid w:charSpace="0" w:linePitch="360" w:type="default"/>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80"/>
    <w:family w:val="roman"/>
    <w:pitch w:val="variable"/>
  </w:font>
  <w:font w:name="Wingdings">
    <w:charset w:val="02"/>
    <w:family w:val="auto"/>
    <w:pitch w:val="variable"/>
  </w:font>
  <w:font w:name="Courier New">
    <w:charset w:val="00"/>
    <w:family w:val="modern"/>
    <w:pitch w:val="fixed"/>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w:p>
    <w:pPr>
      <w:pStyle w:val="style195"/>
      <w:jc w:val="right"/>
    </w:pPr>
    <w:r>
      <w:rPr/>
      <w:fldChar w:fldCharType="begin"/>
    </w:r>
    <w:r>
      <w:instrText> PAGE </w:instrText>
    </w:r>
    <w:r>
      <w:fldChar w:fldCharType="separate"/>
    </w:r>
    <w:r>
      <w:t>3</w:t>
    </w:r>
    <w:r>
      <w:fldChar w:fldCharType="end"/>
    </w:r>
  </w:p>
  <w:p>
    <w:pPr>
      <w:pStyle w:val="style195"/>
      <w:jc w:val="right"/>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w:p>
    <w:pPr>
      <w:pStyle w:val="style195"/>
      <w:jc w:val="right"/>
    </w:pPr>
    <w:r>
      <w:rPr/>
      <w:fldChar w:fldCharType="begin"/>
    </w:r>
    <w:r>
      <w:instrText> PAGE </w:instrText>
    </w:r>
    <w:r>
      <w:fldChar w:fldCharType="separate"/>
    </w:r>
    <w:r>
      <w:t>157</w:t>
    </w:r>
    <w:r>
      <w:fldChar w:fldCharType="end"/>
    </w:r>
  </w:p>
  <w:p>
    <w:pPr>
      <w:pStyle w:val="style195"/>
      <w:jc w:val="right"/>
    </w:pPr>
    <w:r>
      <w:rPr/>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w:p>
    <w:pPr>
      <w:pStyle w:val="style195"/>
      <w:jc w:val="right"/>
    </w:pPr>
    <w:r>
      <w:rPr/>
      <w:fldChar w:fldCharType="begin"/>
    </w:r>
    <w:r>
      <w:instrText> PAGE </w:instrText>
    </w:r>
    <w:r>
      <w:fldChar w:fldCharType="separate"/>
    </w:r>
    <w:r>
      <w:t>159</w:t>
    </w:r>
    <w:r>
      <w:fldChar w:fldCharType="end"/>
    </w:r>
  </w:p>
  <w:p>
    <w:pPr>
      <w:pStyle w:val="style195"/>
      <w:jc w:val="right"/>
    </w:pPr>
    <w:r>
      <w:rPr/>
    </w:r>
  </w:p>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w:p>
    <w:pPr>
      <w:pStyle w:val="style195"/>
      <w:jc w:val="right"/>
    </w:pPr>
    <w:r>
      <w:rPr/>
      <w:fldChar w:fldCharType="begin"/>
    </w:r>
    <w:r>
      <w:instrText> PAGE </w:instrText>
    </w:r>
    <w:r>
      <w:fldChar w:fldCharType="separate"/>
    </w:r>
    <w:r>
      <w:t>161</w:t>
    </w:r>
    <w:r>
      <w:fldChar w:fldCharType="end"/>
    </w:r>
  </w:p>
  <w:p>
    <w:pPr>
      <w:pStyle w:val="style195"/>
      <w:jc w:val="right"/>
    </w:pPr>
    <w:r>
      <w:rPr/>
    </w:r>
  </w:p>
</w:ftr>
</file>

<file path=word/footer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w:p>
    <w:pPr>
      <w:pStyle w:val="style195"/>
      <w:jc w:val="right"/>
    </w:pPr>
    <w:r>
      <w:rPr/>
      <w:fldChar w:fldCharType="begin"/>
    </w:r>
    <w:r>
      <w:instrText> PAGE </w:instrText>
    </w:r>
    <w:r>
      <w:fldChar w:fldCharType="separate"/>
    </w:r>
    <w:r>
      <w:t>210</w:t>
    </w:r>
    <w:r>
      <w:fldChar w:fldCharType="end"/>
    </w:r>
  </w:p>
  <w:p>
    <w:pPr>
      <w:pStyle w:val="style195"/>
    </w:pPr>
    <w:r>
      <w:rPr/>
    </w:r>
  </w:p>
</w:ftr>
</file>

<file path=word/footer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w:p>
    <w:pPr>
      <w:pStyle w:val="style195"/>
      <w:jc w:val="right"/>
    </w:pPr>
    <w:r>
      <w:rPr/>
      <w:fldChar w:fldCharType="begin"/>
    </w:r>
    <w:r>
      <w:instrText> PAGE </w:instrText>
    </w:r>
    <w:r>
      <w:fldChar w:fldCharType="separate"/>
    </w:r>
    <w:r>
      <w:t>214</w:t>
    </w:r>
    <w:r>
      <w:fldChar w:fldCharType="end"/>
    </w:r>
  </w:p>
  <w:p>
    <w:pPr>
      <w:pStyle w:val="style195"/>
    </w:pPr>
    <w:r>
      <w:rPr/>
    </w:r>
  </w:p>
</w:ftr>
</file>

<file path=word/footer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w:p>
    <w:pPr>
      <w:pStyle w:val="style195"/>
      <w:jc w:val="right"/>
    </w:pPr>
    <w:r>
      <w:rPr/>
      <w:fldChar w:fldCharType="begin"/>
    </w:r>
    <w:r>
      <w:instrText> PAGE </w:instrText>
    </w:r>
    <w:r>
      <w:fldChar w:fldCharType="separate"/>
    </w:r>
    <w:r>
      <w:t>252</w:t>
    </w:r>
    <w:r>
      <w:fldChar w:fldCharType="end"/>
    </w:r>
  </w:p>
  <w:p>
    <w:pPr>
      <w:pStyle w:val="style195"/>
    </w:pPr>
    <w:r>
      <w:rPr/>
    </w:r>
  </w:p>
</w:ftr>
</file>

<file path=word/footer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w:p>
    <w:pPr>
      <w:pStyle w:val="style195"/>
      <w:jc w:val="right"/>
    </w:pPr>
    <w:r>
      <w:rPr/>
      <w:fldChar w:fldCharType="begin"/>
    </w:r>
    <w:r>
      <w:instrText> PAGE </w:instrText>
    </w:r>
    <w:r>
      <w:fldChar w:fldCharType="separate"/>
    </w:r>
    <w:r>
      <w:t>253</w:t>
    </w:r>
    <w:r>
      <w:fldChar w:fldCharType="end"/>
    </w:r>
  </w:p>
  <w:p>
    <w:pPr>
      <w:pStyle w:val="style195"/>
    </w:pPr>
    <w:r>
      <w:rPr/>
    </w:r>
  </w:p>
</w:ftr>
</file>

<file path=word/footer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w:p>
    <w:pPr>
      <w:pStyle w:val="style195"/>
      <w:jc w:val="right"/>
    </w:pPr>
    <w:r>
      <w:rPr/>
      <w:fldChar w:fldCharType="begin"/>
    </w:r>
    <w:r>
      <w:instrText> PAGE </w:instrText>
    </w:r>
    <w:r>
      <w:fldChar w:fldCharType="separate"/>
    </w:r>
    <w:r>
      <w:t>305</w:t>
    </w:r>
    <w:r>
      <w:fldChar w:fldCharType="end"/>
    </w:r>
  </w:p>
  <w:p>
    <w:pPr>
      <w:pStyle w:val="style195"/>
    </w:pPr>
    <w:r>
      <w:rPr/>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w:p>
    <w:pPr>
      <w:pStyle w:val="style194"/>
    </w:pPr>
    <w:r>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w:p>
    <w:pPr>
      <w:pStyle w:val="style194"/>
    </w:pPr>
    <w:r>
      <w:rPr/>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w:p>
    <w:pPr>
      <w:pStyle w:val="style194"/>
    </w:pPr>
    <w:r>
      <w:rPr/>
    </w:r>
  </w:p>
</w:hdr>
</file>

<file path=word/header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w:p>
    <w:pPr>
      <w:pStyle w:val="style194"/>
    </w:pPr>
    <w:r>
      <w:rPr/>
    </w:r>
  </w:p>
</w:hdr>
</file>

<file path=word/header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w:p>
    <w:pPr>
      <w:pStyle w:val="style194"/>
      <w:jc w:val="right"/>
    </w:pPr>
    <w:r>
      <w:rPr/>
    </w:r>
  </w:p>
  <w:p>
    <w:pPr>
      <w:pStyle w:val="style194"/>
    </w:pPr>
    <w:r>
      <w:rPr/>
    </w:r>
  </w:p>
</w:hdr>
</file>

<file path=word/numbering.xml><?xml version="1.0" encoding="utf-8"?>
<w:numbering xmlns:w="http://schemas.openxmlformats.org/wordprocessingml/2006/main">
  <w:abstractNum w:abstractNumId="1">
    <w:lvl w:ilvl="0">
      <w:start w:val="1"/>
      <w:numFmt w:val="none"/>
      <w:suff w:val="nothing"/>
      <w:lvlText w:val=""/>
      <w:lvlJc w:val="left"/>
      <w:pPr>
        <w:tabs>
          <w:tab w:pos="432" w:val="num"/>
        </w:tabs>
        <w:ind w:hanging="432" w:left="432"/>
      </w:pPr>
    </w:lvl>
    <w:lvl w:ilvl="1">
      <w:start w:val="1"/>
      <w:numFmt w:val="none"/>
      <w:suff w:val="nothing"/>
      <w:lvlText w:val=""/>
      <w:lvlJc w:val="left"/>
      <w:pPr>
        <w:tabs>
          <w:tab w:pos="576" w:val="num"/>
        </w:tabs>
        <w:ind w:hanging="576" w:left="576"/>
      </w:pPr>
    </w:lvl>
    <w:lvl w:ilvl="2">
      <w:start w:val="1"/>
      <w:numFmt w:val="none"/>
      <w:suff w:val="nothing"/>
      <w:lvlText w:val=""/>
      <w:lvlJc w:val="left"/>
      <w:pPr>
        <w:tabs>
          <w:tab w:pos="720" w:val="num"/>
        </w:tabs>
        <w:ind w:hanging="720" w:left="720"/>
      </w:pPr>
    </w:lvl>
    <w:lvl w:ilvl="3">
      <w:start w:val="1"/>
      <w:numFmt w:val="none"/>
      <w:suff w:val="nothing"/>
      <w:lvlText w:val=""/>
      <w:lvlJc w:val="left"/>
      <w:pPr>
        <w:tabs>
          <w:tab w:pos="864" w:val="num"/>
        </w:tabs>
        <w:ind w:hanging="864" w:left="864"/>
      </w:pPr>
    </w:lvl>
    <w:lvl w:ilvl="4">
      <w:start w:val="1"/>
      <w:numFmt w:val="none"/>
      <w:suff w:val="nothing"/>
      <w:lvlText w:val=""/>
      <w:lvlJc w:val="left"/>
      <w:pPr>
        <w:tabs>
          <w:tab w:pos="1008" w:val="num"/>
        </w:tabs>
        <w:ind w:hanging="1008" w:left="1008"/>
      </w:pPr>
    </w:lvl>
    <w:lvl w:ilvl="5">
      <w:start w:val="1"/>
      <w:numFmt w:val="none"/>
      <w:suff w:val="nothing"/>
      <w:lvlText w:val=""/>
      <w:lvlJc w:val="left"/>
      <w:pPr>
        <w:tabs>
          <w:tab w:pos="1152" w:val="num"/>
        </w:tabs>
        <w:ind w:hanging="1152" w:left="1152"/>
      </w:pPr>
    </w:lvl>
    <w:lvl w:ilvl="6">
      <w:start w:val="1"/>
      <w:numFmt w:val="none"/>
      <w:suff w:val="nothing"/>
      <w:lvlText w:val=""/>
      <w:lvlJc w:val="left"/>
      <w:pPr>
        <w:tabs>
          <w:tab w:pos="1296" w:val="num"/>
        </w:tabs>
        <w:ind w:hanging="1296" w:left="1296"/>
      </w:pPr>
    </w:lvl>
    <w:lvl w:ilvl="7">
      <w:start w:val="1"/>
      <w:numFmt w:val="none"/>
      <w:suff w:val="nothing"/>
      <w:lvlText w:val=""/>
      <w:lvlJc w:val="left"/>
      <w:pPr>
        <w:tabs>
          <w:tab w:pos="1440" w:val="num"/>
        </w:tabs>
        <w:ind w:hanging="1440" w:left="1440"/>
      </w:pPr>
    </w:lvl>
    <w:lvl w:ilvl="8">
      <w:start w:val="1"/>
      <w:numFmt w:val="none"/>
      <w:suff w:val="nothing"/>
      <w:lvlText w:val=""/>
      <w:lvlJc w:val="left"/>
      <w:pPr>
        <w:tabs>
          <w:tab w:pos="1584" w:val="num"/>
        </w:tabs>
        <w:ind w:hanging="1584" w:left="1584"/>
      </w:pPr>
    </w:lvl>
  </w:abstractNum>
  <w:abstractNum w:abstractNumId="2">
    <w:lvl w:ilvl="0">
      <w:start w:val="1"/>
      <w:numFmt w:val="decimal"/>
      <w:lvlText w:val="%1."/>
      <w:lvlJc w:val="left"/>
      <w:pPr>
        <w:ind w:hanging="360" w:left="360"/>
      </w:pPr>
    </w:lvl>
  </w:abstractNum>
  <w:abstractNum w:abstractNumId="3">
    <w:lvl w:ilvl="0">
      <w:start w:val="1"/>
      <w:numFmt w:val="decimal"/>
      <w:lvlText w:val="%1."/>
      <w:lvlJc w:val="left"/>
      <w:pPr>
        <w:ind w:hanging="360" w:left="720"/>
      </w:pPr>
      <w:rPr>
        <w:b w:val="false"/>
      </w:rPr>
    </w:lvl>
  </w:abstractNum>
  <w:abstractNum w:abstractNumId="4">
    <w:lvl w:ilvl="0">
      <w:start w:val="0"/>
      <w:numFmt w:val="bullet"/>
      <w:lvlText w:val="•"/>
      <w:lvlJc w:val="left"/>
      <w:pPr>
        <w:ind w:hanging="360" w:left="720"/>
      </w:pPr>
      <w:rPr>
        <w:rFonts w:ascii="Arial" w:cs="Arial" w:hAnsi="Arial" w:hint="default"/>
      </w:rPr>
    </w:lvl>
  </w:abstractNum>
  <w:abstractNum w:abstractNumId="5">
    <w:lvl w:ilvl="0">
      <w:start w:val="1"/>
      <w:numFmt w:val="bullet"/>
      <w:lvlText w:val=""/>
      <w:lvlJc w:val="left"/>
      <w:pPr>
        <w:ind w:hanging="360" w:left="54"/>
      </w:pPr>
      <w:rPr>
        <w:rFonts w:ascii="Symbol" w:cs="Symbol" w:hAnsi="Symbol" w:hint="default"/>
      </w:rPr>
    </w:lvl>
  </w:abstractNum>
  <w:abstractNum w:abstractNumId="6">
    <w:lvl w:ilvl="0">
      <w:start w:val="1"/>
      <w:numFmt w:val="bullet"/>
      <w:lvlText w:val=""/>
      <w:lvlJc w:val="left"/>
      <w:pPr>
        <w:tabs>
          <w:tab w:pos="720" w:val="num"/>
        </w:tabs>
        <w:ind w:hanging="360" w:left="720"/>
      </w:pPr>
      <w:rPr>
        <w:rFonts w:ascii="Wingdings" w:cs="Wingdings" w:hAnsi="Wingdings" w:hint="default"/>
      </w:rPr>
    </w:lvl>
  </w:abstractNum>
  <w:abstractNum w:abstractNumId="7">
    <w:lvl w:ilvl="0">
      <w:start w:val="1"/>
      <w:numFmt w:val="lowerLetter"/>
      <w:lvlText w:val="%1."/>
      <w:lvlJc w:val="left"/>
      <w:pPr>
        <w:ind w:hanging="360" w:left="720"/>
      </w:pPr>
    </w:lvl>
  </w:abstractNum>
  <w:abstractNum w:abstractNumId="8">
    <w:lvl w:ilvl="0">
      <w:start w:val="1"/>
      <w:numFmt w:val="decimal"/>
      <w:lvlText w:val="%1."/>
      <w:lvlJc w:val="left"/>
      <w:pPr>
        <w:ind w:hanging="360" w:left="2520"/>
      </w:pPr>
      <w:rPr>
        <w:b/>
      </w:rPr>
    </w:lvl>
    <w:lvl w:ilvl="1">
      <w:start w:val="1"/>
      <w:numFmt w:val="decimal"/>
      <w:lvlText w:val="%2."/>
      <w:lvlJc w:val="left"/>
      <w:pPr>
        <w:ind w:hanging="360" w:left="2520"/>
      </w:pPr>
    </w:lvl>
    <w:lvl w:ilvl="2">
      <w:start w:val="1"/>
      <w:numFmt w:val="lowerRoman"/>
      <w:lvlText w:val="%3."/>
      <w:lvlJc w:val="right"/>
      <w:pPr>
        <w:ind w:hanging="180" w:left="3240"/>
      </w:pPr>
    </w:lvl>
    <w:lvl w:ilvl="3">
      <w:start w:val="1"/>
      <w:numFmt w:val="decimal"/>
      <w:lvlText w:val="%4."/>
      <w:lvlJc w:val="left"/>
      <w:pPr>
        <w:ind w:hanging="360" w:left="3960"/>
      </w:pPr>
    </w:lvl>
    <w:lvl w:ilvl="4">
      <w:start w:val="1"/>
      <w:numFmt w:val="lowerLetter"/>
      <w:lvlText w:val="%5."/>
      <w:lvlJc w:val="left"/>
      <w:pPr>
        <w:ind w:hanging="360" w:left="4680"/>
      </w:pPr>
    </w:lvl>
    <w:lvl w:ilvl="5">
      <w:start w:val="1"/>
      <w:numFmt w:val="lowerRoman"/>
      <w:lvlText w:val="%6."/>
      <w:lvlJc w:val="right"/>
      <w:pPr>
        <w:ind w:hanging="180" w:left="5400"/>
      </w:pPr>
    </w:lvl>
    <w:lvl w:ilvl="6">
      <w:start w:val="1"/>
      <w:numFmt w:val="decimal"/>
      <w:lvlText w:val="%7."/>
      <w:lvlJc w:val="left"/>
      <w:pPr>
        <w:ind w:hanging="360" w:left="6120"/>
      </w:pPr>
    </w:lvl>
    <w:lvl w:ilvl="7">
      <w:start w:val="1"/>
      <w:numFmt w:val="lowerLetter"/>
      <w:lvlText w:val="%8."/>
      <w:lvlJc w:val="left"/>
      <w:pPr>
        <w:ind w:hanging="360" w:left="6840"/>
      </w:pPr>
    </w:lvl>
    <w:lvl w:ilvl="8">
      <w:start w:val="1"/>
      <w:numFmt w:val="lowerRoman"/>
      <w:lvlText w:val="%9."/>
      <w:lvlJc w:val="right"/>
      <w:pPr>
        <w:ind w:hanging="180" w:left="7560"/>
      </w:pPr>
    </w:lvl>
  </w:abstractNum>
  <w:abstractNum w:abstractNumId="9">
    <w:lvl w:ilvl="0">
      <w:start w:val="1"/>
      <w:numFmt w:val="decimal"/>
      <w:lvlText w:val="%1."/>
      <w:lvlJc w:val="left"/>
      <w:pPr>
        <w:tabs>
          <w:tab w:pos="720" w:val="num"/>
        </w:tabs>
        <w:ind w:hanging="360" w:left="720"/>
      </w:pPr>
      <w:rPr>
        <w:sz w:val="24"/>
      </w:rPr>
    </w:lvl>
    <w:lvl w:ilvl="1">
      <w:start w:val="1"/>
      <w:numFmt w:val="decimal"/>
      <w:lvlText w:val="%2)"/>
      <w:lvlJc w:val="left"/>
      <w:pPr>
        <w:ind w:hanging="360" w:left="1440"/>
      </w:pPr>
    </w:lvl>
    <w:lvl w:ilvl="2">
      <w:start w:val="1"/>
      <w:numFmt w:val="bullet"/>
      <w:lvlText w:val=""/>
      <w:lvlJc w:val="left"/>
      <w:pPr>
        <w:tabs>
          <w:tab w:pos="2160" w:val="num"/>
        </w:tabs>
        <w:ind w:hanging="360" w:left="2160"/>
      </w:pPr>
      <w:rPr>
        <w:rFonts w:ascii="Wingdings" w:cs="Wingdings" w:hAnsi="Wingdings" w:hint="default"/>
        <w:sz w:val="20"/>
      </w:rPr>
    </w:lvl>
    <w:lvl w:ilvl="3">
      <w:start w:val="1"/>
      <w:numFmt w:val="bullet"/>
      <w:lvlText w:val=""/>
      <w:lvlJc w:val="left"/>
      <w:pPr>
        <w:tabs>
          <w:tab w:pos="2880" w:val="num"/>
        </w:tabs>
        <w:ind w:hanging="360" w:left="2880"/>
      </w:pPr>
      <w:rPr>
        <w:rFonts w:ascii="Wingdings" w:cs="Wingdings" w:hAnsi="Wingdings" w:hint="default"/>
        <w:sz w:val="20"/>
      </w:rPr>
    </w:lvl>
    <w:lvl w:ilvl="4">
      <w:start w:val="1"/>
      <w:numFmt w:val="bullet"/>
      <w:lvlText w:val=""/>
      <w:lvlJc w:val="left"/>
      <w:pPr>
        <w:tabs>
          <w:tab w:pos="3600" w:val="num"/>
        </w:tabs>
        <w:ind w:hanging="360" w:left="3600"/>
      </w:pPr>
      <w:rPr>
        <w:rFonts w:ascii="Wingdings" w:cs="Wingdings" w:hAnsi="Wingdings" w:hint="default"/>
        <w:sz w:val="20"/>
      </w:rPr>
    </w:lvl>
    <w:lvl w:ilvl="5">
      <w:start w:val="1"/>
      <w:numFmt w:val="bullet"/>
      <w:lvlText w:val=""/>
      <w:lvlJc w:val="left"/>
      <w:pPr>
        <w:tabs>
          <w:tab w:pos="4320" w:val="num"/>
        </w:tabs>
        <w:ind w:hanging="360" w:left="4320"/>
      </w:pPr>
      <w:rPr>
        <w:rFonts w:ascii="Wingdings" w:cs="Wingdings" w:hAnsi="Wingdings" w:hint="default"/>
        <w:sz w:val="20"/>
      </w:rPr>
    </w:lvl>
    <w:lvl w:ilvl="6">
      <w:start w:val="1"/>
      <w:numFmt w:val="bullet"/>
      <w:lvlText w:val=""/>
      <w:lvlJc w:val="left"/>
      <w:pPr>
        <w:tabs>
          <w:tab w:pos="5040" w:val="num"/>
        </w:tabs>
        <w:ind w:hanging="360" w:left="5040"/>
      </w:pPr>
      <w:rPr>
        <w:rFonts w:ascii="Wingdings" w:cs="Wingdings" w:hAnsi="Wingdings" w:hint="default"/>
        <w:sz w:val="20"/>
      </w:rPr>
    </w:lvl>
    <w:lvl w:ilvl="7">
      <w:start w:val="1"/>
      <w:numFmt w:val="bullet"/>
      <w:lvlText w:val=""/>
      <w:lvlJc w:val="left"/>
      <w:pPr>
        <w:tabs>
          <w:tab w:pos="5760" w:val="num"/>
        </w:tabs>
        <w:ind w:hanging="360" w:left="5760"/>
      </w:pPr>
      <w:rPr>
        <w:rFonts w:ascii="Wingdings" w:cs="Wingdings" w:hAnsi="Wingdings" w:hint="default"/>
        <w:sz w:val="20"/>
      </w:rPr>
    </w:lvl>
    <w:lvl w:ilvl="8">
      <w:start w:val="1"/>
      <w:numFmt w:val="bullet"/>
      <w:lvlText w:val=""/>
      <w:lvlJc w:val="left"/>
      <w:pPr>
        <w:tabs>
          <w:tab w:pos="6480" w:val="num"/>
        </w:tabs>
        <w:ind w:hanging="360" w:left="6480"/>
      </w:pPr>
      <w:rPr>
        <w:rFonts w:ascii="Wingdings" w:cs="Wingdings" w:hAnsi="Wingdings" w:hint="default"/>
        <w:sz w:val="20"/>
      </w:rPr>
    </w:lvl>
  </w:abstractNum>
  <w:abstractNum w:abstractNumId="10">
    <w:lvl w:ilvl="0">
      <w:start w:val="1"/>
      <w:numFmt w:val="decimal"/>
      <w:lvlText w:val="%1."/>
      <w:lvlJc w:val="left"/>
      <w:pPr>
        <w:ind w:hanging="360" w:left="1080"/>
      </w:pPr>
    </w:lvl>
  </w:abstractNum>
  <w:abstractNum w:abstractNumId="11">
    <w:lvl w:ilvl="0">
      <w:start w:val="1"/>
      <w:numFmt w:val="lowerLetter"/>
      <w:lvlText w:val="%1)"/>
      <w:lvlJc w:val="left"/>
      <w:pPr>
        <w:ind w:hanging="360" w:left="720"/>
      </w:pPr>
    </w:lvl>
  </w:abstractNum>
  <w:abstractNum w:abstractNumId="12">
    <w:lvl w:ilvl="0">
      <w:start w:val="1"/>
      <w:numFmt w:val="decimal"/>
      <w:lvlText w:val="%1."/>
      <w:lvlJc w:val="left"/>
      <w:pPr>
        <w:ind w:hanging="360" w:left="360"/>
      </w:pPr>
    </w:lvl>
  </w:abstractNum>
  <w:abstractNum w:abstractNumId="13">
    <w:lvl w:ilvl="0">
      <w:start w:val="1"/>
      <w:numFmt w:val="decimal"/>
      <w:lvlText w:val="%1."/>
      <w:lvlJc w:val="left"/>
      <w:pPr>
        <w:ind w:hanging="360" w:left="720"/>
      </w:pPr>
    </w:lvl>
  </w:abstractNum>
  <w:abstractNum w:abstractNumId="14">
    <w:lvl w:ilvl="0">
      <w:start w:val="4"/>
      <w:numFmt w:val="decimal"/>
      <w:lvlText w:val="%1."/>
      <w:lvlJc w:val="left"/>
      <w:pPr>
        <w:ind w:hanging="360" w:left="360"/>
      </w:pPr>
      <w:rPr/>
    </w:lvl>
    <w:lvl w:ilvl="1">
      <w:start w:val="1"/>
      <w:numFmt w:val="decimal"/>
      <w:lvlText w:val="%1.%2."/>
      <w:lvlJc w:val="left"/>
      <w:pPr>
        <w:ind w:hanging="360" w:left="360"/>
      </w:pPr>
      <w:rPr/>
    </w:lvl>
    <w:lvl w:ilvl="2">
      <w:start w:val="1"/>
      <w:numFmt w:val="decimal"/>
      <w:lvlText w:val="%1.%2.%3."/>
      <w:lvlJc w:val="left"/>
      <w:pPr>
        <w:ind w:hanging="720" w:left="720"/>
      </w:pPr>
      <w:rPr/>
    </w:lvl>
    <w:lvl w:ilvl="3">
      <w:start w:val="1"/>
      <w:numFmt w:val="decimal"/>
      <w:lvlText w:val="%1.%2.%3.%4."/>
      <w:lvlJc w:val="left"/>
      <w:pPr>
        <w:ind w:hanging="720" w:left="720"/>
      </w:pPr>
      <w:rPr/>
    </w:lvl>
    <w:lvl w:ilvl="4">
      <w:start w:val="1"/>
      <w:numFmt w:val="decimal"/>
      <w:lvlText w:val="%1.%2.%3.%4.%5."/>
      <w:lvlJc w:val="left"/>
      <w:pPr>
        <w:ind w:hanging="1080" w:left="1080"/>
      </w:pPr>
      <w:rPr/>
    </w:lvl>
    <w:lvl w:ilvl="5">
      <w:start w:val="1"/>
      <w:numFmt w:val="decimal"/>
      <w:lvlText w:val="%1.%2.%3.%4.%5.%6."/>
      <w:lvlJc w:val="left"/>
      <w:pPr>
        <w:ind w:hanging="1080" w:left="1080"/>
      </w:pPr>
      <w:rPr/>
    </w:lvl>
    <w:lvl w:ilvl="6">
      <w:start w:val="1"/>
      <w:numFmt w:val="decimal"/>
      <w:lvlText w:val="%1.%2.%3.%4.%5.%6.%7."/>
      <w:lvlJc w:val="left"/>
      <w:pPr>
        <w:ind w:hanging="1440" w:left="1440"/>
      </w:pPr>
      <w:rPr/>
    </w:lvl>
    <w:lvl w:ilvl="7">
      <w:start w:val="1"/>
      <w:numFmt w:val="decimal"/>
      <w:lvlText w:val="%1.%2.%3.%4.%5.%6.%7.%8."/>
      <w:lvlJc w:val="left"/>
      <w:pPr>
        <w:ind w:hanging="1440" w:left="1440"/>
      </w:pPr>
      <w:rPr/>
    </w:lvl>
    <w:lvl w:ilvl="8">
      <w:start w:val="1"/>
      <w:numFmt w:val="decimal"/>
      <w:lvlText w:val="%1.%2.%3.%4.%5.%6.%7.%8.%9."/>
      <w:lvlJc w:val="left"/>
      <w:pPr>
        <w:ind w:hanging="1800" w:left="1800"/>
      </w:pPr>
      <w:rPr/>
    </w:lvl>
  </w:abstractNum>
  <w:abstractNum w:abstractNumId="15">
    <w:lvl w:ilvl="0">
      <w:start w:val="0"/>
      <w:numFmt w:val="bullet"/>
      <w:lvlText w:val="•"/>
      <w:lvlJc w:val="left"/>
      <w:pPr>
        <w:ind w:hanging="360" w:left="1080"/>
      </w:pPr>
      <w:rPr>
        <w:rFonts w:ascii="Arial" w:cs="Arial" w:hAnsi="Arial" w:hint="default"/>
      </w:rPr>
    </w:lvl>
  </w:abstractNum>
  <w:abstractNum w:abstractNumId="16">
    <w:lvl w:ilvl="0">
      <w:start w:val="1"/>
      <w:numFmt w:val="bullet"/>
      <w:lvlText w:val=""/>
      <w:lvlJc w:val="left"/>
      <w:pPr>
        <w:tabs>
          <w:tab w:pos="720" w:val="num"/>
        </w:tabs>
        <w:ind w:hanging="360" w:left="720"/>
      </w:pPr>
      <w:rPr>
        <w:rFonts w:ascii="Symbol" w:cs="Symbol" w:hAnsi="Symbol" w:hint="default"/>
        <w:sz w:val="20"/>
      </w:rPr>
    </w:lvl>
    <w:lvl w:ilvl="1">
      <w:start w:val="1"/>
      <w:numFmt w:val="bullet"/>
      <w:lvlText w:val=""/>
      <w:lvlJc w:val="left"/>
      <w:pPr>
        <w:tabs>
          <w:tab w:pos="1440" w:val="num"/>
        </w:tabs>
        <w:ind w:hanging="360" w:left="1440"/>
      </w:pPr>
      <w:rPr>
        <w:rFonts w:ascii="Symbol" w:cs="Symbol" w:hAnsi="Symbol" w:hint="default"/>
        <w:sz w:val="20"/>
      </w:rPr>
    </w:lvl>
    <w:lvl w:ilvl="2">
      <w:start w:val="1"/>
      <w:numFmt w:val="bullet"/>
      <w:lvlText w:val=""/>
      <w:lvlJc w:val="left"/>
      <w:pPr>
        <w:tabs>
          <w:tab w:pos="2160" w:val="num"/>
        </w:tabs>
        <w:ind w:hanging="360" w:left="2160"/>
      </w:pPr>
      <w:rPr>
        <w:rFonts w:ascii="Symbol" w:cs="Symbol" w:hAnsi="Symbol" w:hint="default"/>
        <w:sz w:val="20"/>
      </w:rPr>
    </w:lvl>
    <w:lvl w:ilvl="3">
      <w:start w:val="1"/>
      <w:numFmt w:val="bullet"/>
      <w:lvlText w:val=""/>
      <w:lvlJc w:val="left"/>
      <w:pPr>
        <w:tabs>
          <w:tab w:pos="2880" w:val="num"/>
        </w:tabs>
        <w:ind w:hanging="360" w:left="2880"/>
      </w:pPr>
      <w:rPr>
        <w:rFonts w:ascii="Symbol" w:cs="Symbol" w:hAnsi="Symbol" w:hint="default"/>
        <w:sz w:val="20"/>
      </w:rPr>
    </w:lvl>
    <w:lvl w:ilvl="4">
      <w:start w:val="1"/>
      <w:numFmt w:val="bullet"/>
      <w:lvlText w:val=""/>
      <w:lvlJc w:val="left"/>
      <w:pPr>
        <w:tabs>
          <w:tab w:pos="3600" w:val="num"/>
        </w:tabs>
        <w:ind w:hanging="360" w:left="3600"/>
      </w:pPr>
      <w:rPr>
        <w:rFonts w:ascii="Symbol" w:cs="Symbol" w:hAnsi="Symbol" w:hint="default"/>
        <w:sz w:val="20"/>
      </w:rPr>
    </w:lvl>
    <w:lvl w:ilvl="5">
      <w:start w:val="1"/>
      <w:numFmt w:val="bullet"/>
      <w:lvlText w:val=""/>
      <w:lvlJc w:val="left"/>
      <w:pPr>
        <w:tabs>
          <w:tab w:pos="4320" w:val="num"/>
        </w:tabs>
        <w:ind w:hanging="360" w:left="4320"/>
      </w:pPr>
      <w:rPr>
        <w:rFonts w:ascii="Symbol" w:cs="Symbol" w:hAnsi="Symbol" w:hint="default"/>
        <w:sz w:val="20"/>
      </w:rPr>
    </w:lvl>
    <w:lvl w:ilvl="6">
      <w:start w:val="1"/>
      <w:numFmt w:val="bullet"/>
      <w:lvlText w:val=""/>
      <w:lvlJc w:val="left"/>
      <w:pPr>
        <w:tabs>
          <w:tab w:pos="5040" w:val="num"/>
        </w:tabs>
        <w:ind w:hanging="360" w:left="5040"/>
      </w:pPr>
      <w:rPr>
        <w:rFonts w:ascii="Symbol" w:cs="Symbol" w:hAnsi="Symbol" w:hint="default"/>
        <w:sz w:val="20"/>
      </w:rPr>
    </w:lvl>
    <w:lvl w:ilvl="7">
      <w:start w:val="1"/>
      <w:numFmt w:val="bullet"/>
      <w:lvlText w:val=""/>
      <w:lvlJc w:val="left"/>
      <w:pPr>
        <w:tabs>
          <w:tab w:pos="5760" w:val="num"/>
        </w:tabs>
        <w:ind w:hanging="360" w:left="5760"/>
      </w:pPr>
      <w:rPr>
        <w:rFonts w:ascii="Symbol" w:cs="Symbol" w:hAnsi="Symbol" w:hint="default"/>
        <w:sz w:val="20"/>
      </w:rPr>
    </w:lvl>
    <w:lvl w:ilvl="8">
      <w:start w:val="1"/>
      <w:numFmt w:val="bullet"/>
      <w:lvlText w:val=""/>
      <w:lvlJc w:val="left"/>
      <w:pPr>
        <w:tabs>
          <w:tab w:pos="6480" w:val="num"/>
        </w:tabs>
        <w:ind w:hanging="360" w:left="6480"/>
      </w:pPr>
      <w:rPr>
        <w:rFonts w:ascii="Symbol" w:cs="Symbol" w:hAnsi="Symbol" w:hint="default"/>
        <w:sz w:val="20"/>
      </w:rPr>
    </w:lvl>
  </w:abstractNum>
  <w:abstractNum w:abstractNumId="17">
    <w:lvl w:ilvl="0">
      <w:start w:val="1"/>
      <w:numFmt w:val="bullet"/>
      <w:lvlText w:val=""/>
      <w:lvlJc w:val="left"/>
      <w:pPr>
        <w:tabs>
          <w:tab w:pos="720" w:val="num"/>
        </w:tabs>
        <w:ind w:hanging="360" w:left="720"/>
      </w:pPr>
      <w:rPr>
        <w:rFonts w:ascii="Symbol" w:cs="Symbol" w:hAnsi="Symbol" w:hint="default"/>
        <w:sz w:val="20"/>
      </w:rPr>
    </w:lvl>
    <w:lvl w:ilvl="1">
      <w:start w:val="1"/>
      <w:numFmt w:val="bullet"/>
      <w:lvlText w:val="o"/>
      <w:lvlJc w:val="left"/>
      <w:pPr>
        <w:tabs>
          <w:tab w:pos="1440" w:val="num"/>
        </w:tabs>
        <w:ind w:hanging="360" w:left="1440"/>
      </w:pPr>
      <w:rPr>
        <w:rFonts w:ascii="Courier New" w:cs="Courier New" w:hAnsi="Courier New" w:hint="default"/>
        <w:sz w:val="20"/>
      </w:rPr>
    </w:lvl>
    <w:lvl w:ilvl="2">
      <w:start w:val="1"/>
      <w:numFmt w:val="bullet"/>
      <w:lvlText w:val=""/>
      <w:lvlJc w:val="left"/>
      <w:pPr>
        <w:tabs>
          <w:tab w:pos="2160" w:val="num"/>
        </w:tabs>
        <w:ind w:hanging="360" w:left="2160"/>
      </w:pPr>
      <w:rPr>
        <w:rFonts w:ascii="Wingdings" w:cs="Wingdings" w:hAnsi="Wingdings" w:hint="default"/>
        <w:sz w:val="20"/>
      </w:rPr>
    </w:lvl>
    <w:lvl w:ilvl="3">
      <w:start w:val="1"/>
      <w:numFmt w:val="bullet"/>
      <w:lvlText w:val=""/>
      <w:lvlJc w:val="left"/>
      <w:pPr>
        <w:tabs>
          <w:tab w:pos="2880" w:val="num"/>
        </w:tabs>
        <w:ind w:hanging="360" w:left="2880"/>
      </w:pPr>
      <w:rPr>
        <w:rFonts w:ascii="Wingdings" w:cs="Wingdings" w:hAnsi="Wingdings" w:hint="default"/>
        <w:sz w:val="20"/>
      </w:rPr>
    </w:lvl>
    <w:lvl w:ilvl="4">
      <w:start w:val="1"/>
      <w:numFmt w:val="bullet"/>
      <w:lvlText w:val=""/>
      <w:lvlJc w:val="left"/>
      <w:pPr>
        <w:tabs>
          <w:tab w:pos="3600" w:val="num"/>
        </w:tabs>
        <w:ind w:hanging="360" w:left="3600"/>
      </w:pPr>
      <w:rPr>
        <w:rFonts w:ascii="Wingdings" w:cs="Wingdings" w:hAnsi="Wingdings" w:hint="default"/>
        <w:sz w:val="20"/>
      </w:rPr>
    </w:lvl>
    <w:lvl w:ilvl="5">
      <w:start w:val="1"/>
      <w:numFmt w:val="bullet"/>
      <w:lvlText w:val=""/>
      <w:lvlJc w:val="left"/>
      <w:pPr>
        <w:tabs>
          <w:tab w:pos="4320" w:val="num"/>
        </w:tabs>
        <w:ind w:hanging="360" w:left="4320"/>
      </w:pPr>
      <w:rPr>
        <w:rFonts w:ascii="Wingdings" w:cs="Wingdings" w:hAnsi="Wingdings" w:hint="default"/>
        <w:sz w:val="20"/>
      </w:rPr>
    </w:lvl>
    <w:lvl w:ilvl="6">
      <w:start w:val="1"/>
      <w:numFmt w:val="bullet"/>
      <w:lvlText w:val=""/>
      <w:lvlJc w:val="left"/>
      <w:pPr>
        <w:tabs>
          <w:tab w:pos="5040" w:val="num"/>
        </w:tabs>
        <w:ind w:hanging="360" w:left="5040"/>
      </w:pPr>
      <w:rPr>
        <w:rFonts w:ascii="Wingdings" w:cs="Wingdings" w:hAnsi="Wingdings" w:hint="default"/>
        <w:sz w:val="20"/>
      </w:rPr>
    </w:lvl>
    <w:lvl w:ilvl="7">
      <w:start w:val="1"/>
      <w:numFmt w:val="bullet"/>
      <w:lvlText w:val=""/>
      <w:lvlJc w:val="left"/>
      <w:pPr>
        <w:tabs>
          <w:tab w:pos="5760" w:val="num"/>
        </w:tabs>
        <w:ind w:hanging="360" w:left="5760"/>
      </w:pPr>
      <w:rPr>
        <w:rFonts w:ascii="Wingdings" w:cs="Wingdings" w:hAnsi="Wingdings" w:hint="default"/>
        <w:sz w:val="20"/>
      </w:rPr>
    </w:lvl>
    <w:lvl w:ilvl="8">
      <w:start w:val="1"/>
      <w:numFmt w:val="bullet"/>
      <w:lvlText w:val=""/>
      <w:lvlJc w:val="left"/>
      <w:pPr>
        <w:tabs>
          <w:tab w:pos="6480" w:val="num"/>
        </w:tabs>
        <w:ind w:hanging="360" w:left="6480"/>
      </w:pPr>
      <w:rPr>
        <w:rFonts w:ascii="Wingdings" w:cs="Wingdings" w:hAnsi="Wingdings" w:hint="default"/>
        <w:sz w:val="20"/>
      </w:rPr>
    </w:lvl>
  </w:abstractNum>
  <w:abstractNum w:abstractNumId="18">
    <w:lvl w:ilvl="0">
      <w:start w:val="2"/>
      <w:numFmt w:val="decimal"/>
      <w:lvlText w:val="%1."/>
      <w:lvlJc w:val="left"/>
      <w:pPr>
        <w:ind w:hanging="360" w:left="360"/>
      </w:pPr>
      <w:rPr/>
    </w:lvl>
    <w:lvl w:ilvl="1">
      <w:start w:val="2"/>
      <w:numFmt w:val="decimal"/>
      <w:lvlText w:val="%1.%2."/>
      <w:lvlJc w:val="left"/>
      <w:pPr>
        <w:ind w:hanging="360" w:left="360"/>
      </w:pPr>
      <w:rPr/>
    </w:lvl>
    <w:lvl w:ilvl="2">
      <w:start w:val="1"/>
      <w:numFmt w:val="decimal"/>
      <w:lvlText w:val="%1.%2.%3."/>
      <w:lvlJc w:val="left"/>
      <w:pPr>
        <w:ind w:hanging="720" w:left="720"/>
      </w:pPr>
      <w:rPr/>
    </w:lvl>
    <w:lvl w:ilvl="3">
      <w:start w:val="1"/>
      <w:numFmt w:val="decimal"/>
      <w:lvlText w:val="%1.%2.%3.%4."/>
      <w:lvlJc w:val="left"/>
      <w:pPr>
        <w:ind w:hanging="720" w:left="862"/>
      </w:pPr>
      <w:rPr/>
    </w:lvl>
    <w:lvl w:ilvl="4">
      <w:start w:val="1"/>
      <w:numFmt w:val="decimal"/>
      <w:lvlText w:val="%1.%2.%3.%4.%5."/>
      <w:lvlJc w:val="left"/>
      <w:pPr>
        <w:ind w:hanging="1080" w:left="1080"/>
      </w:pPr>
      <w:rPr/>
    </w:lvl>
    <w:lvl w:ilvl="5">
      <w:start w:val="1"/>
      <w:numFmt w:val="decimal"/>
      <w:lvlText w:val="%1.%2.%3.%4.%5.%6."/>
      <w:lvlJc w:val="left"/>
      <w:pPr>
        <w:ind w:hanging="1080" w:left="1080"/>
      </w:pPr>
      <w:rPr/>
    </w:lvl>
    <w:lvl w:ilvl="6">
      <w:start w:val="1"/>
      <w:numFmt w:val="decimal"/>
      <w:lvlText w:val="%1.%2.%3.%4.%5.%6.%7."/>
      <w:lvlJc w:val="left"/>
      <w:pPr>
        <w:ind w:hanging="1440" w:left="1440"/>
      </w:pPr>
      <w:rPr/>
    </w:lvl>
    <w:lvl w:ilvl="7">
      <w:start w:val="1"/>
      <w:numFmt w:val="decimal"/>
      <w:lvlText w:val="%1.%2.%3.%4.%5.%6.%7.%8."/>
      <w:lvlJc w:val="left"/>
      <w:pPr>
        <w:ind w:hanging="1440" w:left="1440"/>
      </w:pPr>
      <w:rPr/>
    </w:lvl>
    <w:lvl w:ilvl="8">
      <w:start w:val="1"/>
      <w:numFmt w:val="decimal"/>
      <w:lvlText w:val="%1.%2.%3.%4.%5.%6.%7.%8.%9."/>
      <w:lvlJc w:val="left"/>
      <w:pPr>
        <w:ind w:hanging="1800" w:left="1800"/>
      </w:pPr>
      <w:rPr/>
    </w:lvl>
  </w:abstractNum>
  <w:abstractNum w:abstractNumId="19">
    <w:lvl w:ilvl="0">
      <w:start w:val="1"/>
      <w:numFmt w:val="decimal"/>
      <w:lvlText w:val="%1."/>
      <w:lvlJc w:val="left"/>
      <w:pPr>
        <w:tabs>
          <w:tab w:pos="450" w:val="num"/>
        </w:tabs>
        <w:ind w:hanging="450" w:left="450"/>
      </w:pPr>
      <w:rPr/>
    </w:lvl>
  </w:abstractNum>
  <w:abstractNum w:abstractNumId="20">
    <w:lvl w:ilvl="0">
      <w:start w:val="1"/>
      <w:numFmt w:val="bullet"/>
      <w:lvlText w:val=""/>
      <w:lvlJc w:val="left"/>
      <w:pPr>
        <w:ind w:hanging="360" w:left="720"/>
      </w:pPr>
      <w:rPr>
        <w:rFonts w:ascii="Symbol" w:cs="Symbol" w:hAnsi="Symbol" w:hint="default"/>
      </w:rPr>
    </w:lvl>
  </w:abstractNum>
  <w:abstractNum w:abstractNumId="21">
    <w:lvl w:ilvl="0">
      <w:start w:val="1"/>
      <w:numFmt w:val="decimal"/>
      <w:lvlText w:val="%1."/>
      <w:lvlJc w:val="left"/>
      <w:pPr>
        <w:ind w:hanging="360" w:left="720"/>
      </w:pPr>
      <w:rPr>
        <w:b w:val="false"/>
      </w:rPr>
    </w:lvl>
  </w:abstractNum>
  <w:abstractNum w:abstractNumId="22">
    <w:lvl w:ilvl="0">
      <w:start w:val="2"/>
      <w:numFmt w:val="decimal"/>
      <w:lvlText w:val="%1."/>
      <w:lvlJc w:val="left"/>
      <w:pPr>
        <w:ind w:hanging="360" w:left="360"/>
      </w:pPr>
      <w:rPr/>
    </w:lvl>
    <w:lvl w:ilvl="1">
      <w:start w:val="2"/>
      <w:numFmt w:val="decimal"/>
      <w:lvlText w:val="%1.%2."/>
      <w:lvlJc w:val="left"/>
      <w:pPr>
        <w:ind w:hanging="360" w:left="360"/>
      </w:pPr>
      <w:rPr/>
    </w:lvl>
    <w:lvl w:ilvl="2">
      <w:start w:val="3"/>
      <w:numFmt w:val="decimal"/>
      <w:lvlText w:val="%1.%2.%3."/>
      <w:lvlJc w:val="left"/>
      <w:pPr>
        <w:ind w:hanging="720" w:left="720"/>
      </w:pPr>
      <w:rPr/>
    </w:lvl>
    <w:lvl w:ilvl="3">
      <w:start w:val="1"/>
      <w:numFmt w:val="decimal"/>
      <w:lvlText w:val="%1.%2.%3.%4."/>
      <w:lvlJc w:val="left"/>
      <w:pPr>
        <w:ind w:hanging="720" w:left="862"/>
      </w:pPr>
      <w:rPr/>
    </w:lvl>
    <w:lvl w:ilvl="4">
      <w:start w:val="1"/>
      <w:numFmt w:val="decimal"/>
      <w:lvlText w:val="%1.%2.%3.%4.%5."/>
      <w:lvlJc w:val="left"/>
      <w:pPr>
        <w:ind w:hanging="1080" w:left="1080"/>
      </w:pPr>
      <w:rPr/>
    </w:lvl>
    <w:lvl w:ilvl="5">
      <w:start w:val="1"/>
      <w:numFmt w:val="decimal"/>
      <w:lvlText w:val="%1.%2.%3.%4.%5.%6."/>
      <w:lvlJc w:val="left"/>
      <w:pPr>
        <w:ind w:hanging="1080" w:left="1080"/>
      </w:pPr>
      <w:rPr/>
    </w:lvl>
    <w:lvl w:ilvl="6">
      <w:start w:val="1"/>
      <w:numFmt w:val="decimal"/>
      <w:lvlText w:val="%1.%2.%3.%4.%5.%6.%7."/>
      <w:lvlJc w:val="left"/>
      <w:pPr>
        <w:ind w:hanging="1440" w:left="1440"/>
      </w:pPr>
      <w:rPr/>
    </w:lvl>
    <w:lvl w:ilvl="7">
      <w:start w:val="1"/>
      <w:numFmt w:val="decimal"/>
      <w:lvlText w:val="%1.%2.%3.%4.%5.%6.%7.%8."/>
      <w:lvlJc w:val="left"/>
      <w:pPr>
        <w:ind w:hanging="1440" w:left="1440"/>
      </w:pPr>
      <w:rPr/>
    </w:lvl>
    <w:lvl w:ilvl="8">
      <w:start w:val="1"/>
      <w:numFmt w:val="decimal"/>
      <w:lvlText w:val="%1.%2.%3.%4.%5.%6.%7.%8.%9."/>
      <w:lvlJc w:val="left"/>
      <w:pPr>
        <w:ind w:hanging="1800" w:left="1800"/>
      </w:pPr>
      <w:rPr/>
    </w:lvl>
  </w:abstractNum>
  <w:abstractNum w:abstractNumId="23">
    <w:lvl w:ilvl="0">
      <w:start w:val="1"/>
      <w:numFmt w:val="bullet"/>
      <w:lvlText w:val=""/>
      <w:lvlJc w:val="left"/>
      <w:pPr>
        <w:tabs>
          <w:tab w:pos="1190" w:val="num"/>
        </w:tabs>
        <w:ind w:hanging="360" w:left="1190"/>
      </w:pPr>
      <w:rPr>
        <w:rFonts w:ascii="Symbol" w:cs="Symbol" w:hAnsi="Symbol" w:hint="default"/>
        <w:color w:val="000000"/>
      </w:rPr>
    </w:lvl>
  </w:abstractNum>
  <w:abstractNum w:abstractNumId="24">
    <w:lvl w:ilvl="0">
      <w:start w:val="1"/>
      <w:numFmt w:val="lowerLetter"/>
      <w:lvlText w:val="%1."/>
      <w:lvlJc w:val="left"/>
      <w:pPr>
        <w:tabs>
          <w:tab w:pos="720" w:val="num"/>
        </w:tabs>
        <w:ind w:hanging="360" w:left="720"/>
      </w:pPr>
    </w:lvl>
    <w:lvl w:ilvl="1">
      <w:start w:val="1"/>
      <w:numFmt w:val="decimal"/>
      <w:lvlText w:val="%2."/>
      <w:lvlJc w:val="left"/>
      <w:pPr>
        <w:tabs>
          <w:tab w:pos="1440" w:val="num"/>
        </w:tabs>
        <w:ind w:hanging="360" w:left="1440"/>
      </w:pPr>
    </w:lvl>
    <w:lvl w:ilvl="2">
      <w:start w:val="1"/>
      <w:numFmt w:val="decimal"/>
      <w:lvlText w:val="%3."/>
      <w:lvlJc w:val="left"/>
      <w:pPr>
        <w:tabs>
          <w:tab w:pos="2160" w:val="num"/>
        </w:tabs>
        <w:ind w:hanging="360" w:left="2160"/>
      </w:pPr>
    </w:lvl>
    <w:lvl w:ilvl="3">
      <w:start w:val="1"/>
      <w:numFmt w:val="decimal"/>
      <w:lvlText w:val="%4."/>
      <w:lvlJc w:val="left"/>
      <w:pPr>
        <w:tabs>
          <w:tab w:pos="2880" w:val="num"/>
        </w:tabs>
        <w:ind w:hanging="360" w:left="2880"/>
      </w:pPr>
    </w:lvl>
    <w:lvl w:ilvl="4">
      <w:start w:val="1"/>
      <w:numFmt w:val="decimal"/>
      <w:lvlText w:val="%5."/>
      <w:lvlJc w:val="left"/>
      <w:pPr>
        <w:tabs>
          <w:tab w:pos="3600" w:val="num"/>
        </w:tabs>
        <w:ind w:hanging="360" w:left="3600"/>
      </w:pPr>
    </w:lvl>
    <w:lvl w:ilvl="5">
      <w:start w:val="1"/>
      <w:numFmt w:val="decimal"/>
      <w:lvlText w:val="%6."/>
      <w:lvlJc w:val="left"/>
      <w:pPr>
        <w:tabs>
          <w:tab w:pos="4320" w:val="num"/>
        </w:tabs>
        <w:ind w:hanging="360" w:left="4320"/>
      </w:pPr>
    </w:lvl>
    <w:lvl w:ilvl="6">
      <w:start w:val="1"/>
      <w:numFmt w:val="decimal"/>
      <w:lvlText w:val="%7."/>
      <w:lvlJc w:val="left"/>
      <w:pPr>
        <w:tabs>
          <w:tab w:pos="5040" w:val="num"/>
        </w:tabs>
        <w:ind w:hanging="360" w:left="5040"/>
      </w:pPr>
    </w:lvl>
    <w:lvl w:ilvl="7">
      <w:start w:val="1"/>
      <w:numFmt w:val="decimal"/>
      <w:lvlText w:val="%8."/>
      <w:lvlJc w:val="left"/>
      <w:pPr>
        <w:tabs>
          <w:tab w:pos="5760" w:val="num"/>
        </w:tabs>
        <w:ind w:hanging="360" w:left="5760"/>
      </w:pPr>
    </w:lvl>
    <w:lvl w:ilvl="8">
      <w:start w:val="1"/>
      <w:numFmt w:val="decimal"/>
      <w:lvlText w:val="%9."/>
      <w:lvlJc w:val="left"/>
      <w:pPr>
        <w:tabs>
          <w:tab w:pos="6480" w:val="num"/>
        </w:tabs>
        <w:ind w:hanging="360" w:left="6480"/>
      </w:pPr>
    </w:lvl>
  </w:abstractNum>
  <w:abstractNum w:abstractNumId="25">
    <w:lvl w:ilvl="0">
      <w:start w:val="0"/>
      <w:numFmt w:val="bullet"/>
      <w:lvlText w:val="•"/>
      <w:lvlJc w:val="left"/>
      <w:pPr>
        <w:ind w:hanging="360" w:left="1074"/>
      </w:pPr>
      <w:rPr>
        <w:rFonts w:ascii="Arial" w:cs="Arial" w:hAnsi="Arial" w:hint="default"/>
      </w:rPr>
    </w:lvl>
  </w:abstractNum>
  <w:abstractNum w:abstractNumId="26">
    <w:lvl w:ilvl="0">
      <w:start w:val="1"/>
      <w:numFmt w:val="decimal"/>
      <w:lvlText w:val="%1."/>
      <w:lvlJc w:val="left"/>
      <w:pPr>
        <w:tabs>
          <w:tab w:pos="360" w:val="num"/>
        </w:tabs>
        <w:ind w:hanging="360" w:left="360"/>
      </w:pPr>
      <w:rPr/>
    </w:lvl>
  </w:abstractNum>
  <w:abstractNum w:abstractNumId="27">
    <w:lvl w:ilvl="0">
      <w:start w:val="1"/>
      <w:numFmt w:val="lowerLetter"/>
      <w:lvlText w:val="%1."/>
      <w:lvlJc w:val="left"/>
      <w:pPr>
        <w:ind w:hanging="360" w:left="360"/>
      </w:pPr>
    </w:lvl>
  </w:abstractNum>
  <w:abstractNum w:abstractNumId="28">
    <w:lvl w:ilvl="0">
      <w:start w:val="0"/>
      <w:numFmt w:val="bullet"/>
      <w:lvlText w:val="•"/>
      <w:lvlJc w:val="left"/>
      <w:pPr>
        <w:ind w:hanging="360" w:left="720"/>
      </w:pPr>
      <w:rPr>
        <w:rFonts w:ascii="Arial" w:cs="Arial" w:hAnsi="Arial" w:hint="default"/>
      </w:rPr>
    </w:lvl>
  </w:abstractNum>
  <w:abstractNum w:abstractNumId="29">
    <w:lvl w:ilvl="0">
      <w:start w:val="1"/>
      <w:numFmt w:val="bullet"/>
      <w:lvlText w:val=""/>
      <w:lvlJc w:val="left"/>
      <w:pPr>
        <w:ind w:hanging="360" w:left="720"/>
      </w:pPr>
      <w:rPr>
        <w:rFonts w:ascii="Symbol" w:cs="Symbol" w:hAnsi="Symbol" w:hint="default"/>
      </w:rPr>
    </w:lvl>
  </w:abstractNum>
  <w:abstractNum w:abstractNumId="30">
    <w:lvl w:ilvl="0">
      <w:start w:val="1"/>
      <w:numFmt w:val="bullet"/>
      <w:lvlText w:val=""/>
      <w:lvlJc w:val="left"/>
      <w:pPr>
        <w:ind w:hanging="360" w:left="720"/>
      </w:pPr>
      <w:rPr>
        <w:rFonts w:ascii="Symbol" w:cs="Symbol" w:hAnsi="Symbol" w:hint="default"/>
      </w:rPr>
    </w:lvl>
  </w:abstractNum>
  <w:abstractNum w:abstractNumId="31">
    <w:lvl w:ilvl="0">
      <w:start w:val="1"/>
      <w:numFmt w:val="decimal"/>
      <w:lvlText w:val="%1."/>
      <w:lvlJc w:val="left"/>
      <w:pPr>
        <w:ind w:hanging="360" w:left="360"/>
      </w:pPr>
      <w:rPr>
        <w:b w:val="false"/>
      </w:rPr>
    </w:lvl>
  </w:abstractNum>
  <w:abstractNum w:abstractNumId="32">
    <w:lvl w:ilvl="0">
      <w:start w:val="1"/>
      <w:numFmt w:val="bullet"/>
      <w:lvlText w:val=""/>
      <w:lvlJc w:val="left"/>
      <w:pPr>
        <w:ind w:hanging="360" w:left="1068"/>
      </w:pPr>
      <w:rPr>
        <w:rFonts w:ascii="Symbol" w:cs="Symbol" w:hAnsi="Symbol" w:hint="default"/>
      </w:rPr>
    </w:lvl>
  </w:abstractNum>
  <w:abstractNum w:abstractNumId="33">
    <w:lvl w:ilvl="0">
      <w:start w:val="1"/>
      <w:numFmt w:val="decimal"/>
      <w:lvlText w:val="%1."/>
      <w:lvlJc w:val="left"/>
      <w:pPr>
        <w:ind w:hanging="840" w:left="1407"/>
      </w:pPr>
    </w:lvl>
  </w:abstractNum>
  <w:abstractNum w:abstractNumId="34">
    <w:lvl w:ilvl="0">
      <w:start w:val="1"/>
      <w:numFmt w:val="bullet"/>
      <w:lvlText w:val=""/>
      <w:lvlJc w:val="left"/>
      <w:pPr>
        <w:ind w:hanging="360" w:left="720"/>
      </w:pPr>
      <w:rPr>
        <w:rFonts w:ascii="Symbol" w:cs="Symbol" w:hAnsi="Symbol" w:hint="default"/>
      </w:rPr>
    </w:lvl>
  </w:abstractNum>
  <w:abstractNum w:abstractNumId="35">
    <w:lvl w:ilvl="0">
      <w:start w:val="1"/>
      <w:numFmt w:val="bullet"/>
      <w:lvlText w:val=""/>
      <w:lvlJc w:val="left"/>
      <w:pPr>
        <w:ind w:hanging="360" w:left="720"/>
      </w:pPr>
      <w:rPr>
        <w:rFonts w:ascii="Symbol" w:cs="Symbol" w:hAnsi="Symbol" w:hint="default"/>
      </w:rPr>
    </w:lvl>
  </w:abstractNum>
  <w:abstractNum w:abstractNumId="36">
    <w:lvl w:ilvl="0">
      <w:start w:val="1"/>
      <w:numFmt w:val="decimal"/>
      <w:lvlText w:val="%1."/>
      <w:lvlJc w:val="left"/>
      <w:pPr>
        <w:tabs>
          <w:tab w:pos="720" w:val="num"/>
        </w:tabs>
        <w:ind w:hanging="360" w:left="720"/>
      </w:pPr>
      <w:rPr>
        <w:sz w:val="24"/>
      </w:rPr>
    </w:lvl>
    <w:lvl w:ilvl="1">
      <w:start w:val="1"/>
      <w:numFmt w:val="decimal"/>
      <w:lvlText w:val="%2)"/>
      <w:lvlJc w:val="left"/>
      <w:pPr>
        <w:ind w:hanging="360" w:left="1440"/>
      </w:pPr>
    </w:lvl>
    <w:lvl w:ilvl="2">
      <w:start w:val="1"/>
      <w:numFmt w:val="bullet"/>
      <w:lvlText w:val=""/>
      <w:lvlJc w:val="left"/>
      <w:pPr>
        <w:tabs>
          <w:tab w:pos="2160" w:val="num"/>
        </w:tabs>
        <w:ind w:hanging="360" w:left="2160"/>
      </w:pPr>
      <w:rPr>
        <w:rFonts w:ascii="Wingdings" w:cs="Wingdings" w:hAnsi="Wingdings" w:hint="default"/>
        <w:sz w:val="20"/>
      </w:rPr>
    </w:lvl>
    <w:lvl w:ilvl="3">
      <w:start w:val="1"/>
      <w:numFmt w:val="bullet"/>
      <w:lvlText w:val=""/>
      <w:lvlJc w:val="left"/>
      <w:pPr>
        <w:tabs>
          <w:tab w:pos="2880" w:val="num"/>
        </w:tabs>
        <w:ind w:hanging="360" w:left="2880"/>
      </w:pPr>
      <w:rPr>
        <w:rFonts w:ascii="Wingdings" w:cs="Wingdings" w:hAnsi="Wingdings" w:hint="default"/>
        <w:sz w:val="20"/>
      </w:rPr>
    </w:lvl>
    <w:lvl w:ilvl="4">
      <w:start w:val="1"/>
      <w:numFmt w:val="bullet"/>
      <w:lvlText w:val=""/>
      <w:lvlJc w:val="left"/>
      <w:pPr>
        <w:tabs>
          <w:tab w:pos="3600" w:val="num"/>
        </w:tabs>
        <w:ind w:hanging="360" w:left="3600"/>
      </w:pPr>
      <w:rPr>
        <w:rFonts w:ascii="Wingdings" w:cs="Wingdings" w:hAnsi="Wingdings" w:hint="default"/>
        <w:sz w:val="20"/>
      </w:rPr>
    </w:lvl>
    <w:lvl w:ilvl="5">
      <w:start w:val="1"/>
      <w:numFmt w:val="bullet"/>
      <w:lvlText w:val=""/>
      <w:lvlJc w:val="left"/>
      <w:pPr>
        <w:tabs>
          <w:tab w:pos="4320" w:val="num"/>
        </w:tabs>
        <w:ind w:hanging="360" w:left="4320"/>
      </w:pPr>
      <w:rPr>
        <w:rFonts w:ascii="Wingdings" w:cs="Wingdings" w:hAnsi="Wingdings" w:hint="default"/>
        <w:sz w:val="20"/>
      </w:rPr>
    </w:lvl>
    <w:lvl w:ilvl="6">
      <w:start w:val="1"/>
      <w:numFmt w:val="bullet"/>
      <w:lvlText w:val=""/>
      <w:lvlJc w:val="left"/>
      <w:pPr>
        <w:tabs>
          <w:tab w:pos="5040" w:val="num"/>
        </w:tabs>
        <w:ind w:hanging="360" w:left="5040"/>
      </w:pPr>
      <w:rPr>
        <w:rFonts w:ascii="Wingdings" w:cs="Wingdings" w:hAnsi="Wingdings" w:hint="default"/>
        <w:sz w:val="20"/>
      </w:rPr>
    </w:lvl>
    <w:lvl w:ilvl="7">
      <w:start w:val="1"/>
      <w:numFmt w:val="bullet"/>
      <w:lvlText w:val=""/>
      <w:lvlJc w:val="left"/>
      <w:pPr>
        <w:tabs>
          <w:tab w:pos="5760" w:val="num"/>
        </w:tabs>
        <w:ind w:hanging="360" w:left="5760"/>
      </w:pPr>
      <w:rPr>
        <w:rFonts w:ascii="Wingdings" w:cs="Wingdings" w:hAnsi="Wingdings" w:hint="default"/>
        <w:sz w:val="20"/>
      </w:rPr>
    </w:lvl>
    <w:lvl w:ilvl="8">
      <w:start w:val="1"/>
      <w:numFmt w:val="bullet"/>
      <w:lvlText w:val=""/>
      <w:lvlJc w:val="left"/>
      <w:pPr>
        <w:tabs>
          <w:tab w:pos="6480" w:val="num"/>
        </w:tabs>
        <w:ind w:hanging="360" w:left="6480"/>
      </w:pPr>
      <w:rPr>
        <w:rFonts w:ascii="Wingdings" w:cs="Wingdings" w:hAnsi="Wingdings" w:hint="default"/>
        <w:sz w:val="20"/>
      </w:rPr>
    </w:lvl>
  </w:abstractNum>
  <w:abstractNum w:abstractNumId="37">
    <w:lvl w:ilvl="0">
      <w:start w:val="1"/>
      <w:numFmt w:val="bullet"/>
      <w:lvlText w:val=""/>
      <w:lvlJc w:val="left"/>
      <w:pPr>
        <w:ind w:hanging="360" w:left="720"/>
      </w:pPr>
      <w:rPr>
        <w:rFonts w:ascii="Symbol" w:cs="Symbol" w:hAnsi="Symbol" w:hint="default"/>
      </w:rPr>
    </w:lvl>
  </w:abstractNum>
  <w:abstractNum w:abstractNumId="38">
    <w:lvl w:ilvl="0">
      <w:start w:val="2"/>
      <w:numFmt w:val="decimal"/>
      <w:lvlText w:val="%1."/>
      <w:lvlJc w:val="left"/>
      <w:pPr>
        <w:ind w:hanging="360" w:left="360"/>
      </w:pPr>
      <w:rPr/>
    </w:lvl>
    <w:lvl w:ilvl="1">
      <w:start w:val="2"/>
      <w:numFmt w:val="decimal"/>
      <w:lvlText w:val="%1.%2."/>
      <w:lvlJc w:val="left"/>
      <w:pPr>
        <w:ind w:hanging="360" w:left="360"/>
      </w:pPr>
      <w:rPr/>
    </w:lvl>
    <w:lvl w:ilvl="2">
      <w:start w:val="3"/>
      <w:numFmt w:val="decimal"/>
      <w:lvlText w:val="%1.%2.%3."/>
      <w:lvlJc w:val="left"/>
      <w:pPr>
        <w:ind w:hanging="720" w:left="720"/>
      </w:pPr>
      <w:rPr/>
    </w:lvl>
    <w:lvl w:ilvl="3">
      <w:start w:val="1"/>
      <w:numFmt w:val="decimal"/>
      <w:lvlText w:val="%1.%2.%3.%4."/>
      <w:lvlJc w:val="left"/>
      <w:pPr>
        <w:ind w:hanging="720" w:left="862"/>
      </w:pPr>
      <w:rPr/>
    </w:lvl>
    <w:lvl w:ilvl="4">
      <w:start w:val="1"/>
      <w:numFmt w:val="decimal"/>
      <w:lvlText w:val="%1.%2.%3.%4.%5."/>
      <w:lvlJc w:val="left"/>
      <w:pPr>
        <w:ind w:hanging="1080" w:left="1080"/>
      </w:pPr>
      <w:rPr/>
    </w:lvl>
    <w:lvl w:ilvl="5">
      <w:start w:val="1"/>
      <w:numFmt w:val="decimal"/>
      <w:lvlText w:val="%1.%2.%3.%4.%5.%6."/>
      <w:lvlJc w:val="left"/>
      <w:pPr>
        <w:ind w:hanging="1080" w:left="1080"/>
      </w:pPr>
      <w:rPr/>
    </w:lvl>
    <w:lvl w:ilvl="6">
      <w:start w:val="1"/>
      <w:numFmt w:val="decimal"/>
      <w:lvlText w:val="%1.%2.%3.%4.%5.%6.%7."/>
      <w:lvlJc w:val="left"/>
      <w:pPr>
        <w:ind w:hanging="1440" w:left="1440"/>
      </w:pPr>
      <w:rPr/>
    </w:lvl>
    <w:lvl w:ilvl="7">
      <w:start w:val="1"/>
      <w:numFmt w:val="decimal"/>
      <w:lvlText w:val="%1.%2.%3.%4.%5.%6.%7.%8."/>
      <w:lvlJc w:val="left"/>
      <w:pPr>
        <w:ind w:hanging="1440" w:left="1440"/>
      </w:pPr>
      <w:rPr/>
    </w:lvl>
    <w:lvl w:ilvl="8">
      <w:start w:val="1"/>
      <w:numFmt w:val="decimal"/>
      <w:lvlText w:val="%1.%2.%3.%4.%5.%6.%7.%8.%9."/>
      <w:lvlJc w:val="left"/>
      <w:pPr>
        <w:ind w:hanging="1800" w:left="1800"/>
      </w:pPr>
      <w:rPr/>
    </w:lvl>
  </w:abstractNum>
  <w:abstractNum w:abstractNumId="39">
    <w:lvl w:ilvl="0">
      <w:start w:val="1"/>
      <w:numFmt w:val="bullet"/>
      <w:lvlText w:val=""/>
      <w:lvlJc w:val="left"/>
      <w:pPr>
        <w:tabs>
          <w:tab w:pos="644" w:val="num"/>
        </w:tabs>
        <w:ind w:hanging="360" w:left="644"/>
      </w:pPr>
      <w:rPr>
        <w:rFonts w:ascii="Wingdings" w:cs="Wingdings" w:hAnsi="Wingdings" w:hint="default"/>
        <w:sz w:val="20"/>
      </w:rPr>
    </w:lvl>
    <w:lvl w:ilvl="1">
      <w:start w:val="1"/>
      <w:numFmt w:val="bullet"/>
      <w:lvlText w:val=""/>
      <w:lvlJc w:val="left"/>
      <w:pPr>
        <w:tabs>
          <w:tab w:pos="1364" w:val="num"/>
        </w:tabs>
        <w:ind w:hanging="360" w:left="1364"/>
      </w:pPr>
      <w:rPr>
        <w:rFonts w:ascii="Wingdings" w:cs="Wingdings" w:hAnsi="Wingdings" w:hint="default"/>
        <w:sz w:val="20"/>
      </w:rPr>
    </w:lvl>
    <w:lvl w:ilvl="2">
      <w:start w:val="1"/>
      <w:numFmt w:val="bullet"/>
      <w:lvlText w:val=""/>
      <w:lvlJc w:val="left"/>
      <w:pPr>
        <w:tabs>
          <w:tab w:pos="2084" w:val="num"/>
        </w:tabs>
        <w:ind w:hanging="360" w:left="2084"/>
      </w:pPr>
      <w:rPr>
        <w:rFonts w:ascii="Wingdings" w:cs="Wingdings" w:hAnsi="Wingdings" w:hint="default"/>
        <w:sz w:val="20"/>
      </w:rPr>
    </w:lvl>
    <w:lvl w:ilvl="3">
      <w:start w:val="1"/>
      <w:numFmt w:val="bullet"/>
      <w:lvlText w:val=""/>
      <w:lvlJc w:val="left"/>
      <w:pPr>
        <w:tabs>
          <w:tab w:pos="2804" w:val="num"/>
        </w:tabs>
        <w:ind w:hanging="360" w:left="2804"/>
      </w:pPr>
      <w:rPr>
        <w:rFonts w:ascii="Wingdings" w:cs="Wingdings" w:hAnsi="Wingdings" w:hint="default"/>
        <w:sz w:val="20"/>
      </w:rPr>
    </w:lvl>
    <w:lvl w:ilvl="4">
      <w:start w:val="1"/>
      <w:numFmt w:val="bullet"/>
      <w:lvlText w:val=""/>
      <w:lvlJc w:val="left"/>
      <w:pPr>
        <w:tabs>
          <w:tab w:pos="3524" w:val="num"/>
        </w:tabs>
        <w:ind w:hanging="360" w:left="3524"/>
      </w:pPr>
      <w:rPr>
        <w:rFonts w:ascii="Wingdings" w:cs="Wingdings" w:hAnsi="Wingdings" w:hint="default"/>
        <w:sz w:val="20"/>
      </w:rPr>
    </w:lvl>
    <w:lvl w:ilvl="5">
      <w:start w:val="1"/>
      <w:numFmt w:val="bullet"/>
      <w:lvlText w:val=""/>
      <w:lvlJc w:val="left"/>
      <w:pPr>
        <w:tabs>
          <w:tab w:pos="4244" w:val="num"/>
        </w:tabs>
        <w:ind w:hanging="360" w:left="4244"/>
      </w:pPr>
      <w:rPr>
        <w:rFonts w:ascii="Wingdings" w:cs="Wingdings" w:hAnsi="Wingdings" w:hint="default"/>
        <w:sz w:val="20"/>
      </w:rPr>
    </w:lvl>
    <w:lvl w:ilvl="6">
      <w:start w:val="1"/>
      <w:numFmt w:val="bullet"/>
      <w:lvlText w:val=""/>
      <w:lvlJc w:val="left"/>
      <w:pPr>
        <w:tabs>
          <w:tab w:pos="4964" w:val="num"/>
        </w:tabs>
        <w:ind w:hanging="360" w:left="4964"/>
      </w:pPr>
      <w:rPr>
        <w:rFonts w:ascii="Wingdings" w:cs="Wingdings" w:hAnsi="Wingdings" w:hint="default"/>
        <w:sz w:val="20"/>
      </w:rPr>
    </w:lvl>
    <w:lvl w:ilvl="7">
      <w:start w:val="1"/>
      <w:numFmt w:val="bullet"/>
      <w:lvlText w:val=""/>
      <w:lvlJc w:val="left"/>
      <w:pPr>
        <w:tabs>
          <w:tab w:pos="5684" w:val="num"/>
        </w:tabs>
        <w:ind w:hanging="360" w:left="5684"/>
      </w:pPr>
      <w:rPr>
        <w:rFonts w:ascii="Wingdings" w:cs="Wingdings" w:hAnsi="Wingdings" w:hint="default"/>
        <w:sz w:val="20"/>
      </w:rPr>
    </w:lvl>
    <w:lvl w:ilvl="8">
      <w:start w:val="1"/>
      <w:numFmt w:val="bullet"/>
      <w:lvlText w:val=""/>
      <w:lvlJc w:val="left"/>
      <w:pPr>
        <w:tabs>
          <w:tab w:pos="6404" w:val="num"/>
        </w:tabs>
        <w:ind w:hanging="360" w:left="6404"/>
      </w:pPr>
      <w:rPr>
        <w:rFonts w:ascii="Wingdings" w:cs="Wingdings" w:hAnsi="Wingdings" w:hint="default"/>
        <w:sz w:val="20"/>
      </w:rPr>
    </w:lvl>
  </w:abstractNum>
  <w:abstractNum w:abstractNumId="40">
    <w:lvl w:ilvl="0">
      <w:start w:val="0"/>
      <w:numFmt w:val="bullet"/>
      <w:lvlText w:val=""/>
      <w:lvlJc w:val="left"/>
      <w:pPr>
        <w:tabs>
          <w:tab w:pos="720" w:val="num"/>
        </w:tabs>
        <w:ind w:hanging="360" w:left="720"/>
      </w:pPr>
      <w:rPr>
        <w:rFonts w:ascii="Symbol" w:cs="Symbol" w:hAnsi="Symbol" w:hint="default"/>
      </w:rPr>
    </w:lvl>
  </w:abstractNum>
  <w:abstractNum w:abstractNumId="41">
    <w:lvl w:ilvl="0">
      <w:start w:val="0"/>
      <w:numFmt w:val="bullet"/>
      <w:lvlText w:val="•"/>
      <w:lvlJc w:val="left"/>
      <w:pPr>
        <w:ind w:hanging="360" w:left="1080"/>
      </w:pPr>
      <w:rPr>
        <w:rFonts w:ascii="Arial" w:cs="Arial" w:hAnsi="Arial" w:hint="default"/>
      </w:rPr>
    </w:lvl>
  </w:abstractNum>
  <w:abstractNum w:abstractNumId="42">
    <w:lvl w:ilvl="0">
      <w:start w:val="0"/>
      <w:numFmt w:val="bullet"/>
      <w:lvlText w:val="•"/>
      <w:lvlJc w:val="left"/>
      <w:pPr>
        <w:ind w:hanging="360" w:left="720"/>
      </w:pPr>
      <w:rPr>
        <w:rFonts w:ascii="Arial" w:cs="Arial" w:hAnsi="Arial" w:hint="default"/>
      </w:rPr>
    </w:lvl>
  </w:abstractNum>
  <w:abstractNum w:abstractNumId="43">
    <w:lvl w:ilvl="0">
      <w:start w:val="1"/>
      <w:numFmt w:val="lowerLetter"/>
      <w:lvlText w:val="(%1)"/>
      <w:lvlJc w:val="left"/>
      <w:pPr>
        <w:ind w:hanging="435" w:left="1232"/>
      </w:pPr>
      <w:rPr>
        <w:sz w:val="24"/>
      </w:rPr>
    </w:lvl>
    <w:lvl w:ilvl="1">
      <w:start w:val="1"/>
      <w:numFmt w:val="decimal"/>
      <w:lvlText w:val="%2."/>
      <w:lvlJc w:val="left"/>
      <w:pPr>
        <w:ind w:hanging="360" w:left="1440"/>
      </w:pPr>
      <w:rPr>
        <w:b/>
      </w:rPr>
    </w:lvl>
    <w:lvl w:ilvl="2">
      <w:start w:val="1"/>
      <w:numFmt w:val="lowerRoman"/>
      <w:lvlText w:val="%3."/>
      <w:lvlJc w:val="right"/>
      <w:pPr>
        <w:ind w:hanging="180" w:left="2160"/>
      </w:pPr>
    </w:lvl>
    <w:lvl w:ilvl="3">
      <w:start w:val="1"/>
      <w:numFmt w:val="decimal"/>
      <w:lvlText w:val="%4."/>
      <w:lvlJc w:val="left"/>
      <w:pPr>
        <w:ind w:hanging="360" w:left="2880"/>
      </w:pPr>
    </w:lvl>
    <w:lvl w:ilvl="4">
      <w:start w:val="1"/>
      <w:numFmt w:val="lowerLetter"/>
      <w:lvlText w:val="%5."/>
      <w:lvlJc w:val="left"/>
      <w:pPr>
        <w:ind w:hanging="360" w:left="3600"/>
      </w:pPr>
    </w:lvl>
    <w:lvl w:ilvl="5">
      <w:start w:val="1"/>
      <w:numFmt w:val="lowerRoman"/>
      <w:lvlText w:val="%6."/>
      <w:lvlJc w:val="right"/>
      <w:pPr>
        <w:ind w:hanging="180" w:left="4320"/>
      </w:pPr>
    </w:lvl>
    <w:lvl w:ilvl="6">
      <w:start w:val="1"/>
      <w:numFmt w:val="decimal"/>
      <w:lvlText w:val="%7."/>
      <w:lvlJc w:val="left"/>
      <w:pPr>
        <w:ind w:hanging="360" w:left="5040"/>
      </w:pPr>
    </w:lvl>
    <w:lvl w:ilvl="7">
      <w:start w:val="1"/>
      <w:numFmt w:val="lowerLetter"/>
      <w:lvlText w:val="%8."/>
      <w:lvlJc w:val="left"/>
      <w:pPr>
        <w:ind w:hanging="360" w:left="5760"/>
      </w:pPr>
    </w:lvl>
    <w:lvl w:ilvl="8">
      <w:start w:val="1"/>
      <w:numFmt w:val="lowerRoman"/>
      <w:lvlText w:val="%9."/>
      <w:lvlJc w:val="right"/>
      <w:pPr>
        <w:ind w:hanging="180" w:left="6480"/>
      </w:pPr>
    </w:lvl>
  </w:abstractNum>
  <w:abstractNum w:abstractNumId="44">
    <w:lvl w:ilvl="0">
      <w:start w:val="8"/>
      <w:numFmt w:val="lowerLetter"/>
      <w:lvlText w:val="%1."/>
      <w:lvlJc w:val="left"/>
      <w:pPr>
        <w:ind w:hanging="360" w:left="720"/>
      </w:pPr>
    </w:lvl>
  </w:abstractNum>
  <w:abstractNum w:abstractNumId="45">
    <w:lvl w:ilvl="0">
      <w:start w:val="1"/>
      <w:numFmt w:val="decimal"/>
      <w:lvlText w:val="%1."/>
      <w:lvlJc w:val="left"/>
      <w:pPr>
        <w:tabs>
          <w:tab w:pos="360" w:val="num"/>
        </w:tabs>
        <w:ind w:hanging="360" w:left="360"/>
      </w:pPr>
      <w:rPr/>
    </w:lvl>
  </w:abstractNum>
  <w:abstractNum w:abstractNumId="46">
    <w:lvl w:ilvl="0">
      <w:start w:val="1"/>
      <w:numFmt w:val="bullet"/>
      <w:lvlText w:val=""/>
      <w:lvlJc w:val="left"/>
      <w:pPr>
        <w:ind w:hanging="360" w:left="360"/>
      </w:pPr>
      <w:rPr>
        <w:rFonts w:ascii="Wingdings" w:cs="Wingdings" w:hAnsi="Wingdings" w:hint="default"/>
        <w:color w:val="000000"/>
      </w:rPr>
    </w:lvl>
  </w:abstractNum>
  <w:abstractNum w:abstractNumId="47">
    <w:lvl w:ilvl="0">
      <w:start w:val="1"/>
      <w:numFmt w:val="decimal"/>
      <w:lvlText w:val="%1"/>
      <w:lvlJc w:val="left"/>
      <w:pPr>
        <w:tabs>
          <w:tab w:pos="720" w:val="num"/>
        </w:tabs>
        <w:ind w:hanging="360" w:left="720"/>
      </w:pPr>
    </w:lvl>
  </w:abstractNum>
  <w:abstractNum w:abstractNumId="48">
    <w:lvl w:ilvl="0">
      <w:start w:val="1"/>
      <w:numFmt w:val="bullet"/>
      <w:lvlText w:val=""/>
      <w:lvlJc w:val="left"/>
      <w:pPr>
        <w:ind w:hanging="360" w:left="1068"/>
      </w:pPr>
      <w:rPr>
        <w:rFonts w:ascii="Symbol" w:cs="Symbol" w:hAnsi="Symbol" w:hint="default"/>
      </w:rPr>
    </w:lvl>
  </w:abstractNum>
  <w:abstractNum w:abstractNumId="49">
    <w:lvl w:ilvl="0">
      <w:start w:val="1"/>
      <w:numFmt w:val="bullet"/>
      <w:lvlText w:val=""/>
      <w:lvlJc w:val="left"/>
      <w:pPr>
        <w:tabs>
          <w:tab w:pos="720" w:val="num"/>
        </w:tabs>
        <w:ind w:hanging="360" w:left="720"/>
      </w:pPr>
      <w:rPr>
        <w:rFonts w:ascii="Symbol" w:cs="Symbol" w:hAnsi="Symbol" w:hint="default"/>
        <w:sz w:val="20"/>
      </w:rPr>
    </w:lvl>
    <w:lvl w:ilvl="1">
      <w:start w:val="1"/>
      <w:numFmt w:val="bullet"/>
      <w:lvlText w:val=""/>
      <w:lvlJc w:val="left"/>
      <w:pPr>
        <w:tabs>
          <w:tab w:pos="1440" w:val="num"/>
        </w:tabs>
        <w:ind w:hanging="360" w:left="1440"/>
      </w:pPr>
      <w:rPr>
        <w:rFonts w:ascii="Symbol" w:cs="Symbol" w:hAnsi="Symbol" w:hint="default"/>
        <w:sz w:val="20"/>
      </w:rPr>
    </w:lvl>
    <w:lvl w:ilvl="2">
      <w:start w:val="1"/>
      <w:numFmt w:val="bullet"/>
      <w:lvlText w:val=""/>
      <w:lvlJc w:val="left"/>
      <w:pPr>
        <w:tabs>
          <w:tab w:pos="2160" w:val="num"/>
        </w:tabs>
        <w:ind w:hanging="360" w:left="2160"/>
      </w:pPr>
      <w:rPr>
        <w:rFonts w:ascii="Symbol" w:cs="Symbol" w:hAnsi="Symbol" w:hint="default"/>
        <w:sz w:val="20"/>
      </w:rPr>
    </w:lvl>
    <w:lvl w:ilvl="3">
      <w:start w:val="1"/>
      <w:numFmt w:val="bullet"/>
      <w:lvlText w:val=""/>
      <w:lvlJc w:val="left"/>
      <w:pPr>
        <w:tabs>
          <w:tab w:pos="2880" w:val="num"/>
        </w:tabs>
        <w:ind w:hanging="360" w:left="2880"/>
      </w:pPr>
      <w:rPr>
        <w:rFonts w:ascii="Symbol" w:cs="Symbol" w:hAnsi="Symbol" w:hint="default"/>
        <w:sz w:val="20"/>
      </w:rPr>
    </w:lvl>
    <w:lvl w:ilvl="4">
      <w:start w:val="1"/>
      <w:numFmt w:val="bullet"/>
      <w:lvlText w:val=""/>
      <w:lvlJc w:val="left"/>
      <w:pPr>
        <w:tabs>
          <w:tab w:pos="3600" w:val="num"/>
        </w:tabs>
        <w:ind w:hanging="360" w:left="3600"/>
      </w:pPr>
      <w:rPr>
        <w:rFonts w:ascii="Symbol" w:cs="Symbol" w:hAnsi="Symbol" w:hint="default"/>
        <w:sz w:val="20"/>
      </w:rPr>
    </w:lvl>
    <w:lvl w:ilvl="5">
      <w:start w:val="1"/>
      <w:numFmt w:val="bullet"/>
      <w:lvlText w:val=""/>
      <w:lvlJc w:val="left"/>
      <w:pPr>
        <w:tabs>
          <w:tab w:pos="4320" w:val="num"/>
        </w:tabs>
        <w:ind w:hanging="360" w:left="4320"/>
      </w:pPr>
      <w:rPr>
        <w:rFonts w:ascii="Symbol" w:cs="Symbol" w:hAnsi="Symbol" w:hint="default"/>
        <w:sz w:val="20"/>
      </w:rPr>
    </w:lvl>
    <w:lvl w:ilvl="6">
      <w:start w:val="1"/>
      <w:numFmt w:val="bullet"/>
      <w:lvlText w:val=""/>
      <w:lvlJc w:val="left"/>
      <w:pPr>
        <w:tabs>
          <w:tab w:pos="5040" w:val="num"/>
        </w:tabs>
        <w:ind w:hanging="360" w:left="5040"/>
      </w:pPr>
      <w:rPr>
        <w:rFonts w:ascii="Symbol" w:cs="Symbol" w:hAnsi="Symbol" w:hint="default"/>
        <w:sz w:val="20"/>
      </w:rPr>
    </w:lvl>
    <w:lvl w:ilvl="7">
      <w:start w:val="1"/>
      <w:numFmt w:val="bullet"/>
      <w:lvlText w:val=""/>
      <w:lvlJc w:val="left"/>
      <w:pPr>
        <w:tabs>
          <w:tab w:pos="5760" w:val="num"/>
        </w:tabs>
        <w:ind w:hanging="360" w:left="5760"/>
      </w:pPr>
      <w:rPr>
        <w:rFonts w:ascii="Symbol" w:cs="Symbol" w:hAnsi="Symbol" w:hint="default"/>
        <w:sz w:val="20"/>
      </w:rPr>
    </w:lvl>
    <w:lvl w:ilvl="8">
      <w:start w:val="1"/>
      <w:numFmt w:val="bullet"/>
      <w:lvlText w:val=""/>
      <w:lvlJc w:val="left"/>
      <w:pPr>
        <w:tabs>
          <w:tab w:pos="6480" w:val="num"/>
        </w:tabs>
        <w:ind w:hanging="360" w:left="6480"/>
      </w:pPr>
      <w:rPr>
        <w:rFonts w:ascii="Symbol" w:cs="Symbol" w:hAnsi="Symbol" w:hint="default"/>
        <w:sz w:val="20"/>
      </w:rPr>
    </w:lvl>
  </w:abstractNum>
  <w:abstractNum w:abstractNumId="50">
    <w:lvl w:ilvl="0">
      <w:start w:val="0"/>
      <w:numFmt w:val="bullet"/>
      <w:lvlText w:val="•"/>
      <w:lvlJc w:val="left"/>
      <w:pPr>
        <w:ind w:hanging="360" w:left="1080"/>
      </w:pPr>
      <w:rPr>
        <w:rFonts w:ascii="Arial" w:cs="Arial" w:hAnsi="Arial" w:hint="default"/>
      </w:rPr>
    </w:lvl>
  </w:abstractNum>
  <w:abstractNum w:abstractNumId="51">
    <w:lvl w:ilvl="0">
      <w:start w:val="1"/>
      <w:numFmt w:val="decimal"/>
      <w:lvlText w:val="%1."/>
      <w:lvlJc w:val="left"/>
      <w:pPr>
        <w:ind w:hanging="360" w:left="720"/>
      </w:pPr>
    </w:lvl>
  </w:abstractNum>
  <w:abstractNum w:abstractNumId="52">
    <w:lvl w:ilvl="0">
      <w:start w:val="1"/>
      <w:numFmt w:val="bullet"/>
      <w:lvlText w:val=""/>
      <w:lvlJc w:val="left"/>
      <w:pPr>
        <w:ind w:hanging="360" w:left="720"/>
      </w:pPr>
      <w:rPr>
        <w:rFonts w:ascii="Wingdings" w:cs="Wingdings" w:hAnsi="Wingdings" w:hint="default"/>
      </w:rPr>
    </w:lvl>
  </w:abstractNum>
  <w:abstractNum w:abstractNumId="53">
    <w:lvl w:ilvl="0">
      <w:start w:val="3"/>
      <w:numFmt w:val="decimal"/>
      <w:lvlText w:val="%1."/>
      <w:lvlJc w:val="left"/>
      <w:pPr>
        <w:ind w:hanging="360" w:left="360"/>
      </w:pPr>
      <w:rPr/>
    </w:lvl>
    <w:lvl w:ilvl="1">
      <w:start w:val="1"/>
      <w:numFmt w:val="decimal"/>
      <w:lvlText w:val="%1.%2."/>
      <w:lvlJc w:val="left"/>
      <w:pPr>
        <w:ind w:hanging="360" w:left="360"/>
      </w:pPr>
      <w:rPr/>
    </w:lvl>
    <w:lvl w:ilvl="2">
      <w:start w:val="1"/>
      <w:numFmt w:val="decimal"/>
      <w:lvlText w:val="%1.%2.%3."/>
      <w:lvlJc w:val="left"/>
      <w:pPr>
        <w:ind w:hanging="720" w:left="720"/>
      </w:pPr>
      <w:rPr/>
    </w:lvl>
    <w:lvl w:ilvl="3">
      <w:start w:val="1"/>
      <w:numFmt w:val="decimal"/>
      <w:lvlText w:val="%1.%2.%3.%4."/>
      <w:lvlJc w:val="left"/>
      <w:pPr>
        <w:ind w:hanging="720" w:left="720"/>
      </w:pPr>
      <w:rPr/>
    </w:lvl>
    <w:lvl w:ilvl="4">
      <w:start w:val="1"/>
      <w:numFmt w:val="decimal"/>
      <w:lvlText w:val="%1.%2.%3.%4.%5."/>
      <w:lvlJc w:val="left"/>
      <w:pPr>
        <w:ind w:hanging="1080" w:left="1080"/>
      </w:pPr>
      <w:rPr/>
    </w:lvl>
    <w:lvl w:ilvl="5">
      <w:start w:val="1"/>
      <w:numFmt w:val="decimal"/>
      <w:lvlText w:val="%1.%2.%3.%4.%5.%6."/>
      <w:lvlJc w:val="left"/>
      <w:pPr>
        <w:ind w:hanging="1080" w:left="1080"/>
      </w:pPr>
      <w:rPr/>
    </w:lvl>
    <w:lvl w:ilvl="6">
      <w:start w:val="1"/>
      <w:numFmt w:val="decimal"/>
      <w:lvlText w:val="%1.%2.%3.%4.%5.%6.%7."/>
      <w:lvlJc w:val="left"/>
      <w:pPr>
        <w:ind w:hanging="1440" w:left="1440"/>
      </w:pPr>
      <w:rPr/>
    </w:lvl>
    <w:lvl w:ilvl="7">
      <w:start w:val="1"/>
      <w:numFmt w:val="decimal"/>
      <w:lvlText w:val="%1.%2.%3.%4.%5.%6.%7.%8."/>
      <w:lvlJc w:val="left"/>
      <w:pPr>
        <w:ind w:hanging="1440" w:left="1440"/>
      </w:pPr>
      <w:rPr/>
    </w:lvl>
    <w:lvl w:ilvl="8">
      <w:start w:val="1"/>
      <w:numFmt w:val="decimal"/>
      <w:lvlText w:val="%1.%2.%3.%4.%5.%6.%7.%8.%9."/>
      <w:lvlJc w:val="left"/>
      <w:pPr>
        <w:ind w:hanging="1800" w:left="1800"/>
      </w:pPr>
      <w:rPr/>
    </w:lvl>
  </w:abstractNum>
  <w:abstractNum w:abstractNumId="54">
    <w:lvl w:ilvl="0">
      <w:start w:val="1"/>
      <w:numFmt w:val="bullet"/>
      <w:lvlText w:val=""/>
      <w:lvlJc w:val="left"/>
      <w:pPr>
        <w:ind w:hanging="360" w:left="774"/>
      </w:pPr>
      <w:rPr>
        <w:rFonts w:ascii="Symbol" w:cs="Symbol" w:hAnsi="Symbol" w:hint="default"/>
      </w:rPr>
    </w:lvl>
  </w:abstractNum>
  <w:abstractNum w:abstractNumId="55">
    <w:lvl w:ilvl="0">
      <w:start w:val="1"/>
      <w:numFmt w:val="upperRoman"/>
      <w:lvlText w:val="%1."/>
      <w:lvlJc w:val="right"/>
      <w:pPr>
        <w:ind w:hanging="360" w:left="1320"/>
      </w:pPr>
    </w:lvl>
  </w:abstractNum>
  <w:abstractNum w:abstractNumId="56">
    <w:lvl w:ilvl="0">
      <w:start w:val="1"/>
      <w:numFmt w:val="decimal"/>
      <w:lvlText w:val="%1"/>
      <w:lvlJc w:val="left"/>
      <w:pPr>
        <w:tabs>
          <w:tab w:pos="720" w:val="num"/>
        </w:tabs>
        <w:ind w:hanging="360" w:left="720"/>
      </w:pPr>
    </w:lvl>
  </w:abstractNum>
  <w:abstractNum w:abstractNumId="57">
    <w:lvl w:ilvl="0">
      <w:start w:val="10"/>
      <w:numFmt w:val="lowerLetter"/>
      <w:lvlText w:val="%1."/>
      <w:lvlJc w:val="left"/>
      <w:pPr>
        <w:ind w:hanging="360" w:left="1068"/>
      </w:pPr>
    </w:lvl>
    <w:lvl w:ilvl="1">
      <w:start w:val="1"/>
      <w:numFmt w:val="lowerLetter"/>
      <w:lvlText w:val="%2."/>
      <w:lvlJc w:val="left"/>
      <w:pPr>
        <w:ind w:hanging="360" w:left="1788"/>
      </w:pPr>
    </w:lvl>
    <w:lvl w:ilvl="2">
      <w:start w:val="1"/>
      <w:numFmt w:val="lowerRoman"/>
      <w:lvlText w:val="%3."/>
      <w:lvlJc w:val="right"/>
      <w:pPr>
        <w:ind w:hanging="180" w:left="2508"/>
      </w:pPr>
    </w:lvl>
    <w:lvl w:ilvl="3">
      <w:start w:val="1"/>
      <w:numFmt w:val="decimal"/>
      <w:lvlText w:val="%4."/>
      <w:lvlJc w:val="left"/>
      <w:pPr>
        <w:ind w:hanging="360" w:left="3228"/>
      </w:pPr>
    </w:lvl>
    <w:lvl w:ilvl="4">
      <w:start w:val="1"/>
      <w:numFmt w:val="lowerLetter"/>
      <w:lvlText w:val="%5."/>
      <w:lvlJc w:val="left"/>
      <w:pPr>
        <w:ind w:hanging="360" w:left="3948"/>
      </w:pPr>
    </w:lvl>
    <w:lvl w:ilvl="5">
      <w:start w:val="1"/>
      <w:numFmt w:val="lowerRoman"/>
      <w:lvlText w:val="%6."/>
      <w:lvlJc w:val="right"/>
      <w:pPr>
        <w:ind w:hanging="180" w:left="4668"/>
      </w:pPr>
    </w:lvl>
    <w:lvl w:ilvl="6">
      <w:start w:val="1"/>
      <w:numFmt w:val="decimal"/>
      <w:lvlText w:val="%7."/>
      <w:lvlJc w:val="left"/>
      <w:pPr>
        <w:ind w:hanging="360" w:left="5388"/>
      </w:pPr>
    </w:lvl>
    <w:lvl w:ilvl="7">
      <w:start w:val="1"/>
      <w:numFmt w:val="lowerLetter"/>
      <w:lvlText w:val="%8."/>
      <w:lvlJc w:val="left"/>
      <w:pPr>
        <w:ind w:hanging="360" w:left="6108"/>
      </w:pPr>
    </w:lvl>
    <w:lvl w:ilvl="8">
      <w:start w:val="1"/>
      <w:numFmt w:val="lowerRoman"/>
      <w:lvlText w:val="%9."/>
      <w:lvlJc w:val="right"/>
      <w:pPr>
        <w:ind w:hanging="180" w:left="6828"/>
      </w:pPr>
    </w:lvl>
  </w:abstractNum>
  <w:abstractNum w:abstractNumId="58">
    <w:lvl w:ilvl="0">
      <w:start w:val="0"/>
      <w:numFmt w:val="bullet"/>
      <w:lvlText w:val="•"/>
      <w:lvlJc w:val="left"/>
      <w:pPr>
        <w:ind w:hanging="360" w:left="780"/>
      </w:pPr>
      <w:rPr>
        <w:rFonts w:ascii="Arial" w:cs="Arial" w:hAnsi="Arial" w:hint="default"/>
      </w:rPr>
    </w:lvl>
  </w:abstractNum>
  <w:abstractNum w:abstractNumId="59">
    <w:lvl w:ilvl="0">
      <w:start w:val="0"/>
      <w:numFmt w:val="bullet"/>
      <w:lvlText w:val="•"/>
      <w:lvlJc w:val="left"/>
      <w:pPr>
        <w:ind w:hanging="360" w:left="720"/>
      </w:pPr>
      <w:rPr>
        <w:rFonts w:ascii="Arial" w:cs="Arial" w:hAnsi="Arial" w:hint="default"/>
      </w:rPr>
    </w:lvl>
  </w:abstractNum>
  <w:abstractNum w:abstractNumId="60">
    <w:lvl w:ilvl="0">
      <w:start w:val="1"/>
      <w:numFmt w:val="decimal"/>
      <w:lvlText w:val="%1."/>
      <w:lvlJc w:val="left"/>
      <w:pPr>
        <w:tabs>
          <w:tab w:pos="360" w:val="num"/>
        </w:tabs>
        <w:ind w:hanging="360" w:left="360"/>
      </w:pPr>
      <w:rPr/>
    </w:lvl>
  </w:abstractNum>
  <w:abstractNum w:abstractNumId="61">
    <w:lvl w:ilvl="0">
      <w:start w:val="0"/>
      <w:numFmt w:val="bullet"/>
      <w:lvlText w:val="•"/>
      <w:lvlJc w:val="left"/>
      <w:pPr>
        <w:ind w:hanging="360" w:left="1080"/>
      </w:pPr>
      <w:rPr>
        <w:rFonts w:ascii="Arial" w:cs="Arial" w:hAnsi="Arial" w:hint="default"/>
      </w:rPr>
    </w:lvl>
  </w:abstractNum>
  <w:abstractNum w:abstractNumId="62">
    <w:lvl w:ilvl="0">
      <w:start w:val="1"/>
      <w:numFmt w:val="bullet"/>
      <w:lvlText w:val=""/>
      <w:lvlJc w:val="left"/>
      <w:pPr>
        <w:ind w:hanging="360" w:left="720"/>
      </w:pPr>
      <w:rPr>
        <w:rFonts w:ascii="Symbol" w:cs="Symbol" w:hAnsi="Symbol" w:hint="default"/>
      </w:rPr>
    </w:lvl>
  </w:abstractNum>
  <w:abstractNum w:abstractNumId="63">
    <w:lvl w:ilvl="0">
      <w:start w:val="1"/>
      <w:numFmt w:val="decimal"/>
      <w:lvlText w:val="%1."/>
      <w:lvlJc w:val="left"/>
      <w:pPr>
        <w:ind w:hanging="360" w:left="720"/>
      </w:pPr>
    </w:lvl>
  </w:abstractNum>
  <w:abstractNum w:abstractNumId="64">
    <w:lvl w:ilvl="0">
      <w:start w:val="1"/>
      <w:numFmt w:val="bullet"/>
      <w:lvlText w:val=""/>
      <w:lvlJc w:val="left"/>
      <w:pPr>
        <w:ind w:hanging="360" w:left="720"/>
      </w:pPr>
      <w:rPr>
        <w:rFonts w:ascii="Symbol" w:cs="Symbol" w:hAnsi="Symbol" w:hint="default"/>
      </w:rPr>
    </w:lvl>
  </w:abstractNum>
  <w:abstractNum w:abstractNumId="65">
    <w:lvl w:ilvl="0">
      <w:start w:val="1"/>
      <w:numFmt w:val="decimal"/>
      <w:lvlText w:val="%1."/>
      <w:lvlJc w:val="left"/>
      <w:pPr>
        <w:ind w:hanging="360" w:left="720"/>
      </w:pPr>
    </w:lvl>
    <w:lvl w:ilvl="1">
      <w:start w:val="1"/>
      <w:numFmt w:val="decimal"/>
      <w:lvlText w:val="%1.%2"/>
      <w:lvlJc w:val="left"/>
      <w:pPr>
        <w:ind w:hanging="720" w:left="1080"/>
      </w:pPr>
      <w:rPr>
        <w:b w:val="false"/>
      </w:rPr>
    </w:lvl>
    <w:lvl w:ilvl="2">
      <w:start w:val="10"/>
      <w:numFmt w:val="decimal"/>
      <w:lvlText w:val="%1.%2.%3"/>
      <w:lvlJc w:val="left"/>
      <w:pPr>
        <w:ind w:hanging="720" w:left="1080"/>
      </w:pPr>
      <w:rPr>
        <w:b w:val="false"/>
      </w:rPr>
    </w:lvl>
    <w:lvl w:ilvl="3">
      <w:start w:val="1"/>
      <w:numFmt w:val="decimal"/>
      <w:lvlText w:val="%1.%2.%3.%4"/>
      <w:lvlJc w:val="left"/>
      <w:pPr>
        <w:ind w:hanging="1080" w:left="1440"/>
      </w:pPr>
      <w:rPr>
        <w:b w:val="false"/>
      </w:rPr>
    </w:lvl>
    <w:lvl w:ilvl="4">
      <w:start w:val="1"/>
      <w:numFmt w:val="decimal"/>
      <w:lvlText w:val="%1.%2.%3.%4.%5"/>
      <w:lvlJc w:val="left"/>
      <w:pPr>
        <w:ind w:hanging="1080" w:left="1440"/>
      </w:pPr>
      <w:rPr>
        <w:b w:val="false"/>
      </w:rPr>
    </w:lvl>
    <w:lvl w:ilvl="5">
      <w:start w:val="1"/>
      <w:numFmt w:val="decimal"/>
      <w:lvlText w:val="%1.%2.%3.%4.%5.%6"/>
      <w:lvlJc w:val="left"/>
      <w:pPr>
        <w:ind w:hanging="1440" w:left="1800"/>
      </w:pPr>
      <w:rPr>
        <w:b w:val="false"/>
      </w:rPr>
    </w:lvl>
    <w:lvl w:ilvl="6">
      <w:start w:val="1"/>
      <w:numFmt w:val="decimal"/>
      <w:lvlText w:val="%1.%2.%3.%4.%5.%6.%7"/>
      <w:lvlJc w:val="left"/>
      <w:pPr>
        <w:ind w:hanging="1440" w:left="1800"/>
      </w:pPr>
      <w:rPr>
        <w:b w:val="false"/>
      </w:rPr>
    </w:lvl>
    <w:lvl w:ilvl="7">
      <w:start w:val="1"/>
      <w:numFmt w:val="decimal"/>
      <w:lvlText w:val="%1.%2.%3.%4.%5.%6.%7.%8"/>
      <w:lvlJc w:val="left"/>
      <w:pPr>
        <w:ind w:hanging="1800" w:left="2160"/>
      </w:pPr>
      <w:rPr>
        <w:b w:val="false"/>
      </w:rPr>
    </w:lvl>
    <w:lvl w:ilvl="8">
      <w:start w:val="1"/>
      <w:numFmt w:val="decimal"/>
      <w:lvlText w:val="%1.%2.%3.%4.%5.%6.%7.%8.%9"/>
      <w:lvlJc w:val="left"/>
      <w:pPr>
        <w:ind w:hanging="1800" w:left="2160"/>
      </w:pPr>
      <w:rPr>
        <w:b w:val="fals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bering>
</file>

<file path=word/styles.xml><?xml version="1.0" encoding="utf-8"?>
<w:styles xmlns:w="http://schemas.openxmlformats.org/wordprocessingml/2006/main">
  <w:style w:styleId="style0" w:type="paragraph">
    <w:name w:val="Predeterminado"/>
    <w:next w:val="style0"/>
    <w:pPr>
      <w:widowControl/>
      <w:tabs>
        <w:tab w:leader="none" w:pos="737" w:val="left"/>
      </w:tabs>
      <w:suppressAutoHyphens w:val="true"/>
      <w:spacing w:after="200" w:before="0" w:line="276" w:lineRule="auto"/>
    </w:pPr>
    <w:rPr>
      <w:rFonts w:ascii="Calibri" w:cs="Times New Roman" w:eastAsia="Calibri" w:hAnsi="Calibri"/>
      <w:color w:val="auto"/>
      <w:sz w:val="22"/>
      <w:szCs w:val="22"/>
      <w:lang w:bidi="ar-SA" w:eastAsia="zh-CN" w:val="es-ES"/>
    </w:rPr>
  </w:style>
  <w:style w:styleId="style1" w:type="paragraph">
    <w:name w:val="Encabezado 1"/>
    <w:basedOn w:val="style0"/>
    <w:next w:val="style0"/>
    <w:pPr>
      <w:keepNext/>
      <w:keepLines/>
      <w:numPr>
        <w:ilvl w:val="0"/>
        <w:numId w:val="1"/>
      </w:numPr>
      <w:spacing w:after="0" w:before="480"/>
      <w:outlineLvl w:val="0"/>
    </w:pPr>
    <w:rPr>
      <w:rFonts w:ascii="Cambria" w:cs="Times New Roman" w:eastAsia="Times New Roman" w:hAnsi="Cambria"/>
      <w:b/>
      <w:bCs/>
      <w:color w:val="365F91"/>
      <w:sz w:val="28"/>
      <w:szCs w:val="28"/>
    </w:rPr>
  </w:style>
  <w:style w:styleId="style2" w:type="paragraph">
    <w:name w:val="Encabezado 2"/>
    <w:basedOn w:val="style0"/>
    <w:next w:val="style190"/>
    <w:pPr>
      <w:numPr>
        <w:ilvl w:val="1"/>
        <w:numId w:val="1"/>
      </w:numPr>
      <w:spacing w:after="280" w:before="280" w:line="240" w:lineRule="auto"/>
      <w:outlineLvl w:val="1"/>
    </w:pPr>
    <w:rPr>
      <w:rFonts w:ascii="Times New Roman" w:cs="Times New Roman" w:eastAsia="Times New Roman" w:hAnsi="Times New Roman"/>
      <w:b/>
      <w:bCs/>
      <w:sz w:val="36"/>
      <w:szCs w:val="36"/>
      <w:lang w:val="es-VE"/>
    </w:rPr>
  </w:style>
  <w:style w:styleId="style3" w:type="paragraph">
    <w:name w:val="Encabezado 3"/>
    <w:basedOn w:val="style0"/>
    <w:next w:val="style190"/>
    <w:pPr>
      <w:numPr>
        <w:ilvl w:val="2"/>
        <w:numId w:val="1"/>
      </w:numPr>
      <w:spacing w:after="280" w:before="280" w:line="240" w:lineRule="auto"/>
      <w:outlineLvl w:val="2"/>
    </w:pPr>
    <w:rPr>
      <w:rFonts w:ascii="Times New Roman" w:cs="Times New Roman" w:eastAsia="Times New Roman" w:hAnsi="Times New Roman"/>
      <w:b/>
      <w:bCs/>
      <w:sz w:val="27"/>
      <w:szCs w:val="27"/>
      <w:lang w:val="es-VE"/>
    </w:rPr>
  </w:style>
  <w:style w:styleId="style4" w:type="paragraph">
    <w:name w:val="Encabezado 4"/>
    <w:basedOn w:val="style0"/>
    <w:next w:val="style0"/>
    <w:pPr>
      <w:keepNext/>
      <w:numPr>
        <w:ilvl w:val="3"/>
        <w:numId w:val="1"/>
      </w:numPr>
      <w:spacing w:after="60" w:before="240" w:line="240" w:lineRule="auto"/>
      <w:ind w:hanging="864" w:left="864" w:right="0"/>
      <w:outlineLvl w:val="3"/>
    </w:pPr>
    <w:rPr>
      <w:rFonts w:ascii="Times New Roman" w:cs="Times New Roman" w:eastAsia="Times New Roman" w:hAnsi="Times New Roman"/>
      <w:b/>
      <w:bCs/>
      <w:sz w:val="28"/>
      <w:szCs w:val="28"/>
    </w:rPr>
  </w:style>
  <w:style w:styleId="style5" w:type="paragraph">
    <w:name w:val="Encabezado 5"/>
    <w:basedOn w:val="style0"/>
    <w:next w:val="style0"/>
    <w:pPr>
      <w:numPr>
        <w:ilvl w:val="4"/>
        <w:numId w:val="1"/>
      </w:numPr>
      <w:spacing w:after="60" w:before="240" w:line="240" w:lineRule="auto"/>
      <w:ind w:hanging="1008" w:left="1008" w:right="0"/>
      <w:outlineLvl w:val="4"/>
    </w:pPr>
    <w:rPr>
      <w:rFonts w:ascii="Times New Roman" w:cs="Times New Roman" w:eastAsia="Times New Roman" w:hAnsi="Times New Roman"/>
      <w:b/>
      <w:bCs/>
      <w:i/>
      <w:iCs/>
      <w:sz w:val="26"/>
      <w:szCs w:val="26"/>
    </w:rPr>
  </w:style>
  <w:style w:styleId="style6" w:type="paragraph">
    <w:name w:val="Encabezado 6"/>
    <w:basedOn w:val="style0"/>
    <w:next w:val="style0"/>
    <w:pPr>
      <w:numPr>
        <w:ilvl w:val="5"/>
        <w:numId w:val="1"/>
      </w:numPr>
      <w:spacing w:after="60" w:before="240" w:line="240" w:lineRule="auto"/>
      <w:ind w:hanging="1152" w:left="1152" w:right="0"/>
      <w:outlineLvl w:val="5"/>
    </w:pPr>
    <w:rPr>
      <w:rFonts w:ascii="Times New Roman" w:cs="Times New Roman" w:eastAsia="Times New Roman" w:hAnsi="Times New Roman"/>
      <w:b/>
      <w:bCs/>
    </w:rPr>
  </w:style>
  <w:style w:styleId="style7" w:type="paragraph">
    <w:name w:val="Encabezado 7"/>
    <w:basedOn w:val="style0"/>
    <w:next w:val="style0"/>
    <w:pPr>
      <w:numPr>
        <w:ilvl w:val="6"/>
        <w:numId w:val="1"/>
      </w:numPr>
      <w:spacing w:after="60" w:before="240" w:line="240" w:lineRule="auto"/>
      <w:ind w:hanging="1296" w:left="1296" w:right="0"/>
      <w:outlineLvl w:val="6"/>
    </w:pPr>
    <w:rPr>
      <w:rFonts w:ascii="Times New Roman" w:cs="Times New Roman" w:eastAsia="Times New Roman" w:hAnsi="Times New Roman"/>
      <w:sz w:val="24"/>
      <w:szCs w:val="24"/>
    </w:rPr>
  </w:style>
  <w:style w:styleId="style8" w:type="paragraph">
    <w:name w:val="Encabezado 8"/>
    <w:basedOn w:val="style0"/>
    <w:next w:val="style0"/>
    <w:pPr>
      <w:numPr>
        <w:ilvl w:val="7"/>
        <w:numId w:val="1"/>
      </w:numPr>
      <w:spacing w:after="60" w:before="240" w:line="240" w:lineRule="auto"/>
      <w:ind w:hanging="1440" w:left="1440" w:right="0"/>
      <w:outlineLvl w:val="7"/>
    </w:pPr>
    <w:rPr>
      <w:rFonts w:ascii="Times New Roman" w:cs="Times New Roman" w:eastAsia="Times New Roman" w:hAnsi="Times New Roman"/>
      <w:i/>
      <w:iCs/>
      <w:sz w:val="24"/>
      <w:szCs w:val="24"/>
    </w:rPr>
  </w:style>
  <w:style w:styleId="style9" w:type="paragraph">
    <w:name w:val="Encabezado 9"/>
    <w:basedOn w:val="style0"/>
    <w:next w:val="style0"/>
    <w:pPr>
      <w:numPr>
        <w:ilvl w:val="8"/>
        <w:numId w:val="1"/>
      </w:numPr>
      <w:spacing w:after="60" w:before="240" w:line="240" w:lineRule="auto"/>
      <w:ind w:hanging="1584" w:left="1584" w:right="0"/>
      <w:outlineLvl w:val="8"/>
    </w:pPr>
    <w:rPr>
      <w:rFonts w:ascii="Arial" w:cs="Arial" w:eastAsia="Times New Roman" w:hAnsi="Arial"/>
    </w:rPr>
  </w:style>
  <w:style w:styleId="style15" w:type="character">
    <w:name w:val="WW8Num2z0"/>
    <w:next w:val="style15"/>
    <w:rPr>
      <w:b w:val="false"/>
    </w:rPr>
  </w:style>
  <w:style w:styleId="style16" w:type="character">
    <w:name w:val="WW8Num3z0"/>
    <w:next w:val="style16"/>
    <w:rPr>
      <w:rFonts w:ascii="Arial" w:cs="Arial" w:eastAsia="Times New Roman" w:hAnsi="Arial"/>
    </w:rPr>
  </w:style>
  <w:style w:styleId="style17" w:type="character">
    <w:name w:val="WW8Num3z1"/>
    <w:next w:val="style17"/>
    <w:rPr>
      <w:rFonts w:ascii="Courier New" w:cs="Courier New" w:hAnsi="Courier New"/>
    </w:rPr>
  </w:style>
  <w:style w:styleId="style18" w:type="character">
    <w:name w:val="WW8Num3z2"/>
    <w:next w:val="style18"/>
    <w:rPr>
      <w:rFonts w:ascii="Wingdings" w:cs="Wingdings" w:hAnsi="Wingdings"/>
    </w:rPr>
  </w:style>
  <w:style w:styleId="style19" w:type="character">
    <w:name w:val="WW8Num3z3"/>
    <w:next w:val="style19"/>
    <w:rPr>
      <w:rFonts w:ascii="Symbol" w:cs="Symbol" w:hAnsi="Symbol"/>
    </w:rPr>
  </w:style>
  <w:style w:styleId="style20" w:type="character">
    <w:name w:val="WW8Num4z0"/>
    <w:next w:val="style20"/>
    <w:rPr>
      <w:rFonts w:ascii="Symbol" w:cs="Symbol" w:hAnsi="Symbol"/>
    </w:rPr>
  </w:style>
  <w:style w:styleId="style21" w:type="character">
    <w:name w:val="WW8Num4z1"/>
    <w:next w:val="style21"/>
    <w:rPr>
      <w:rFonts w:ascii="Courier New" w:cs="Courier New" w:hAnsi="Courier New"/>
    </w:rPr>
  </w:style>
  <w:style w:styleId="style22" w:type="character">
    <w:name w:val="WW8Num4z2"/>
    <w:next w:val="style22"/>
    <w:rPr>
      <w:rFonts w:ascii="Wingdings" w:cs="Wingdings" w:hAnsi="Wingdings"/>
    </w:rPr>
  </w:style>
  <w:style w:styleId="style23" w:type="character">
    <w:name w:val="WW8Num5z0"/>
    <w:next w:val="style23"/>
    <w:rPr>
      <w:rFonts w:ascii="Arial" w:cs="Arial" w:hAnsi="Arial"/>
    </w:rPr>
  </w:style>
  <w:style w:styleId="style24" w:type="character">
    <w:name w:val="WW8Num6z0"/>
    <w:next w:val="style24"/>
    <w:rPr>
      <w:rFonts w:ascii="Wingdings" w:cs="Wingdings" w:hAnsi="Wingdings"/>
    </w:rPr>
  </w:style>
  <w:style w:styleId="style25" w:type="character">
    <w:name w:val="WW8Num6z1"/>
    <w:next w:val="style25"/>
    <w:rPr>
      <w:rFonts w:ascii="Courier New" w:cs="Courier New" w:hAnsi="Courier New"/>
    </w:rPr>
  </w:style>
  <w:style w:styleId="style26" w:type="character">
    <w:name w:val="WW8Num6z3"/>
    <w:next w:val="style26"/>
    <w:rPr>
      <w:rFonts w:ascii="Symbol" w:cs="Symbol" w:hAnsi="Symbol"/>
    </w:rPr>
  </w:style>
  <w:style w:styleId="style27" w:type="character">
    <w:name w:val="WW8Num8z0"/>
    <w:next w:val="style27"/>
    <w:rPr>
      <w:b/>
    </w:rPr>
  </w:style>
  <w:style w:styleId="style28" w:type="character">
    <w:name w:val="WW8Num9z0"/>
    <w:next w:val="style28"/>
    <w:rPr>
      <w:sz w:val="24"/>
    </w:rPr>
  </w:style>
  <w:style w:styleId="style29" w:type="character">
    <w:name w:val="WW8Num9z2"/>
    <w:next w:val="style29"/>
    <w:rPr>
      <w:rFonts w:ascii="Wingdings" w:cs="Wingdings" w:hAnsi="Wingdings"/>
      <w:sz w:val="20"/>
    </w:rPr>
  </w:style>
  <w:style w:styleId="style30" w:type="character">
    <w:name w:val="WW8Num14z0"/>
    <w:next w:val="style30"/>
    <w:rPr>
      <w:rFonts w:cs="Times New Roman"/>
    </w:rPr>
  </w:style>
  <w:style w:styleId="style31" w:type="character">
    <w:name w:val="WW8Num15z0"/>
    <w:next w:val="style31"/>
    <w:rPr>
      <w:rFonts w:ascii="Arial" w:cs="Arial" w:eastAsia="Calibri" w:hAnsi="Arial"/>
    </w:rPr>
  </w:style>
  <w:style w:styleId="style32" w:type="character">
    <w:name w:val="WW8Num15z1"/>
    <w:next w:val="style32"/>
    <w:rPr>
      <w:rFonts w:ascii="Courier New" w:cs="Courier New" w:hAnsi="Courier New"/>
    </w:rPr>
  </w:style>
  <w:style w:styleId="style33" w:type="character">
    <w:name w:val="WW8Num15z2"/>
    <w:next w:val="style33"/>
    <w:rPr>
      <w:rFonts w:ascii="Wingdings" w:cs="Wingdings" w:hAnsi="Wingdings"/>
    </w:rPr>
  </w:style>
  <w:style w:styleId="style34" w:type="character">
    <w:name w:val="WW8Num15z3"/>
    <w:next w:val="style34"/>
    <w:rPr>
      <w:rFonts w:ascii="Symbol" w:cs="Symbol" w:hAnsi="Symbol"/>
    </w:rPr>
  </w:style>
  <w:style w:styleId="style35" w:type="character">
    <w:name w:val="WW8Num16z0"/>
    <w:next w:val="style35"/>
    <w:rPr>
      <w:rFonts w:ascii="Symbol" w:cs="Symbol" w:hAnsi="Symbol"/>
      <w:sz w:val="20"/>
    </w:rPr>
  </w:style>
  <w:style w:styleId="style36" w:type="character">
    <w:name w:val="WW8Num17z0"/>
    <w:next w:val="style36"/>
    <w:rPr>
      <w:rFonts w:ascii="Symbol" w:cs="Symbol" w:hAnsi="Symbol"/>
      <w:sz w:val="20"/>
    </w:rPr>
  </w:style>
  <w:style w:styleId="style37" w:type="character">
    <w:name w:val="WW8Num17z1"/>
    <w:next w:val="style37"/>
    <w:rPr>
      <w:rFonts w:ascii="Courier New" w:cs="Courier New" w:hAnsi="Courier New"/>
      <w:sz w:val="20"/>
    </w:rPr>
  </w:style>
  <w:style w:styleId="style38" w:type="character">
    <w:name w:val="WW8Num17z2"/>
    <w:next w:val="style38"/>
    <w:rPr>
      <w:rFonts w:ascii="Wingdings" w:cs="Wingdings" w:hAnsi="Wingdings"/>
      <w:sz w:val="20"/>
    </w:rPr>
  </w:style>
  <w:style w:styleId="style39" w:type="character">
    <w:name w:val="WW8Num18z0"/>
    <w:next w:val="style39"/>
    <w:rPr>
      <w:rFonts w:cs="Times New Roman"/>
    </w:rPr>
  </w:style>
  <w:style w:styleId="style40" w:type="character">
    <w:name w:val="WW8Num19z0"/>
    <w:next w:val="style40"/>
    <w:rPr>
      <w:rFonts w:cs="Times New Roman"/>
    </w:rPr>
  </w:style>
  <w:style w:styleId="style41" w:type="character">
    <w:name w:val="WW8Num20z0"/>
    <w:next w:val="style41"/>
    <w:rPr>
      <w:rFonts w:ascii="Symbol" w:cs="Symbol" w:hAnsi="Symbol"/>
    </w:rPr>
  </w:style>
  <w:style w:styleId="style42" w:type="character">
    <w:name w:val="WW8Num20z1"/>
    <w:next w:val="style42"/>
    <w:rPr>
      <w:rFonts w:ascii="Courier New" w:cs="Courier New" w:hAnsi="Courier New"/>
    </w:rPr>
  </w:style>
  <w:style w:styleId="style43" w:type="character">
    <w:name w:val="WW8Num20z2"/>
    <w:next w:val="style43"/>
    <w:rPr>
      <w:rFonts w:ascii="Wingdings" w:cs="Wingdings" w:hAnsi="Wingdings"/>
    </w:rPr>
  </w:style>
  <w:style w:styleId="style44" w:type="character">
    <w:name w:val="WW8Num21z0"/>
    <w:next w:val="style44"/>
    <w:rPr>
      <w:rFonts w:ascii="Symbol" w:cs="Symbol" w:hAnsi="Symbol"/>
    </w:rPr>
  </w:style>
  <w:style w:styleId="style45" w:type="character">
    <w:name w:val="WW8Num21z1"/>
    <w:next w:val="style45"/>
    <w:rPr>
      <w:rFonts w:ascii="Courier New" w:cs="Courier New" w:hAnsi="Courier New"/>
    </w:rPr>
  </w:style>
  <w:style w:styleId="style46" w:type="character">
    <w:name w:val="WW8Num21z2"/>
    <w:next w:val="style46"/>
    <w:rPr>
      <w:rFonts w:ascii="Wingdings" w:cs="Wingdings" w:hAnsi="Wingdings"/>
    </w:rPr>
  </w:style>
  <w:style w:styleId="style47" w:type="character">
    <w:name w:val="WW8Num22z0"/>
    <w:next w:val="style47"/>
    <w:rPr>
      <w:b w:val="false"/>
    </w:rPr>
  </w:style>
  <w:style w:styleId="style48" w:type="character">
    <w:name w:val="WW8Num23z0"/>
    <w:next w:val="style48"/>
    <w:rPr>
      <w:rFonts w:cs="Times New Roman"/>
    </w:rPr>
  </w:style>
  <w:style w:styleId="style49" w:type="character">
    <w:name w:val="WW8Num24z0"/>
    <w:next w:val="style49"/>
    <w:rPr>
      <w:rFonts w:ascii="Symbol" w:cs="Symbol" w:hAnsi="Symbol"/>
      <w:color w:val="000000"/>
    </w:rPr>
  </w:style>
  <w:style w:styleId="style50" w:type="character">
    <w:name w:val="WW8Num24z1"/>
    <w:next w:val="style50"/>
    <w:rPr>
      <w:rFonts w:ascii="Courier New" w:cs="Courier New" w:hAnsi="Courier New"/>
    </w:rPr>
  </w:style>
  <w:style w:styleId="style51" w:type="character">
    <w:name w:val="WW8Num24z2"/>
    <w:next w:val="style51"/>
    <w:rPr>
      <w:rFonts w:ascii="Wingdings" w:cs="Wingdings" w:hAnsi="Wingdings"/>
    </w:rPr>
  </w:style>
  <w:style w:styleId="style52" w:type="character">
    <w:name w:val="WW8Num24z3"/>
    <w:next w:val="style52"/>
    <w:rPr>
      <w:rFonts w:ascii="Symbol" w:cs="Symbol" w:hAnsi="Symbol"/>
    </w:rPr>
  </w:style>
  <w:style w:styleId="style53" w:type="character">
    <w:name w:val="WW8Num26z0"/>
    <w:next w:val="style53"/>
    <w:rPr>
      <w:rFonts w:ascii="Arial" w:cs="Arial" w:eastAsia="Calibri" w:hAnsi="Arial"/>
    </w:rPr>
  </w:style>
  <w:style w:styleId="style54" w:type="character">
    <w:name w:val="WW8Num26z1"/>
    <w:next w:val="style54"/>
    <w:rPr>
      <w:rFonts w:ascii="Courier New" w:cs="Courier New" w:hAnsi="Courier New"/>
    </w:rPr>
  </w:style>
  <w:style w:styleId="style55" w:type="character">
    <w:name w:val="WW8Num26z2"/>
    <w:next w:val="style55"/>
    <w:rPr>
      <w:rFonts w:ascii="Wingdings" w:cs="Wingdings" w:hAnsi="Wingdings"/>
    </w:rPr>
  </w:style>
  <w:style w:styleId="style56" w:type="character">
    <w:name w:val="WW8Num26z3"/>
    <w:next w:val="style56"/>
    <w:rPr>
      <w:rFonts w:ascii="Symbol" w:cs="Symbol" w:hAnsi="Symbol"/>
    </w:rPr>
  </w:style>
  <w:style w:styleId="style57" w:type="character">
    <w:name w:val="WW8Num27z0"/>
    <w:next w:val="style57"/>
    <w:rPr>
      <w:rFonts w:cs="Times New Roman"/>
    </w:rPr>
  </w:style>
  <w:style w:styleId="style58" w:type="character">
    <w:name w:val="WW8Num29z0"/>
    <w:next w:val="style58"/>
    <w:rPr>
      <w:rFonts w:ascii="Arial" w:cs="Arial" w:eastAsia="Calibri" w:hAnsi="Arial"/>
    </w:rPr>
  </w:style>
  <w:style w:styleId="style59" w:type="character">
    <w:name w:val="WW8Num29z1"/>
    <w:next w:val="style59"/>
    <w:rPr>
      <w:rFonts w:ascii="Courier New" w:cs="Courier New" w:hAnsi="Courier New"/>
    </w:rPr>
  </w:style>
  <w:style w:styleId="style60" w:type="character">
    <w:name w:val="WW8Num29z2"/>
    <w:next w:val="style60"/>
    <w:rPr>
      <w:rFonts w:ascii="Wingdings" w:cs="Wingdings" w:hAnsi="Wingdings"/>
    </w:rPr>
  </w:style>
  <w:style w:styleId="style61" w:type="character">
    <w:name w:val="WW8Num29z3"/>
    <w:next w:val="style61"/>
    <w:rPr>
      <w:rFonts w:ascii="Symbol" w:cs="Symbol" w:hAnsi="Symbol"/>
    </w:rPr>
  </w:style>
  <w:style w:styleId="style62" w:type="character">
    <w:name w:val="WW8Num30z0"/>
    <w:next w:val="style62"/>
    <w:rPr>
      <w:rFonts w:ascii="Symbol" w:cs="Symbol" w:hAnsi="Symbol"/>
    </w:rPr>
  </w:style>
  <w:style w:styleId="style63" w:type="character">
    <w:name w:val="WW8Num30z1"/>
    <w:next w:val="style63"/>
    <w:rPr>
      <w:rFonts w:ascii="Courier New" w:cs="Courier New" w:hAnsi="Courier New"/>
    </w:rPr>
  </w:style>
  <w:style w:styleId="style64" w:type="character">
    <w:name w:val="WW8Num30z2"/>
    <w:next w:val="style64"/>
    <w:rPr>
      <w:rFonts w:ascii="Wingdings" w:cs="Wingdings" w:hAnsi="Wingdings"/>
    </w:rPr>
  </w:style>
  <w:style w:styleId="style65" w:type="character">
    <w:name w:val="WW8Num31z0"/>
    <w:next w:val="style65"/>
    <w:rPr>
      <w:rFonts w:ascii="Symbol" w:cs="Symbol" w:hAnsi="Symbol"/>
    </w:rPr>
  </w:style>
  <w:style w:styleId="style66" w:type="character">
    <w:name w:val="WW8Num31z1"/>
    <w:next w:val="style66"/>
    <w:rPr>
      <w:rFonts w:ascii="Courier New" w:cs="Courier New" w:hAnsi="Courier New"/>
    </w:rPr>
  </w:style>
  <w:style w:styleId="style67" w:type="character">
    <w:name w:val="WW8Num31z2"/>
    <w:next w:val="style67"/>
    <w:rPr>
      <w:rFonts w:ascii="Wingdings" w:cs="Wingdings" w:hAnsi="Wingdings"/>
    </w:rPr>
  </w:style>
  <w:style w:styleId="style68" w:type="character">
    <w:name w:val="WW8Num32z0"/>
    <w:next w:val="style68"/>
    <w:rPr>
      <w:b w:val="false"/>
    </w:rPr>
  </w:style>
  <w:style w:styleId="style69" w:type="character">
    <w:name w:val="WW8Num33z0"/>
    <w:next w:val="style69"/>
    <w:rPr>
      <w:rFonts w:ascii="Symbol" w:cs="Symbol" w:hAnsi="Symbol"/>
    </w:rPr>
  </w:style>
  <w:style w:styleId="style70" w:type="character">
    <w:name w:val="WW8Num33z1"/>
    <w:next w:val="style70"/>
    <w:rPr>
      <w:rFonts w:ascii="Courier New" w:cs="Courier New" w:hAnsi="Courier New"/>
    </w:rPr>
  </w:style>
  <w:style w:styleId="style71" w:type="character">
    <w:name w:val="WW8Num33z2"/>
    <w:next w:val="style71"/>
    <w:rPr>
      <w:rFonts w:ascii="Wingdings" w:cs="Wingdings" w:hAnsi="Wingdings"/>
    </w:rPr>
  </w:style>
  <w:style w:styleId="style72" w:type="character">
    <w:name w:val="WW8Num35z0"/>
    <w:next w:val="style72"/>
    <w:rPr>
      <w:rFonts w:ascii="Symbol" w:cs="Symbol" w:hAnsi="Symbol"/>
    </w:rPr>
  </w:style>
  <w:style w:styleId="style73" w:type="character">
    <w:name w:val="WW8Num35z1"/>
    <w:next w:val="style73"/>
    <w:rPr>
      <w:rFonts w:ascii="Courier New" w:cs="Courier New" w:hAnsi="Courier New"/>
    </w:rPr>
  </w:style>
  <w:style w:styleId="style74" w:type="character">
    <w:name w:val="WW8Num35z2"/>
    <w:next w:val="style74"/>
    <w:rPr>
      <w:rFonts w:ascii="Wingdings" w:cs="Wingdings" w:hAnsi="Wingdings"/>
    </w:rPr>
  </w:style>
  <w:style w:styleId="style75" w:type="character">
    <w:name w:val="WW8Num37z0"/>
    <w:next w:val="style75"/>
    <w:rPr>
      <w:rFonts w:ascii="Symbol" w:cs="Symbol" w:hAnsi="Symbol"/>
    </w:rPr>
  </w:style>
  <w:style w:styleId="style76" w:type="character">
    <w:name w:val="WW8Num37z1"/>
    <w:next w:val="style76"/>
    <w:rPr>
      <w:rFonts w:ascii="Courier New" w:cs="Courier New" w:hAnsi="Courier New"/>
    </w:rPr>
  </w:style>
  <w:style w:styleId="style77" w:type="character">
    <w:name w:val="WW8Num37z2"/>
    <w:next w:val="style77"/>
    <w:rPr>
      <w:rFonts w:ascii="Wingdings" w:cs="Wingdings" w:hAnsi="Wingdings"/>
    </w:rPr>
  </w:style>
  <w:style w:styleId="style78" w:type="character">
    <w:name w:val="WW8Num38z0"/>
    <w:next w:val="style78"/>
    <w:rPr>
      <w:sz w:val="24"/>
    </w:rPr>
  </w:style>
  <w:style w:styleId="style79" w:type="character">
    <w:name w:val="WW8Num38z2"/>
    <w:next w:val="style79"/>
    <w:rPr>
      <w:rFonts w:ascii="Wingdings" w:cs="Wingdings" w:hAnsi="Wingdings"/>
      <w:sz w:val="20"/>
    </w:rPr>
  </w:style>
  <w:style w:styleId="style80" w:type="character">
    <w:name w:val="WW8Num39z0"/>
    <w:next w:val="style80"/>
    <w:rPr>
      <w:rFonts w:ascii="Symbol" w:cs="Symbol" w:hAnsi="Symbol"/>
    </w:rPr>
  </w:style>
  <w:style w:styleId="style81" w:type="character">
    <w:name w:val="WW8Num39z1"/>
    <w:next w:val="style81"/>
    <w:rPr>
      <w:rFonts w:ascii="Courier New" w:cs="Courier New" w:hAnsi="Courier New"/>
    </w:rPr>
  </w:style>
  <w:style w:styleId="style82" w:type="character">
    <w:name w:val="WW8Num39z2"/>
    <w:next w:val="style82"/>
    <w:rPr>
      <w:rFonts w:ascii="Wingdings" w:cs="Wingdings" w:hAnsi="Wingdings"/>
    </w:rPr>
  </w:style>
  <w:style w:styleId="style83" w:type="character">
    <w:name w:val="WW8Num40z0"/>
    <w:next w:val="style83"/>
    <w:rPr>
      <w:rFonts w:cs="Times New Roman"/>
    </w:rPr>
  </w:style>
  <w:style w:styleId="style84" w:type="character">
    <w:name w:val="WW8Num41z0"/>
    <w:next w:val="style84"/>
    <w:rPr>
      <w:rFonts w:ascii="Wingdings" w:cs="Wingdings" w:hAnsi="Wingdings"/>
      <w:sz w:val="20"/>
    </w:rPr>
  </w:style>
  <w:style w:styleId="style85" w:type="character">
    <w:name w:val="WW8Num42z0"/>
    <w:next w:val="style85"/>
    <w:rPr>
      <w:rFonts w:ascii="Symbol" w:cs="Times New Roman" w:eastAsia="Times New Roman" w:hAnsi="Symbol"/>
    </w:rPr>
  </w:style>
  <w:style w:styleId="style86" w:type="character">
    <w:name w:val="WW8Num42z1"/>
    <w:next w:val="style86"/>
    <w:rPr>
      <w:rFonts w:ascii="Courier New" w:cs="Courier New" w:hAnsi="Courier New"/>
    </w:rPr>
  </w:style>
  <w:style w:styleId="style87" w:type="character">
    <w:name w:val="WW8Num42z2"/>
    <w:next w:val="style87"/>
    <w:rPr>
      <w:rFonts w:ascii="Wingdings" w:cs="Wingdings" w:hAnsi="Wingdings"/>
    </w:rPr>
  </w:style>
  <w:style w:styleId="style88" w:type="character">
    <w:name w:val="WW8Num42z3"/>
    <w:next w:val="style88"/>
    <w:rPr>
      <w:rFonts w:ascii="Symbol" w:cs="Symbol" w:hAnsi="Symbol"/>
    </w:rPr>
  </w:style>
  <w:style w:styleId="style89" w:type="character">
    <w:name w:val="WW8Num43z0"/>
    <w:next w:val="style89"/>
    <w:rPr>
      <w:rFonts w:ascii="Arial" w:cs="Arial" w:eastAsia="Calibri" w:hAnsi="Arial"/>
    </w:rPr>
  </w:style>
  <w:style w:styleId="style90" w:type="character">
    <w:name w:val="WW8Num43z1"/>
    <w:next w:val="style90"/>
    <w:rPr>
      <w:rFonts w:ascii="Courier New" w:cs="Courier New" w:hAnsi="Courier New"/>
    </w:rPr>
  </w:style>
  <w:style w:styleId="style91" w:type="character">
    <w:name w:val="WW8Num43z2"/>
    <w:next w:val="style91"/>
    <w:rPr>
      <w:rFonts w:ascii="Wingdings" w:cs="Wingdings" w:hAnsi="Wingdings"/>
    </w:rPr>
  </w:style>
  <w:style w:styleId="style92" w:type="character">
    <w:name w:val="WW8Num43z3"/>
    <w:next w:val="style92"/>
    <w:rPr>
      <w:rFonts w:ascii="Symbol" w:cs="Symbol" w:hAnsi="Symbol"/>
    </w:rPr>
  </w:style>
  <w:style w:styleId="style93" w:type="character">
    <w:name w:val="WW8Num44z0"/>
    <w:next w:val="style93"/>
    <w:rPr>
      <w:rFonts w:ascii="Arial" w:cs="Arial" w:eastAsia="Times New Roman" w:hAnsi="Arial"/>
    </w:rPr>
  </w:style>
  <w:style w:styleId="style94" w:type="character">
    <w:name w:val="WW8Num44z1"/>
    <w:next w:val="style94"/>
    <w:rPr>
      <w:rFonts w:ascii="Courier New" w:cs="Courier New" w:hAnsi="Courier New"/>
    </w:rPr>
  </w:style>
  <w:style w:styleId="style95" w:type="character">
    <w:name w:val="WW8Num44z2"/>
    <w:next w:val="style95"/>
    <w:rPr>
      <w:rFonts w:ascii="Wingdings" w:cs="Wingdings" w:hAnsi="Wingdings"/>
    </w:rPr>
  </w:style>
  <w:style w:styleId="style96" w:type="character">
    <w:name w:val="WW8Num44z3"/>
    <w:next w:val="style96"/>
    <w:rPr>
      <w:rFonts w:ascii="Symbol" w:cs="Symbol" w:hAnsi="Symbol"/>
    </w:rPr>
  </w:style>
  <w:style w:styleId="style97" w:type="character">
    <w:name w:val="WW8Num45z0"/>
    <w:next w:val="style97"/>
    <w:rPr>
      <w:sz w:val="24"/>
    </w:rPr>
  </w:style>
  <w:style w:styleId="style98" w:type="character">
    <w:name w:val="WW8Num45z1"/>
    <w:next w:val="style98"/>
    <w:rPr>
      <w:b/>
    </w:rPr>
  </w:style>
  <w:style w:styleId="style99" w:type="character">
    <w:name w:val="WW8Num47z0"/>
    <w:next w:val="style99"/>
    <w:rPr>
      <w:rFonts w:cs="Times New Roman"/>
    </w:rPr>
  </w:style>
  <w:style w:styleId="style100" w:type="character">
    <w:name w:val="WW8Num48z0"/>
    <w:next w:val="style100"/>
    <w:rPr>
      <w:rFonts w:ascii="Wingdings" w:cs="Wingdings" w:hAnsi="Wingdings"/>
      <w:color w:val="000000"/>
    </w:rPr>
  </w:style>
  <w:style w:styleId="style101" w:type="character">
    <w:name w:val="WW8Num48z1"/>
    <w:next w:val="style101"/>
    <w:rPr>
      <w:rFonts w:ascii="Courier New" w:cs="Courier New" w:hAnsi="Courier New"/>
    </w:rPr>
  </w:style>
  <w:style w:styleId="style102" w:type="character">
    <w:name w:val="WW8Num48z2"/>
    <w:next w:val="style102"/>
    <w:rPr>
      <w:rFonts w:ascii="Wingdings" w:cs="Wingdings" w:hAnsi="Wingdings"/>
    </w:rPr>
  </w:style>
  <w:style w:styleId="style103" w:type="character">
    <w:name w:val="WW8Num48z3"/>
    <w:next w:val="style103"/>
    <w:rPr>
      <w:rFonts w:ascii="Symbol" w:cs="Symbol" w:hAnsi="Symbol"/>
    </w:rPr>
  </w:style>
  <w:style w:styleId="style104" w:type="character">
    <w:name w:val="WW8Num50z0"/>
    <w:next w:val="style104"/>
    <w:rPr>
      <w:rFonts w:ascii="Symbol" w:cs="Symbol" w:hAnsi="Symbol"/>
    </w:rPr>
  </w:style>
  <w:style w:styleId="style105" w:type="character">
    <w:name w:val="WW8Num50z1"/>
    <w:next w:val="style105"/>
    <w:rPr>
      <w:rFonts w:ascii="Courier New" w:cs="Courier New" w:hAnsi="Courier New"/>
    </w:rPr>
  </w:style>
  <w:style w:styleId="style106" w:type="character">
    <w:name w:val="WW8Num50z2"/>
    <w:next w:val="style106"/>
    <w:rPr>
      <w:rFonts w:ascii="Wingdings" w:cs="Wingdings" w:hAnsi="Wingdings"/>
    </w:rPr>
  </w:style>
  <w:style w:styleId="style107" w:type="character">
    <w:name w:val="WW8Num51z0"/>
    <w:next w:val="style107"/>
    <w:rPr>
      <w:rFonts w:ascii="Symbol" w:cs="Symbol" w:hAnsi="Symbol"/>
      <w:sz w:val="20"/>
    </w:rPr>
  </w:style>
  <w:style w:styleId="style108" w:type="character">
    <w:name w:val="WW8Num52z0"/>
    <w:next w:val="style108"/>
    <w:rPr>
      <w:rFonts w:ascii="Arial" w:cs="Arial" w:eastAsia="Calibri" w:hAnsi="Arial"/>
    </w:rPr>
  </w:style>
  <w:style w:styleId="style109" w:type="character">
    <w:name w:val="WW8Num52z1"/>
    <w:next w:val="style109"/>
    <w:rPr>
      <w:rFonts w:ascii="Courier New" w:cs="Courier New" w:hAnsi="Courier New"/>
    </w:rPr>
  </w:style>
  <w:style w:styleId="style110" w:type="character">
    <w:name w:val="WW8Num52z2"/>
    <w:next w:val="style110"/>
    <w:rPr>
      <w:rFonts w:ascii="Wingdings" w:cs="Wingdings" w:hAnsi="Wingdings"/>
    </w:rPr>
  </w:style>
  <w:style w:styleId="style111" w:type="character">
    <w:name w:val="WW8Num52z3"/>
    <w:next w:val="style111"/>
    <w:rPr>
      <w:rFonts w:ascii="Symbol" w:cs="Symbol" w:hAnsi="Symbol"/>
    </w:rPr>
  </w:style>
  <w:style w:styleId="style112" w:type="character">
    <w:name w:val="WW8Num53z1"/>
    <w:next w:val="style112"/>
    <w:rPr>
      <w:rFonts w:ascii="Courier New" w:cs="Courier New" w:hAnsi="Courier New"/>
    </w:rPr>
  </w:style>
  <w:style w:styleId="style113" w:type="character">
    <w:name w:val="WW8Num53z2"/>
    <w:next w:val="style113"/>
    <w:rPr>
      <w:rFonts w:ascii="Wingdings" w:cs="Wingdings" w:hAnsi="Wingdings"/>
    </w:rPr>
  </w:style>
  <w:style w:styleId="style114" w:type="character">
    <w:name w:val="WW8Num53z3"/>
    <w:next w:val="style114"/>
    <w:rPr>
      <w:rFonts w:ascii="Symbol" w:cs="Symbol" w:hAnsi="Symbol"/>
    </w:rPr>
  </w:style>
  <w:style w:styleId="style115" w:type="character">
    <w:name w:val="WW8Num54z0"/>
    <w:next w:val="style115"/>
    <w:rPr>
      <w:rFonts w:ascii="Wingdings" w:cs="Wingdings" w:hAnsi="Wingdings"/>
    </w:rPr>
  </w:style>
  <w:style w:styleId="style116" w:type="character">
    <w:name w:val="WW8Num54z1"/>
    <w:next w:val="style116"/>
    <w:rPr>
      <w:rFonts w:ascii="Courier New" w:cs="Courier New" w:hAnsi="Courier New"/>
    </w:rPr>
  </w:style>
  <w:style w:styleId="style117" w:type="character">
    <w:name w:val="WW8Num54z3"/>
    <w:next w:val="style117"/>
    <w:rPr>
      <w:rFonts w:ascii="Symbol" w:cs="Symbol" w:hAnsi="Symbol"/>
    </w:rPr>
  </w:style>
  <w:style w:styleId="style118" w:type="character">
    <w:name w:val="WW8Num55z0"/>
    <w:next w:val="style118"/>
    <w:rPr>
      <w:rFonts w:cs="Times New Roman"/>
    </w:rPr>
  </w:style>
  <w:style w:styleId="style119" w:type="character">
    <w:name w:val="WW8Num56z0"/>
    <w:next w:val="style119"/>
    <w:rPr>
      <w:rFonts w:ascii="Symbol" w:cs="Symbol" w:hAnsi="Symbol"/>
    </w:rPr>
  </w:style>
  <w:style w:styleId="style120" w:type="character">
    <w:name w:val="WW8Num56z1"/>
    <w:next w:val="style120"/>
    <w:rPr>
      <w:rFonts w:ascii="Courier New" w:cs="Courier New" w:hAnsi="Courier New"/>
    </w:rPr>
  </w:style>
  <w:style w:styleId="style121" w:type="character">
    <w:name w:val="WW8Num56z2"/>
    <w:next w:val="style121"/>
    <w:rPr>
      <w:rFonts w:ascii="Wingdings" w:cs="Wingdings" w:hAnsi="Wingdings"/>
    </w:rPr>
  </w:style>
  <w:style w:styleId="style122" w:type="character">
    <w:name w:val="WW8Num60z0"/>
    <w:next w:val="style122"/>
    <w:rPr>
      <w:rFonts w:ascii="Arial" w:cs="Arial" w:eastAsia="Times New Roman" w:hAnsi="Arial"/>
    </w:rPr>
  </w:style>
  <w:style w:styleId="style123" w:type="character">
    <w:name w:val="WW8Num60z1"/>
    <w:next w:val="style123"/>
    <w:rPr>
      <w:rFonts w:ascii="Courier New" w:cs="Courier New" w:hAnsi="Courier New"/>
    </w:rPr>
  </w:style>
  <w:style w:styleId="style124" w:type="character">
    <w:name w:val="WW8Num60z2"/>
    <w:next w:val="style124"/>
    <w:rPr>
      <w:rFonts w:ascii="Wingdings" w:cs="Wingdings" w:hAnsi="Wingdings"/>
    </w:rPr>
  </w:style>
  <w:style w:styleId="style125" w:type="character">
    <w:name w:val="WW8Num60z3"/>
    <w:next w:val="style125"/>
    <w:rPr>
      <w:rFonts w:ascii="Symbol" w:cs="Symbol" w:hAnsi="Symbol"/>
    </w:rPr>
  </w:style>
  <w:style w:styleId="style126" w:type="character">
    <w:name w:val="WW8Num61z0"/>
    <w:next w:val="style126"/>
    <w:rPr>
      <w:rFonts w:ascii="Arial" w:cs="Arial" w:eastAsia="Calibri" w:hAnsi="Arial"/>
    </w:rPr>
  </w:style>
  <w:style w:styleId="style127" w:type="character">
    <w:name w:val="WW8Num61z1"/>
    <w:next w:val="style127"/>
    <w:rPr>
      <w:rFonts w:ascii="Courier New" w:cs="Courier New" w:hAnsi="Courier New"/>
    </w:rPr>
  </w:style>
  <w:style w:styleId="style128" w:type="character">
    <w:name w:val="WW8Num61z2"/>
    <w:next w:val="style128"/>
    <w:rPr>
      <w:rFonts w:ascii="Wingdings" w:cs="Wingdings" w:hAnsi="Wingdings"/>
    </w:rPr>
  </w:style>
  <w:style w:styleId="style129" w:type="character">
    <w:name w:val="WW8Num61z3"/>
    <w:next w:val="style129"/>
    <w:rPr>
      <w:rFonts w:ascii="Symbol" w:cs="Symbol" w:hAnsi="Symbol"/>
    </w:rPr>
  </w:style>
  <w:style w:styleId="style130" w:type="character">
    <w:name w:val="WW8Num62z0"/>
    <w:next w:val="style130"/>
    <w:rPr>
      <w:rFonts w:cs="Times New Roman"/>
    </w:rPr>
  </w:style>
  <w:style w:styleId="style131" w:type="character">
    <w:name w:val="WW8Num63z0"/>
    <w:next w:val="style131"/>
    <w:rPr>
      <w:rFonts w:ascii="Arial" w:cs="Arial" w:eastAsia="Calibri" w:hAnsi="Arial"/>
    </w:rPr>
  </w:style>
  <w:style w:styleId="style132" w:type="character">
    <w:name w:val="WW8Num63z1"/>
    <w:next w:val="style132"/>
    <w:rPr>
      <w:rFonts w:ascii="Courier New" w:cs="Courier New" w:hAnsi="Courier New"/>
    </w:rPr>
  </w:style>
  <w:style w:styleId="style133" w:type="character">
    <w:name w:val="WW8Num63z2"/>
    <w:next w:val="style133"/>
    <w:rPr>
      <w:rFonts w:ascii="Wingdings" w:cs="Wingdings" w:hAnsi="Wingdings"/>
    </w:rPr>
  </w:style>
  <w:style w:styleId="style134" w:type="character">
    <w:name w:val="WW8Num63z3"/>
    <w:next w:val="style134"/>
    <w:rPr>
      <w:rFonts w:ascii="Symbol" w:cs="Symbol" w:hAnsi="Symbol"/>
    </w:rPr>
  </w:style>
  <w:style w:styleId="style135" w:type="character">
    <w:name w:val="WW8Num64z0"/>
    <w:next w:val="style135"/>
    <w:rPr>
      <w:rFonts w:ascii="Symbol" w:cs="Symbol" w:hAnsi="Symbol"/>
    </w:rPr>
  </w:style>
  <w:style w:styleId="style136" w:type="character">
    <w:name w:val="WW8Num64z1"/>
    <w:next w:val="style136"/>
    <w:rPr>
      <w:rFonts w:ascii="Courier New" w:cs="Courier New" w:hAnsi="Courier New"/>
    </w:rPr>
  </w:style>
  <w:style w:styleId="style137" w:type="character">
    <w:name w:val="WW8Num64z2"/>
    <w:next w:val="style137"/>
    <w:rPr>
      <w:rFonts w:ascii="Wingdings" w:cs="Wingdings" w:hAnsi="Wingdings"/>
    </w:rPr>
  </w:style>
  <w:style w:styleId="style138" w:type="character">
    <w:name w:val="WW8Num66z0"/>
    <w:next w:val="style138"/>
    <w:rPr>
      <w:rFonts w:ascii="Symbol" w:cs="Symbol" w:hAnsi="Symbol"/>
    </w:rPr>
  </w:style>
  <w:style w:styleId="style139" w:type="character">
    <w:name w:val="WW8Num66z1"/>
    <w:next w:val="style139"/>
    <w:rPr>
      <w:rFonts w:ascii="Courier New" w:cs="Courier New" w:hAnsi="Courier New"/>
    </w:rPr>
  </w:style>
  <w:style w:styleId="style140" w:type="character">
    <w:name w:val="WW8Num66z2"/>
    <w:next w:val="style140"/>
    <w:rPr>
      <w:rFonts w:ascii="Wingdings" w:cs="Wingdings" w:hAnsi="Wingdings"/>
    </w:rPr>
  </w:style>
  <w:style w:styleId="style141" w:type="character">
    <w:name w:val="WW8Num67z1"/>
    <w:next w:val="style141"/>
    <w:rPr>
      <w:b w:val="false"/>
    </w:rPr>
  </w:style>
  <w:style w:styleId="style142" w:type="character">
    <w:name w:val="Fuente de párrafo predeter."/>
    <w:next w:val="style142"/>
    <w:rPr/>
  </w:style>
  <w:style w:styleId="style143" w:type="character">
    <w:name w:val="Título 2 Car"/>
    <w:basedOn w:val="style142"/>
    <w:next w:val="style143"/>
    <w:rPr>
      <w:rFonts w:ascii="Times New Roman" w:cs="Times New Roman" w:hAnsi="Times New Roman"/>
      <w:b/>
      <w:bCs/>
      <w:sz w:val="36"/>
      <w:szCs w:val="36"/>
      <w:lang w:val="es-VE"/>
    </w:rPr>
  </w:style>
  <w:style w:styleId="style144" w:type="character">
    <w:name w:val="Título 3 Car"/>
    <w:basedOn w:val="style142"/>
    <w:next w:val="style144"/>
    <w:rPr>
      <w:rFonts w:ascii="Times New Roman" w:cs="Times New Roman" w:hAnsi="Times New Roman"/>
      <w:b/>
      <w:bCs/>
      <w:sz w:val="27"/>
      <w:szCs w:val="27"/>
      <w:lang w:val="es-VE"/>
    </w:rPr>
  </w:style>
  <w:style w:styleId="style145" w:type="character">
    <w:name w:val="Encabezado Car"/>
    <w:basedOn w:val="style142"/>
    <w:next w:val="style145"/>
    <w:rPr>
      <w:rFonts w:cs="Times New Roman"/>
    </w:rPr>
  </w:style>
  <w:style w:styleId="style146" w:type="character">
    <w:name w:val="Pie de página Car"/>
    <w:basedOn w:val="style142"/>
    <w:next w:val="style146"/>
    <w:rPr>
      <w:rFonts w:cs="Times New Roman"/>
    </w:rPr>
  </w:style>
  <w:style w:styleId="style147" w:type="character">
    <w:name w:val="apple-converted-space"/>
    <w:basedOn w:val="style142"/>
    <w:next w:val="style147"/>
    <w:rPr>
      <w:rFonts w:cs="Times New Roman"/>
    </w:rPr>
  </w:style>
  <w:style w:styleId="style148" w:type="character">
    <w:name w:val="Enlace de Internet"/>
    <w:basedOn w:val="style142"/>
    <w:next w:val="style148"/>
    <w:rPr>
      <w:rFonts w:cs="Times New Roman"/>
      <w:color w:val="0000FF"/>
      <w:u w:val="single"/>
    </w:rPr>
  </w:style>
  <w:style w:styleId="style149" w:type="character">
    <w:name w:val="Texto de globo Car"/>
    <w:basedOn w:val="style142"/>
    <w:next w:val="style149"/>
    <w:rPr>
      <w:rFonts w:ascii="Tahoma" w:cs="Tahoma" w:hAnsi="Tahoma"/>
      <w:sz w:val="16"/>
      <w:szCs w:val="16"/>
    </w:rPr>
  </w:style>
  <w:style w:styleId="style150" w:type="character">
    <w:name w:val="Muy destacado"/>
    <w:basedOn w:val="style142"/>
    <w:next w:val="style150"/>
    <w:rPr>
      <w:rFonts w:cs="Times New Roman"/>
      <w:b/>
      <w:bCs/>
    </w:rPr>
  </w:style>
  <w:style w:styleId="style151" w:type="character">
    <w:name w:val="Destacado"/>
    <w:basedOn w:val="style142"/>
    <w:next w:val="style151"/>
    <w:rPr>
      <w:rFonts w:cs="Times New Roman"/>
      <w:i/>
      <w:iCs/>
    </w:rPr>
  </w:style>
  <w:style w:styleId="style152" w:type="character">
    <w:name w:val="Saludo Car"/>
    <w:basedOn w:val="style142"/>
    <w:next w:val="style152"/>
    <w:rPr>
      <w:rFonts w:cs="Times New Roman"/>
    </w:rPr>
  </w:style>
  <w:style w:styleId="style153" w:type="character">
    <w:name w:val="Texto independiente Car"/>
    <w:basedOn w:val="style142"/>
    <w:next w:val="style153"/>
    <w:rPr>
      <w:rFonts w:cs="Times New Roman"/>
    </w:rPr>
  </w:style>
  <w:style w:styleId="style154" w:type="character">
    <w:name w:val="Sangría de texto normal Car"/>
    <w:basedOn w:val="style142"/>
    <w:next w:val="style154"/>
    <w:rPr>
      <w:rFonts w:cs="Times New Roman"/>
    </w:rPr>
  </w:style>
  <w:style w:styleId="style155" w:type="character">
    <w:name w:val="Subtítulo Car"/>
    <w:basedOn w:val="style142"/>
    <w:next w:val="style155"/>
    <w:rPr>
      <w:rFonts w:ascii="Cambria" w:cs="Times New Roman" w:hAnsi="Cambria"/>
      <w:i/>
      <w:iCs/>
      <w:color w:val="4F81BD"/>
      <w:spacing w:val="15"/>
      <w:sz w:val="24"/>
      <w:szCs w:val="24"/>
    </w:rPr>
  </w:style>
  <w:style w:styleId="style156" w:type="character">
    <w:name w:val="Texto independiente primera sangría Car"/>
    <w:basedOn w:val="style153"/>
    <w:next w:val="style156"/>
    <w:rPr/>
  </w:style>
  <w:style w:styleId="style157" w:type="character">
    <w:name w:val="Texto independiente primera sangría 2 Car"/>
    <w:basedOn w:val="style154"/>
    <w:next w:val="style157"/>
    <w:rPr/>
  </w:style>
  <w:style w:styleId="style158" w:type="character">
    <w:name w:val="details"/>
    <w:basedOn w:val="style142"/>
    <w:next w:val="style158"/>
    <w:rPr>
      <w:rFonts w:cs="Times New Roman"/>
    </w:rPr>
  </w:style>
  <w:style w:styleId="style159" w:type="character">
    <w:name w:val="apple-style-span"/>
    <w:basedOn w:val="style142"/>
    <w:next w:val="style159"/>
    <w:rPr>
      <w:rFonts w:cs="Times New Roman"/>
    </w:rPr>
  </w:style>
  <w:style w:styleId="style160" w:type="character">
    <w:name w:val="Ejemplo de HTML"/>
    <w:basedOn w:val="style142"/>
    <w:next w:val="style160"/>
    <w:rPr>
      <w:rFonts w:ascii="Courier New" w:cs="Courier New" w:eastAsia="Times New Roman" w:hAnsi="Courier New"/>
    </w:rPr>
  </w:style>
  <w:style w:styleId="style161" w:type="character">
    <w:name w:val="Título 1 Car"/>
    <w:basedOn w:val="style142"/>
    <w:next w:val="style161"/>
    <w:rPr>
      <w:rFonts w:ascii="Cambria" w:cs="Times New Roman" w:eastAsia="Times New Roman" w:hAnsi="Cambria"/>
      <w:b/>
      <w:bCs/>
      <w:color w:val="365F91"/>
      <w:sz w:val="28"/>
      <w:szCs w:val="28"/>
      <w:lang w:val="es-ES"/>
    </w:rPr>
  </w:style>
  <w:style w:styleId="style162" w:type="character">
    <w:name w:val="ff2"/>
    <w:basedOn w:val="style142"/>
    <w:next w:val="style162"/>
    <w:rPr/>
  </w:style>
  <w:style w:styleId="style163" w:type="character">
    <w:name w:val="ws0"/>
    <w:basedOn w:val="style142"/>
    <w:next w:val="style163"/>
    <w:rPr/>
  </w:style>
  <w:style w:styleId="style164" w:type="character">
    <w:name w:val="ff5"/>
    <w:basedOn w:val="style142"/>
    <w:next w:val="style164"/>
    <w:rPr/>
  </w:style>
  <w:style w:styleId="style165" w:type="character">
    <w:name w:val="ls0"/>
    <w:basedOn w:val="style142"/>
    <w:next w:val="style165"/>
    <w:rPr/>
  </w:style>
  <w:style w:styleId="style166" w:type="character">
    <w:name w:val="_"/>
    <w:basedOn w:val="style142"/>
    <w:next w:val="style166"/>
    <w:rPr/>
  </w:style>
  <w:style w:styleId="style167" w:type="character">
    <w:name w:val="ff7"/>
    <w:basedOn w:val="style142"/>
    <w:next w:val="style167"/>
    <w:rPr/>
  </w:style>
  <w:style w:styleId="style168" w:type="character">
    <w:name w:val="a"/>
    <w:basedOn w:val="style142"/>
    <w:next w:val="style168"/>
    <w:rPr/>
  </w:style>
  <w:style w:styleId="style169" w:type="character">
    <w:name w:val="l6"/>
    <w:basedOn w:val="style142"/>
    <w:next w:val="style169"/>
    <w:rPr/>
  </w:style>
  <w:style w:styleId="style170" w:type="character">
    <w:name w:val="Título 4 Car"/>
    <w:basedOn w:val="style142"/>
    <w:next w:val="style170"/>
    <w:rPr>
      <w:rFonts w:ascii="Times New Roman" w:cs="Times New Roman" w:eastAsia="Times New Roman" w:hAnsi="Times New Roman"/>
      <w:b/>
      <w:bCs/>
      <w:sz w:val="28"/>
      <w:szCs w:val="28"/>
      <w:lang w:val="es-ES"/>
    </w:rPr>
  </w:style>
  <w:style w:styleId="style171" w:type="character">
    <w:name w:val="Título 5 Car"/>
    <w:basedOn w:val="style142"/>
    <w:next w:val="style171"/>
    <w:rPr>
      <w:rFonts w:ascii="Times New Roman" w:cs="Times New Roman" w:eastAsia="Times New Roman" w:hAnsi="Times New Roman"/>
      <w:b/>
      <w:bCs/>
      <w:i/>
      <w:iCs/>
      <w:sz w:val="26"/>
      <w:szCs w:val="26"/>
      <w:lang w:val="es-ES"/>
    </w:rPr>
  </w:style>
  <w:style w:styleId="style172" w:type="character">
    <w:name w:val="Título 6 Car"/>
    <w:basedOn w:val="style142"/>
    <w:next w:val="style172"/>
    <w:rPr>
      <w:rFonts w:ascii="Times New Roman" w:cs="Times New Roman" w:eastAsia="Times New Roman" w:hAnsi="Times New Roman"/>
      <w:b/>
      <w:bCs/>
      <w:lang w:val="es-ES"/>
    </w:rPr>
  </w:style>
  <w:style w:styleId="style173" w:type="character">
    <w:name w:val="Título 7 Car"/>
    <w:basedOn w:val="style142"/>
    <w:next w:val="style173"/>
    <w:rPr>
      <w:rFonts w:ascii="Times New Roman" w:cs="Times New Roman" w:eastAsia="Times New Roman" w:hAnsi="Times New Roman"/>
      <w:sz w:val="24"/>
      <w:szCs w:val="24"/>
      <w:lang w:val="es-ES"/>
    </w:rPr>
  </w:style>
  <w:style w:styleId="style174" w:type="character">
    <w:name w:val="Título 8 Car"/>
    <w:basedOn w:val="style142"/>
    <w:next w:val="style174"/>
    <w:rPr>
      <w:rFonts w:ascii="Times New Roman" w:cs="Times New Roman" w:eastAsia="Times New Roman" w:hAnsi="Times New Roman"/>
      <w:i/>
      <w:iCs/>
      <w:sz w:val="24"/>
      <w:szCs w:val="24"/>
      <w:lang w:val="es-ES"/>
    </w:rPr>
  </w:style>
  <w:style w:styleId="style175" w:type="character">
    <w:name w:val="Título 9 Car"/>
    <w:basedOn w:val="style142"/>
    <w:next w:val="style175"/>
    <w:rPr>
      <w:rFonts w:ascii="Arial" w:cs="Arial" w:eastAsia="Times New Roman" w:hAnsi="Arial"/>
      <w:lang w:val="es-ES"/>
    </w:rPr>
  </w:style>
  <w:style w:styleId="style176" w:type="character">
    <w:name w:val="Mapa del documento Car"/>
    <w:basedOn w:val="style142"/>
    <w:next w:val="style176"/>
    <w:rPr>
      <w:rFonts w:ascii="Tahoma" w:cs="Tahoma" w:eastAsia="Times New Roman" w:hAnsi="Tahoma"/>
      <w:sz w:val="24"/>
      <w:szCs w:val="24"/>
      <w:shd w:fill="000080" w:val="clear"/>
      <w:lang w:val="es-ES"/>
    </w:rPr>
  </w:style>
  <w:style w:styleId="style177" w:type="character">
    <w:name w:val="Enlace de Internet ya visitado"/>
    <w:basedOn w:val="style142"/>
    <w:next w:val="style177"/>
    <w:rPr>
      <w:color w:val="800080"/>
      <w:u w:val="single"/>
    </w:rPr>
  </w:style>
  <w:style w:styleId="style178" w:type="character">
    <w:name w:val="Número de página"/>
    <w:basedOn w:val="style142"/>
    <w:next w:val="style178"/>
    <w:rPr/>
  </w:style>
  <w:style w:styleId="style179" w:type="character">
    <w:name w:val="Sangría 3 de t. independiente Car"/>
    <w:basedOn w:val="style142"/>
    <w:next w:val="style179"/>
    <w:rPr>
      <w:rFonts w:ascii="Arial" w:cs="Arial" w:eastAsia="Times New Roman" w:hAnsi="Arial"/>
      <w:sz w:val="24"/>
      <w:szCs w:val="24"/>
      <w:lang w:val="es-ES"/>
    </w:rPr>
  </w:style>
  <w:style w:styleId="style180" w:type="character">
    <w:name w:val="Sangría 2 de t. independiente Car"/>
    <w:basedOn w:val="style142"/>
    <w:next w:val="style180"/>
    <w:rPr>
      <w:rFonts w:ascii="Arial" w:cs="Arial" w:eastAsia="Times New Roman" w:hAnsi="Arial"/>
      <w:sz w:val="24"/>
      <w:szCs w:val="24"/>
      <w:lang w:val="es-ES"/>
    </w:rPr>
  </w:style>
  <w:style w:styleId="style181" w:type="character">
    <w:name w:val="Texto independiente 2 Car"/>
    <w:basedOn w:val="style142"/>
    <w:next w:val="style181"/>
    <w:rPr>
      <w:rFonts w:ascii="Times New Roman" w:cs="Times New Roman" w:eastAsia="Times New Roman" w:hAnsi="Times New Roman"/>
      <w:sz w:val="24"/>
      <w:szCs w:val="24"/>
      <w:lang w:val="es-ES"/>
    </w:rPr>
  </w:style>
  <w:style w:styleId="style182" w:type="character">
    <w:name w:val="Texto independiente 3 Car"/>
    <w:basedOn w:val="style142"/>
    <w:next w:val="style182"/>
    <w:rPr>
      <w:rFonts w:ascii="Times New Roman" w:cs="Times New Roman" w:eastAsia="Times New Roman" w:hAnsi="Times New Roman"/>
      <w:sz w:val="16"/>
      <w:szCs w:val="16"/>
      <w:lang w:val="es-ES"/>
    </w:rPr>
  </w:style>
  <w:style w:styleId="style183" w:type="character">
    <w:name w:val="l"/>
    <w:basedOn w:val="style142"/>
    <w:next w:val="style183"/>
    <w:rPr/>
  </w:style>
  <w:style w:styleId="style184" w:type="character">
    <w:name w:val="l7"/>
    <w:basedOn w:val="style142"/>
    <w:next w:val="style184"/>
    <w:rPr/>
  </w:style>
  <w:style w:styleId="style185" w:type="character">
    <w:name w:val="l9"/>
    <w:basedOn w:val="style142"/>
    <w:next w:val="style185"/>
    <w:rPr/>
  </w:style>
  <w:style w:styleId="style186" w:type="character">
    <w:name w:val="Título Car"/>
    <w:basedOn w:val="style142"/>
    <w:next w:val="style186"/>
    <w:rPr>
      <w:rFonts w:ascii="Cambria" w:cs="Times New Roman" w:eastAsia="Times New Roman" w:hAnsi="Cambria"/>
      <w:color w:val="17365D"/>
      <w:spacing w:val="5"/>
      <w:sz w:val="52"/>
      <w:szCs w:val="52"/>
      <w:lang w:val="es-ES"/>
    </w:rPr>
  </w:style>
  <w:style w:styleId="style187" w:type="character">
    <w:name w:val="Texto sin formato Car"/>
    <w:basedOn w:val="style142"/>
    <w:next w:val="style187"/>
    <w:rPr>
      <w:rFonts w:ascii="Consolas" w:cs="Consolas" w:hAnsi="Consolas"/>
      <w:sz w:val="21"/>
      <w:szCs w:val="21"/>
    </w:rPr>
  </w:style>
  <w:style w:styleId="style188" w:type="character">
    <w:name w:val="HTML con formato previo Car"/>
    <w:basedOn w:val="style142"/>
    <w:next w:val="style188"/>
    <w:rPr>
      <w:rFonts w:ascii="Courier New" w:cs="Courier New" w:eastAsia="Times New Roman" w:hAnsi="Courier New"/>
    </w:rPr>
  </w:style>
  <w:style w:styleId="style189" w:type="paragraph">
    <w:name w:val="Encabezado"/>
    <w:basedOn w:val="style0"/>
    <w:next w:val="style0"/>
    <w:pPr>
      <w:pBdr>
        <w:bottom w:color="FFFF00" w:space="0" w:sz="8" w:val="single"/>
      </w:pBdr>
      <w:spacing w:after="300" w:before="0" w:line="240" w:lineRule="auto"/>
    </w:pPr>
    <w:rPr>
      <w:rFonts w:ascii="Cambria" w:cs="Times New Roman" w:eastAsia="Times New Roman" w:hAnsi="Cambria"/>
      <w:color w:val="17365D"/>
      <w:spacing w:val="5"/>
      <w:sz w:val="52"/>
      <w:szCs w:val="52"/>
    </w:rPr>
  </w:style>
  <w:style w:styleId="style190" w:type="paragraph">
    <w:name w:val="Cuerpo de texto"/>
    <w:basedOn w:val="style0"/>
    <w:next w:val="style190"/>
    <w:pPr>
      <w:spacing w:after="120" w:before="0"/>
    </w:pPr>
    <w:rPr/>
  </w:style>
  <w:style w:styleId="style191" w:type="paragraph">
    <w:name w:val="Lista"/>
    <w:basedOn w:val="style0"/>
    <w:next w:val="style191"/>
    <w:pPr>
      <w:spacing w:after="0" w:before="0" w:line="240" w:lineRule="auto"/>
      <w:ind w:hanging="283" w:left="283" w:right="0"/>
    </w:pPr>
    <w:rPr>
      <w:rFonts w:ascii="Times New Roman" w:cs="Times New Roman" w:eastAsia="Times New Roman" w:hAnsi="Times New Roman"/>
      <w:sz w:val="24"/>
      <w:szCs w:val="24"/>
      <w:lang w:val="es-VE"/>
    </w:rPr>
  </w:style>
  <w:style w:styleId="style192" w:type="paragraph">
    <w:name w:val="Etiqueta"/>
    <w:basedOn w:val="style0"/>
    <w:next w:val="style192"/>
    <w:pPr>
      <w:suppressLineNumbers/>
      <w:spacing w:after="120" w:before="120"/>
    </w:pPr>
    <w:rPr>
      <w:rFonts w:cs="Lohit Hindi"/>
      <w:i/>
      <w:iCs/>
      <w:sz w:val="24"/>
      <w:szCs w:val="24"/>
    </w:rPr>
  </w:style>
  <w:style w:styleId="style193" w:type="paragraph">
    <w:name w:val="Índice"/>
    <w:basedOn w:val="style0"/>
    <w:next w:val="style193"/>
    <w:pPr>
      <w:suppressLineNumbers/>
    </w:pPr>
    <w:rPr>
      <w:rFonts w:cs="Lohit Hindi"/>
    </w:rPr>
  </w:style>
  <w:style w:styleId="style194" w:type="paragraph">
    <w:name w:val="Encabezamiento"/>
    <w:basedOn w:val="style0"/>
    <w:next w:val="style194"/>
    <w:pPr>
      <w:spacing w:after="0" w:before="0" w:line="240" w:lineRule="auto"/>
    </w:pPr>
    <w:rPr/>
  </w:style>
  <w:style w:styleId="style195" w:type="paragraph">
    <w:name w:val="Pie de página"/>
    <w:basedOn w:val="style0"/>
    <w:next w:val="style195"/>
    <w:pPr>
      <w:spacing w:after="0" w:before="0" w:line="240" w:lineRule="auto"/>
    </w:pPr>
    <w:rPr/>
  </w:style>
  <w:style w:styleId="style196" w:type="paragraph">
    <w:name w:val="Sin espaciado"/>
    <w:next w:val="style196"/>
    <w:pPr>
      <w:widowControl/>
      <w:tabs>
        <w:tab w:leader="none" w:pos="737" w:val="left"/>
      </w:tabs>
      <w:suppressAutoHyphens w:val="true"/>
    </w:pPr>
    <w:rPr>
      <w:rFonts w:ascii="Calibri" w:cs="Times New Roman" w:eastAsia="Calibri" w:hAnsi="Calibri"/>
      <w:color w:val="auto"/>
      <w:sz w:val="22"/>
      <w:szCs w:val="22"/>
      <w:lang w:bidi="ar-SA" w:eastAsia="zh-CN" w:val="es-ES"/>
    </w:rPr>
  </w:style>
  <w:style w:styleId="style197" w:type="paragraph">
    <w:name w:val="Normal (Web)"/>
    <w:basedOn w:val="style0"/>
    <w:next w:val="style197"/>
    <w:pPr>
      <w:spacing w:after="280" w:before="280" w:line="240" w:lineRule="auto"/>
    </w:pPr>
    <w:rPr>
      <w:rFonts w:ascii="Times New Roman" w:cs="Times New Roman" w:eastAsia="Times New Roman" w:hAnsi="Times New Roman"/>
      <w:sz w:val="24"/>
      <w:szCs w:val="24"/>
      <w:lang w:val="es-VE"/>
    </w:rPr>
  </w:style>
  <w:style w:styleId="style198" w:type="paragraph">
    <w:name w:val="Texto de globo"/>
    <w:basedOn w:val="style0"/>
    <w:next w:val="style198"/>
    <w:pPr>
      <w:spacing w:after="0" w:before="0" w:line="240" w:lineRule="auto"/>
    </w:pPr>
    <w:rPr>
      <w:rFonts w:ascii="Tahoma" w:cs="Tahoma" w:hAnsi="Tahoma"/>
      <w:sz w:val="16"/>
      <w:szCs w:val="16"/>
    </w:rPr>
  </w:style>
  <w:style w:styleId="style199" w:type="paragraph">
    <w:name w:val="Párrafo de lista"/>
    <w:basedOn w:val="style0"/>
    <w:next w:val="style199"/>
    <w:pPr>
      <w:ind w:hanging="0" w:left="720" w:right="0"/>
    </w:pPr>
    <w:rPr/>
  </w:style>
  <w:style w:styleId="style200" w:type="paragraph">
    <w:name w:val="Saludo"/>
    <w:basedOn w:val="style0"/>
    <w:next w:val="style0"/>
    <w:pPr/>
    <w:rPr/>
  </w:style>
  <w:style w:styleId="style201" w:type="paragraph">
    <w:name w:val="Cuerpo de texto con sangría"/>
    <w:basedOn w:val="style0"/>
    <w:next w:val="style201"/>
    <w:pPr>
      <w:spacing w:after="120" w:before="0"/>
      <w:ind w:hanging="0" w:left="283" w:right="0"/>
    </w:pPr>
    <w:rPr/>
  </w:style>
  <w:style w:styleId="style202" w:type="paragraph">
    <w:name w:val="Subtítulo"/>
    <w:basedOn w:val="style0"/>
    <w:next w:val="style0"/>
    <w:pPr/>
    <w:rPr>
      <w:rFonts w:ascii="Cambria" w:cs="Cambria" w:eastAsia="Times New Roman" w:hAnsi="Cambria"/>
      <w:i/>
      <w:iCs/>
      <w:color w:val="4F81BD"/>
      <w:spacing w:val="15"/>
      <w:sz w:val="24"/>
      <w:szCs w:val="24"/>
    </w:rPr>
  </w:style>
  <w:style w:styleId="style203" w:type="paragraph">
    <w:name w:val="Línea de asunto"/>
    <w:basedOn w:val="style0"/>
    <w:next w:val="style203"/>
    <w:pPr/>
    <w:rPr/>
  </w:style>
  <w:style w:styleId="style204" w:type="paragraph">
    <w:name w:val="Texto independiente primera sangría"/>
    <w:basedOn w:val="style190"/>
    <w:next w:val="style204"/>
    <w:pPr>
      <w:spacing w:after="200" w:before="0"/>
      <w:ind w:firstLine="360" w:left="0" w:right="0"/>
    </w:pPr>
    <w:rPr/>
  </w:style>
  <w:style w:styleId="style205" w:type="paragraph">
    <w:name w:val="Texto independiente primera sangría 2"/>
    <w:basedOn w:val="style201"/>
    <w:next w:val="style205"/>
    <w:pPr>
      <w:spacing w:after="200" w:before="0"/>
      <w:ind w:firstLine="360" w:left="360" w:right="0"/>
    </w:pPr>
    <w:rPr/>
  </w:style>
  <w:style w:styleId="style206" w:type="paragraph">
    <w:name w:val="Normal"/>
    <w:next w:val="style206"/>
    <w:pPr>
      <w:widowControl/>
      <w:tabs>
        <w:tab w:leader="none" w:pos="737" w:val="left"/>
      </w:tabs>
      <w:suppressAutoHyphens w:val="true"/>
      <w:autoSpaceDE w:val="false"/>
    </w:pPr>
    <w:rPr>
      <w:rFonts w:ascii="Arial" w:cs="Arial" w:eastAsia="Calibri" w:hAnsi="Arial"/>
      <w:color w:val="000000"/>
      <w:sz w:val="24"/>
      <w:szCs w:val="24"/>
      <w:lang w:bidi="ar-SA" w:eastAsia="zh-CN" w:val="es-ES"/>
    </w:rPr>
  </w:style>
  <w:style w:styleId="style207" w:type="paragraph">
    <w:name w:val="leyes_contenido"/>
    <w:basedOn w:val="style0"/>
    <w:next w:val="style207"/>
    <w:pPr>
      <w:spacing w:after="280" w:before="280" w:line="240" w:lineRule="auto"/>
    </w:pPr>
    <w:rPr>
      <w:rFonts w:ascii="Times New Roman" w:cs="Times New Roman" w:eastAsia="Times New Roman" w:hAnsi="Times New Roman"/>
      <w:sz w:val="24"/>
      <w:szCs w:val="24"/>
    </w:rPr>
  </w:style>
  <w:style w:styleId="style208" w:type="paragraph">
    <w:name w:val="noticias"/>
    <w:basedOn w:val="style0"/>
    <w:next w:val="style208"/>
    <w:pPr>
      <w:spacing w:after="280" w:before="280" w:line="240" w:lineRule="auto"/>
    </w:pPr>
    <w:rPr>
      <w:rFonts w:ascii="Times New Roman" w:cs="Times New Roman" w:eastAsia="Times New Roman" w:hAnsi="Times New Roman"/>
      <w:sz w:val="24"/>
      <w:szCs w:val="24"/>
    </w:rPr>
  </w:style>
  <w:style w:styleId="style209" w:type="paragraph">
    <w:name w:val="Mapa del documento"/>
    <w:basedOn w:val="style0"/>
    <w:next w:val="style209"/>
    <w:pPr>
      <w:shd w:fill="000080" w:val="clear"/>
      <w:spacing w:after="0" w:before="0" w:line="240" w:lineRule="auto"/>
    </w:pPr>
    <w:rPr>
      <w:rFonts w:ascii="Tahoma" w:cs="Tahoma" w:eastAsia="Times New Roman" w:hAnsi="Tahoma"/>
      <w:sz w:val="24"/>
      <w:szCs w:val="24"/>
    </w:rPr>
  </w:style>
  <w:style w:styleId="style210" w:type="paragraph">
    <w:name w:val="Sangría 3 de t. independiente"/>
    <w:basedOn w:val="style0"/>
    <w:next w:val="style210"/>
    <w:pPr>
      <w:spacing w:after="0" w:before="0" w:line="360" w:lineRule="auto"/>
      <w:ind w:firstLine="360" w:left="0" w:right="0"/>
      <w:jc w:val="both"/>
    </w:pPr>
    <w:rPr>
      <w:rFonts w:ascii="Arial" w:cs="Arial" w:eastAsia="Times New Roman" w:hAnsi="Arial"/>
      <w:sz w:val="24"/>
      <w:szCs w:val="24"/>
    </w:rPr>
  </w:style>
  <w:style w:styleId="style211" w:type="paragraph">
    <w:name w:val="Sangría 2 de t. independiente"/>
    <w:basedOn w:val="style0"/>
    <w:next w:val="style211"/>
    <w:pPr>
      <w:spacing w:after="240" w:before="240" w:line="360" w:lineRule="auto"/>
      <w:ind w:firstLine="284" w:left="0" w:right="0"/>
      <w:jc w:val="both"/>
    </w:pPr>
    <w:rPr>
      <w:rFonts w:ascii="Arial" w:cs="Arial" w:eastAsia="Times New Roman" w:hAnsi="Arial"/>
      <w:sz w:val="24"/>
      <w:szCs w:val="24"/>
    </w:rPr>
  </w:style>
  <w:style w:styleId="style212" w:type="paragraph">
    <w:name w:val="Lista con viñetas 2"/>
    <w:basedOn w:val="style0"/>
    <w:next w:val="style212"/>
    <w:pPr>
      <w:numPr>
        <w:ilvl w:val="0"/>
        <w:numId w:val="23"/>
      </w:numPr>
      <w:spacing w:after="0" w:before="0" w:line="360" w:lineRule="auto"/>
      <w:jc w:val="both"/>
    </w:pPr>
    <w:rPr>
      <w:rFonts w:ascii="Times New Roman" w:cs="Times New Roman" w:eastAsia="Times New Roman" w:hAnsi="Times New Roman"/>
      <w:sz w:val="24"/>
      <w:szCs w:val="24"/>
      <w:lang w:val="es-VE"/>
    </w:rPr>
  </w:style>
  <w:style w:styleId="style213" w:type="paragraph">
    <w:name w:val="Texto independiente 2"/>
    <w:basedOn w:val="style0"/>
    <w:next w:val="style213"/>
    <w:pPr>
      <w:spacing w:after="120" w:before="0" w:line="480" w:lineRule="auto"/>
    </w:pPr>
    <w:rPr>
      <w:rFonts w:ascii="Times New Roman" w:cs="Times New Roman" w:eastAsia="Times New Roman" w:hAnsi="Times New Roman"/>
      <w:sz w:val="24"/>
      <w:szCs w:val="24"/>
    </w:rPr>
  </w:style>
  <w:style w:styleId="style214" w:type="paragraph">
    <w:name w:val="Lista 2"/>
    <w:basedOn w:val="style0"/>
    <w:next w:val="style214"/>
    <w:pPr>
      <w:spacing w:after="0" w:before="0" w:line="240" w:lineRule="auto"/>
      <w:ind w:hanging="283" w:left="566" w:right="0"/>
    </w:pPr>
    <w:rPr>
      <w:rFonts w:ascii="Times New Roman" w:cs="Times New Roman" w:eastAsia="Times New Roman" w:hAnsi="Times New Roman"/>
      <w:sz w:val="24"/>
      <w:szCs w:val="24"/>
      <w:lang w:val="es-VE"/>
    </w:rPr>
  </w:style>
  <w:style w:styleId="style215" w:type="paragraph">
    <w:name w:val="Continuar lista"/>
    <w:basedOn w:val="style0"/>
    <w:next w:val="style215"/>
    <w:pPr>
      <w:spacing w:after="120" w:before="0" w:line="240" w:lineRule="auto"/>
      <w:ind w:hanging="0" w:left="283" w:right="0"/>
    </w:pPr>
    <w:rPr>
      <w:rFonts w:ascii="Times New Roman" w:cs="Times New Roman" w:eastAsia="Times New Roman" w:hAnsi="Times New Roman"/>
      <w:sz w:val="24"/>
      <w:szCs w:val="24"/>
      <w:lang w:val="es-VE"/>
    </w:rPr>
  </w:style>
  <w:style w:styleId="style216" w:type="paragraph">
    <w:name w:val="Texto independiente 3"/>
    <w:basedOn w:val="style0"/>
    <w:next w:val="style216"/>
    <w:pPr>
      <w:spacing w:after="120" w:before="0" w:line="240" w:lineRule="auto"/>
    </w:pPr>
    <w:rPr>
      <w:rFonts w:ascii="Times New Roman" w:cs="Times New Roman" w:eastAsia="Times New Roman" w:hAnsi="Times New Roman"/>
      <w:sz w:val="16"/>
      <w:szCs w:val="16"/>
    </w:rPr>
  </w:style>
  <w:style w:styleId="style217" w:type="paragraph">
    <w:name w:val="Formato de Tabla"/>
    <w:basedOn w:val="style0"/>
    <w:next w:val="style217"/>
    <w:pPr>
      <w:widowControl w:val="false"/>
      <w:spacing w:after="0" w:before="0" w:line="240" w:lineRule="auto"/>
      <w:jc w:val="both"/>
    </w:pPr>
    <w:rPr>
      <w:rFonts w:ascii="Arial" w:cs="Arial" w:eastAsia="Times New Roman" w:hAnsi="Arial"/>
      <w:sz w:val="24"/>
      <w:szCs w:val="24"/>
      <w:lang w:val="es-ES"/>
    </w:rPr>
  </w:style>
  <w:style w:styleId="style218" w:type="paragraph">
    <w:name w:val="Párrafo de lista1"/>
    <w:basedOn w:val="style0"/>
    <w:next w:val="style218"/>
    <w:pPr>
      <w:ind w:hanging="0" w:left="720" w:right="0"/>
    </w:pPr>
    <w:rPr>
      <w:rFonts w:eastAsia="Times New Roman"/>
      <w:lang w:val="es-VE"/>
    </w:rPr>
  </w:style>
  <w:style w:styleId="style219" w:type="paragraph">
    <w:name w:val="Texto sin formato"/>
    <w:basedOn w:val="style0"/>
    <w:next w:val="style219"/>
    <w:pPr>
      <w:spacing w:after="0" w:before="0" w:line="240" w:lineRule="auto"/>
    </w:pPr>
    <w:rPr>
      <w:rFonts w:ascii="Consolas" w:cs="Consolas" w:hAnsi="Consolas"/>
      <w:sz w:val="21"/>
      <w:szCs w:val="21"/>
    </w:rPr>
  </w:style>
  <w:style w:styleId="style220" w:type="paragraph">
    <w:name w:val="Sin espaciado1"/>
    <w:next w:val="style220"/>
    <w:pPr>
      <w:widowControl/>
      <w:tabs>
        <w:tab w:leader="none" w:pos="737" w:val="left"/>
      </w:tabs>
      <w:suppressAutoHyphens w:val="true"/>
    </w:pPr>
    <w:rPr>
      <w:rFonts w:ascii="Calibri" w:cs="Times New Roman" w:eastAsia="Times New Roman" w:hAnsi="Calibri"/>
      <w:color w:val="auto"/>
      <w:sz w:val="22"/>
      <w:szCs w:val="22"/>
      <w:lang w:bidi="ar-SA" w:eastAsia="zh-CN" w:val="es-VE"/>
    </w:rPr>
  </w:style>
  <w:style w:styleId="style221" w:type="paragraph">
    <w:name w:val="HTML con formato previo"/>
    <w:basedOn w:val="style0"/>
    <w:next w:val="style221"/>
    <w:pPr>
      <w:tabs>
        <w:tab w:leader="none" w:pos="916" w:val="left"/>
        <w:tab w:leader="none" w:pos="1832" w:val="left"/>
        <w:tab w:leader="none" w:pos="2748" w:val="left"/>
        <w:tab w:leader="none" w:pos="3664" w:val="left"/>
        <w:tab w:leader="none" w:pos="4580" w:val="left"/>
        <w:tab w:leader="none" w:pos="5496" w:val="left"/>
        <w:tab w:leader="none" w:pos="6412" w:val="left"/>
        <w:tab w:leader="none" w:pos="7328" w:val="left"/>
        <w:tab w:leader="none" w:pos="8244" w:val="left"/>
        <w:tab w:leader="none" w:pos="9160" w:val="left"/>
        <w:tab w:leader="none" w:pos="10076" w:val="left"/>
        <w:tab w:leader="none" w:pos="10992" w:val="left"/>
        <w:tab w:leader="none" w:pos="11908" w:val="left"/>
        <w:tab w:leader="none" w:pos="12824" w:val="left"/>
        <w:tab w:leader="none" w:pos="13740" w:val="left"/>
        <w:tab w:leader="none" w:pos="14656" w:val="left"/>
      </w:tabs>
      <w:spacing w:after="0" w:before="0" w:line="240" w:lineRule="auto"/>
    </w:pPr>
    <w:rPr>
      <w:rFonts w:ascii="Courier New" w:cs="Courier New" w:eastAsia="Times New Roman" w:hAnsi="Courier New"/>
      <w:sz w:val="20"/>
      <w:szCs w:val="20"/>
    </w:rPr>
  </w:style>
  <w:style w:styleId="style222" w:type="paragraph">
    <w:name w:val="Contenido del marco"/>
    <w:basedOn w:val="style190"/>
    <w:next w:val="style222"/>
    <w:pPr/>
    <w:rPr/>
  </w:style>
  <w:style w:styleId="style223" w:type="paragraph">
    <w:name w:val="Contenido de la tabla"/>
    <w:basedOn w:val="style0"/>
    <w:next w:val="style223"/>
    <w:pPr>
      <w:suppressLineNumbers/>
    </w:pPr>
    <w:rPr/>
  </w:style>
  <w:style w:styleId="style224" w:type="paragraph">
    <w:name w:val="Encabezado de la tabla"/>
    <w:basedOn w:val="style223"/>
    <w:next w:val="style224"/>
    <w:pPr>
      <w:suppressLineNumbers/>
      <w:jc w:val="center"/>
    </w:pPr>
    <w:rPr>
      <w:b/>
      <w:bCs/>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30.wmf"/><Relationship Id="rId3" Type="http://schemas.openxmlformats.org/officeDocument/2006/relationships/image" Target="media/image31.wmf"/><Relationship Id="rId4" Type="http://schemas.openxmlformats.org/officeDocument/2006/relationships/image" Target="media/image32.wmf"/><Relationship Id="rId5" Type="http://schemas.openxmlformats.org/officeDocument/2006/relationships/image" Target="media/image33.wmf"/><Relationship Id="rId6" Type="http://schemas.openxmlformats.org/officeDocument/2006/relationships/image" Target="media/image34.wmf"/><Relationship Id="rId7" Type="http://schemas.openxmlformats.org/officeDocument/2006/relationships/image" Target="media/image35.png"/><Relationship Id="rId8" Type="http://schemas.openxmlformats.org/officeDocument/2006/relationships/image" Target="media/image36.wmf"/><Relationship Id="rId9" Type="http://schemas.openxmlformats.org/officeDocument/2006/relationships/image" Target="media/image37.wmf"/><Relationship Id="rId10" Type="http://schemas.openxmlformats.org/officeDocument/2006/relationships/image" Target="media/image38.png"/><Relationship Id="rId11" Type="http://schemas.openxmlformats.org/officeDocument/2006/relationships/hyperlink" Target="https://jgarciap81.wordpress.com/" TargetMode="External"/><Relationship Id="rId12" Type="http://schemas.openxmlformats.org/officeDocument/2006/relationships/image" Target="media/image39.jpeg"/><Relationship Id="rId13" Type="http://schemas.openxmlformats.org/officeDocument/2006/relationships/image" Target="media/image40.png"/><Relationship Id="rId14" Type="http://schemas.openxmlformats.org/officeDocument/2006/relationships/hyperlink" Target="http://www.blogger.com/profile/07853916130214268416" TargetMode="External"/><Relationship Id="rId15" Type="http://schemas.openxmlformats.org/officeDocument/2006/relationships/hyperlink" Target="https://www.google.co.ve/search?hl=es&amp;tbo=p&amp;tbm=bks&amp;q=inauthor:&quot;Roman+G.+Hiebing&quot;" TargetMode="External"/><Relationship Id="rId16" Type="http://schemas.openxmlformats.org/officeDocument/2006/relationships/hyperlink" Target="https://www.google.co.ve/search?hl=es&amp;tbo=p&amp;tbm=bks&amp;q=inauthor:&quot;Scott+W.+Cooper&quot;" TargetMode="External"/><Relationship Id="rId17" Type="http://schemas.openxmlformats.org/officeDocument/2006/relationships/hyperlink" Target="http://www.monografias.com/trabajos7/sisinf/sisinf.shtml" TargetMode="External"/><Relationship Id="rId18" Type="http://schemas.openxmlformats.org/officeDocument/2006/relationships/hyperlink" Target="http://es.wikipedia.org/wiki/Electroqu&#237;mica" TargetMode="External"/><Relationship Id="rId19" Type="http://schemas.openxmlformats.org/officeDocument/2006/relationships/hyperlink" Target="http://www.definicionabc.com/general/imprescindible.php" TargetMode="External"/><Relationship Id="rId20" Type="http://schemas.openxmlformats.org/officeDocument/2006/relationships/hyperlink" Target="http://www.definicionabc.com/politica/participacion.php" TargetMode="External"/><Relationship Id="rId21" Type="http://schemas.openxmlformats.org/officeDocument/2006/relationships/hyperlink" Target="http://www.definicionabc.com/tecnologia/funcionamiento.php" TargetMode="External"/><Relationship Id="rId22" Type="http://schemas.openxmlformats.org/officeDocument/2006/relationships/hyperlink" Target="http://es.wikipedia.org/wiki/Contrato" TargetMode="External"/><Relationship Id="rId23" Type="http://schemas.openxmlformats.org/officeDocument/2006/relationships/footer" Target="footer1.xml"/><Relationship Id="rId24" Type="http://schemas.openxmlformats.org/officeDocument/2006/relationships/image" Target="media/image41.png"/><Relationship Id="rId25" Type="http://schemas.openxmlformats.org/officeDocument/2006/relationships/footer" Target="footer2.xml"/><Relationship Id="rId26" Type="http://schemas.openxmlformats.org/officeDocument/2006/relationships/footer" Target="footer3.xml"/><Relationship Id="rId27" Type="http://schemas.openxmlformats.org/officeDocument/2006/relationships/footer" Target="footer4.xml"/><Relationship Id="rId28" Type="http://schemas.openxmlformats.org/officeDocument/2006/relationships/image" Target="media/image42.png"/><Relationship Id="rId29" Type="http://schemas.openxmlformats.org/officeDocument/2006/relationships/image" Target="media/image43.png"/><Relationship Id="rId30" Type="http://schemas.openxmlformats.org/officeDocument/2006/relationships/image" Target="media/image44.png"/><Relationship Id="rId31" Type="http://schemas.openxmlformats.org/officeDocument/2006/relationships/image" Target="media/image45.png"/><Relationship Id="rId32" Type="http://schemas.openxmlformats.org/officeDocument/2006/relationships/image" Target="media/image46.png"/><Relationship Id="rId33" Type="http://schemas.openxmlformats.org/officeDocument/2006/relationships/hyperlink" Target="http://elreciclaje.org/" TargetMode="External"/><Relationship Id="rId34" Type="http://schemas.openxmlformats.org/officeDocument/2006/relationships/hyperlink" Target="http://efecto-invernadero.com/" TargetMode="External"/><Relationship Id="rId35" Type="http://schemas.openxmlformats.org/officeDocument/2006/relationships/image" Target="media/image47.png"/><Relationship Id="rId36" Type="http://schemas.openxmlformats.org/officeDocument/2006/relationships/image" Target="media/image48.png"/><Relationship Id="rId37" Type="http://schemas.openxmlformats.org/officeDocument/2006/relationships/hyperlink" Target="http://es.wikipedia.org/wiki/Metal" TargetMode="External"/><Relationship Id="rId38" Type="http://schemas.openxmlformats.org/officeDocument/2006/relationships/hyperlink" Target="http://es.wikipedia.org/wiki/Desecho" TargetMode="External"/><Relationship Id="rId39" Type="http://schemas.openxmlformats.org/officeDocument/2006/relationships/hyperlink" Target="http://es.wikipedia.org/wiki/Hierro" TargetMode="External"/><Relationship Id="rId40" Type="http://schemas.openxmlformats.org/officeDocument/2006/relationships/hyperlink" Target="http://es.wikipedia.org/wiki/Acero" TargetMode="External"/><Relationship Id="rId41" Type="http://schemas.openxmlformats.org/officeDocument/2006/relationships/image" Target="media/image49.png"/><Relationship Id="rId42" Type="http://schemas.openxmlformats.org/officeDocument/2006/relationships/image" Target="media/image50.png"/><Relationship Id="rId43" Type="http://schemas.openxmlformats.org/officeDocument/2006/relationships/image" Target="media/image51.png"/><Relationship Id="rId44" Type="http://schemas.openxmlformats.org/officeDocument/2006/relationships/image" Target="media/image52.png"/><Relationship Id="rId45" Type="http://schemas.openxmlformats.org/officeDocument/2006/relationships/image" Target="media/image53.png"/><Relationship Id="rId46" Type="http://schemas.openxmlformats.org/officeDocument/2006/relationships/image" Target="media/image54.png"/><Relationship Id="rId47" Type="http://schemas.openxmlformats.org/officeDocument/2006/relationships/image" Target="media/image55.png"/><Relationship Id="rId48" Type="http://schemas.openxmlformats.org/officeDocument/2006/relationships/image" Target="media/image56.png"/><Relationship Id="rId49" Type="http://schemas.openxmlformats.org/officeDocument/2006/relationships/image" Target="media/image57.png"/><Relationship Id="rId50" Type="http://schemas.openxmlformats.org/officeDocument/2006/relationships/image" Target="media/image58.png"/><Relationship Id="rId51" Type="http://schemas.openxmlformats.org/officeDocument/2006/relationships/image" Target="media/image59.png"/><Relationship Id="rId52" Type="http://schemas.openxmlformats.org/officeDocument/2006/relationships/image" Target="media/image60.png"/><Relationship Id="rId53" Type="http://schemas.openxmlformats.org/officeDocument/2006/relationships/image" Target="media/image61.png"/><Relationship Id="rId54" Type="http://schemas.openxmlformats.org/officeDocument/2006/relationships/header" Target="header1.xml"/><Relationship Id="rId55" Type="http://schemas.openxmlformats.org/officeDocument/2006/relationships/footer" Target="footer5.xml"/><Relationship Id="rId56" Type="http://schemas.openxmlformats.org/officeDocument/2006/relationships/header" Target="header2.xml"/><Relationship Id="rId57" Type="http://schemas.openxmlformats.org/officeDocument/2006/relationships/footer" Target="footer6.xml"/><Relationship Id="rId58" Type="http://schemas.openxmlformats.org/officeDocument/2006/relationships/hyperlink" Target="http://ve.microjuris.com/getContent?page=fullContent.jsp&amp;reference=MJ-N-34576-VE&amp;links=%5B40042%5D" TargetMode="External"/><Relationship Id="rId59" Type="http://schemas.openxmlformats.org/officeDocument/2006/relationships/hyperlink" Target="http://ve.microjuris.com/getContent?page=fullContent.jsp&amp;reference=MJ-N-32721-VE&amp;links=%5BLEY, ORG, BIEN, PUBLIC%5D" TargetMode="External"/><Relationship Id="rId60" Type="http://schemas.openxmlformats.org/officeDocument/2006/relationships/header" Target="header3.xml"/><Relationship Id="rId61" Type="http://schemas.openxmlformats.org/officeDocument/2006/relationships/footer" Target="footer7.xml"/><Relationship Id="rId62" Type="http://schemas.openxmlformats.org/officeDocument/2006/relationships/hyperlink" Target="http://www.scielo.br/scielo.php?script=sci_serial&amp;pid=1678-3166&amp;lng=en&amp;nrm=iso" TargetMode="External"/><Relationship Id="rId63" Type="http://schemas.openxmlformats.org/officeDocument/2006/relationships/hyperlink" Target="http://www.blogger.com/profile/07853916130214268416" TargetMode="External"/><Relationship Id="rId64" Type="http://schemas.openxmlformats.org/officeDocument/2006/relationships/hyperlink" Target="https://www.google.co.ve/url?sa=t&amp;rct=j&amp;q=&amp;esrc=s&amp;source=web&amp;cd=7&amp;ved=0CEMQFjAG&amp;url=http%3A%2F%2Fasesores-unefa.wikispaces.com%2Ffile%2Fview%2FNormas%2Bpara%2Bla%2BElaboraci%25C3%25B3n%2BAlicia%2BMari%25C3%25B1o.pdf&amp;ei=A0DeVJLAI4OxyAT0nIKAAQ&amp;usg=AFQjCNH4xLcwaGnVfWeL4wwqAdHMNPOENA" TargetMode="External"/><Relationship Id="rId65" Type="http://schemas.openxmlformats.org/officeDocument/2006/relationships/hyperlink" Target="http://sinergia.globered.com/categoria.asp?idcat=3213/01/2015" TargetMode="External"/><Relationship Id="rId66" Type="http://schemas.openxmlformats.org/officeDocument/2006/relationships/hyperlink" Target="http://www.unilibre.edu.co/CienciasEconomicas/Webcontaduria/estudie/Gerencia/GerenGesti.htm 01/02/2015" TargetMode="External"/><Relationship Id="rId67" Type="http://schemas.openxmlformats.org/officeDocument/2006/relationships/hyperlink" Target="http://jgarciap81.wordpress.com15/02/2015" TargetMode="External"/><Relationship Id="rId68" Type="http://schemas.openxmlformats.org/officeDocument/2006/relationships/hyperlink" Target="http://es.wikipedia.org/wiki/Basura20/02/2015" TargetMode="External"/><Relationship Id="rId69" Type="http://schemas.openxmlformats.org/officeDocument/2006/relationships/hyperlink" Target="http://www.vitalis.net/13/03/2015" TargetMode="External"/><Relationship Id="rId70" Type="http://schemas.openxmlformats.org/officeDocument/2006/relationships/hyperlink" Target="http://elreciclaje.org/content/datos-sobre-el-reciclaje 15/03/2015" TargetMode="External"/><Relationship Id="rId71" Type="http://schemas.openxmlformats.org/officeDocument/2006/relationships/hyperlink" Target="http://todosobreelmedioambiente.jimdo.com/" TargetMode="External"/><Relationship Id="rId72" Type="http://schemas.openxmlformats.org/officeDocument/2006/relationships/hyperlink" Target="http://www.ocio.net/estilo-de-vida/ecologismo/como-es-la-cadena-del-reciclado/25/03/2015" TargetMode="External"/><Relationship Id="rId73" Type="http://schemas.openxmlformats.org/officeDocument/2006/relationships/hyperlink" Target="mailto:odama_12@hotmail.com" TargetMode="External"/><Relationship Id="rId74" Type="http://schemas.openxmlformats.org/officeDocument/2006/relationships/image" Target="media/image62.wmf"/><Relationship Id="rId75" Type="http://schemas.openxmlformats.org/officeDocument/2006/relationships/image" Target="media/image63.wmf"/><Relationship Id="rId76" Type="http://schemas.openxmlformats.org/officeDocument/2006/relationships/image" Target="media/image64.wmf"/><Relationship Id="rId77" Type="http://schemas.openxmlformats.org/officeDocument/2006/relationships/image" Target="media/image65.wmf"/><Relationship Id="rId78" Type="http://schemas.openxmlformats.org/officeDocument/2006/relationships/header" Target="header4.xml"/><Relationship Id="rId79" Type="http://schemas.openxmlformats.org/officeDocument/2006/relationships/footer" Target="footer8.xml"/><Relationship Id="rId80" Type="http://schemas.openxmlformats.org/officeDocument/2006/relationships/image" Target="media/image66.wmf"/><Relationship Id="rId81" Type="http://schemas.openxmlformats.org/officeDocument/2006/relationships/image" Target="media/image67.wmf"/><Relationship Id="rId82" Type="http://schemas.openxmlformats.org/officeDocument/2006/relationships/image" Target="media/image68.png"/><Relationship Id="rId83" Type="http://schemas.openxmlformats.org/officeDocument/2006/relationships/image" Target="media/image69.png"/><Relationship Id="rId84" Type="http://schemas.openxmlformats.org/officeDocument/2006/relationships/image" Target="media/image70.png"/><Relationship Id="rId85" Type="http://schemas.openxmlformats.org/officeDocument/2006/relationships/image" Target="media/image71.png"/><Relationship Id="rId86" Type="http://schemas.openxmlformats.org/officeDocument/2006/relationships/image" Target="media/image72.png"/><Relationship Id="rId87" Type="http://schemas.openxmlformats.org/officeDocument/2006/relationships/image" Target="media/image73.png"/><Relationship Id="rId88" Type="http://schemas.openxmlformats.org/officeDocument/2006/relationships/image" Target="media/image74.png"/><Relationship Id="rId89" Type="http://schemas.openxmlformats.org/officeDocument/2006/relationships/image" Target="media/image75.jpeg"/><Relationship Id="rId90" Type="http://schemas.openxmlformats.org/officeDocument/2006/relationships/image" Target="media/image76.jpeg"/><Relationship Id="rId91" Type="http://schemas.openxmlformats.org/officeDocument/2006/relationships/image" Target="media/image77.jpeg"/><Relationship Id="rId92" Type="http://schemas.openxmlformats.org/officeDocument/2006/relationships/image" Target="media/image78.jpeg"/><Relationship Id="rId93" Type="http://schemas.openxmlformats.org/officeDocument/2006/relationships/image" Target="media/image79.jpeg"/><Relationship Id="rId94" Type="http://schemas.openxmlformats.org/officeDocument/2006/relationships/image" Target="media/image80.jpeg"/><Relationship Id="rId95" Type="http://schemas.openxmlformats.org/officeDocument/2006/relationships/image" Target="media/image81.jpeg"/><Relationship Id="rId96" Type="http://schemas.openxmlformats.org/officeDocument/2006/relationships/image" Target="media/image82.jpeg"/><Relationship Id="rId97" Type="http://schemas.openxmlformats.org/officeDocument/2006/relationships/image" Target="media/image83.jpeg"/><Relationship Id="rId98" Type="http://schemas.openxmlformats.org/officeDocument/2006/relationships/image" Target="media/image84.jpeg"/><Relationship Id="rId99" Type="http://schemas.openxmlformats.org/officeDocument/2006/relationships/image" Target="media/image85.jpeg"/><Relationship Id="rId100" Type="http://schemas.openxmlformats.org/officeDocument/2006/relationships/image" Target="media/image86.jpeg"/><Relationship Id="rId101" Type="http://schemas.openxmlformats.org/officeDocument/2006/relationships/header" Target="header5.xml"/><Relationship Id="rId102" Type="http://schemas.openxmlformats.org/officeDocument/2006/relationships/footer" Target="footer9.xml"/><Relationship Id="rId103" Type="http://schemas.openxmlformats.org/officeDocument/2006/relationships/numbering" Target="numbering.xml"/><Relationship Id="rId104" Type="http://schemas.openxmlformats.org/officeDocument/2006/relationships/fontTable" Target="fontTable.xml"/>
</Relationships>
</file>

<file path=docProps/app.xml><?xml version="1.0" encoding="utf-8"?>
<Properties xmlns="http://schemas.openxmlformats.org/officeDocument/2006/extended-properties" xmlns:vt="http://schemas.openxmlformats.org/officeDocument/2006/docPropsVTypes">
  <Template>Normal.dotm</Template>
  <TotalTime>1367256704</TotalTime>
</Properties>
</file>

<file path=docProps/core.xml><?xml version="1.0" encoding="utf-8"?>
<cp:coreProperties xmlns:cp="http://schemas.openxmlformats.org/package/2006/metadata/core-properties" xmlns:dc="http://purl.org/dc/elements/1.1/" xmlns:dcmitype="http://purl.org/dc/dcmitype/" xmlns:dcterms="http://purl.org/dc/terms/" xmlns:xsi="http://www.w3.org/2001/XMLSchema-instance">
  <dcterms:created xsi:type="dcterms:W3CDTF">2015-11-05T07:18:00.00Z</dcterms:created>
  <dc:creator>Admin</dc:creator>
  <cp:lastModifiedBy>oddalys</cp:lastModifiedBy>
  <cp:lastPrinted>2015-11-04T16:42:00.00Z</cp:lastPrinted>
  <dcterms:modified xsi:type="dcterms:W3CDTF">2015-11-05T07:18:00.00Z</dcterms:modified>
  <cp:revision>2</cp:revision>
</cp:coreProperties>
</file>