
<file path=[Content_Types].xml><?xml version="1.0" encoding="utf-8"?>
<Types xmlns="http://schemas.openxmlformats.org/package/2006/content-types">
  <Override PartName="/_rels/.rels" ContentType="application/vnd.openxmlformats-package.relationships+xml"/>
  <Override PartName="/word/footer8.xml" ContentType="application/vnd.openxmlformats-officedocument.wordprocessingml.footer+xml"/>
  <Override PartName="/word/_rels/document.xml.rels" ContentType="application/vnd.openxmlformats-package.relationships+xml"/>
  <Override PartName="/word/numbering.xml" ContentType="application/vnd.openxmlformats-officedocument.wordprocessingml.numbering+xml"/>
  <Override PartName="/word/header2.xml" ContentType="application/vnd.openxmlformats-officedocument.wordprocessingml.header+xml"/>
  <Override PartName="/word/header10.xml" ContentType="application/vnd.openxmlformats-officedocument.wordprocessingml.header+xml"/>
  <Override PartName="/word/document.xml" ContentType="application/vnd.openxmlformats-officedocument.wordprocessingml.document.main+xml"/>
  <Override PartName="/word/header4.xml" ContentType="application/vnd.openxmlformats-officedocument.wordprocessingml.header+xml"/>
  <Override PartName="/word/header12.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footer3.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11.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styles.xml" ContentType="application/vnd.openxmlformats-officedocument.wordprocessingml.styles+xml"/>
  <Override PartName="/word/header9.xml" ContentType="application/vnd.openxmlformats-officedocument.wordprocessingml.header+xml"/>
  <Override PartName="/word/footer10.xml" ContentType="application/vnd.openxmlformats-officedocument.wordprocessingml.footer+xml"/>
  <Override PartName="/word/footer2.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media/image26.wmf" ContentType="image/x-wmf"/>
  <Override PartName="/word/media/image8.png" ContentType="image/png"/>
  <Override PartName="/word/media/image23.png" ContentType="image/png"/>
  <Override PartName="/word/media/image17.png" ContentType="image/png"/>
  <Override PartName="/word/media/image13.png" ContentType="image/png"/>
  <Override PartName="/word/media/image27.wmf" ContentType="image/x-wmf"/>
  <Override PartName="/word/media/image4.wmf" ContentType="image/x-wmf"/>
  <Override PartName="/word/media/image9.png" ContentType="image/png"/>
  <Override PartName="/word/media/image24.png" ContentType="image/png"/>
  <Override PartName="/word/media/image1.png" ContentType="image/png"/>
  <Override PartName="/word/media/image18.png" ContentType="image/png"/>
  <Override PartName="/word/media/image14.png" ContentType="image/png"/>
  <Override PartName="/word/media/image10.png" ContentType="image/png"/>
  <Override PartName="/word/media/image20.wmf" ContentType="image/x-wmf"/>
  <Override PartName="/word/media/image5.jpeg" ContentType="image/jpeg"/>
  <Override PartName="/word/media/image6.png" ContentType="image/png"/>
  <Override PartName="/word/media/image21.png" ContentType="image/png"/>
  <Override PartName="/word/media/image19.png" ContentType="image/png"/>
  <Override PartName="/word/media/image15.png" ContentType="image/png"/>
  <Override PartName="/word/media/image11.png" ContentType="image/png"/>
  <Override PartName="/word/media/image25.wmf" ContentType="image/x-wmf"/>
  <Override PartName="/word/media/image2.wmf" ContentType="image/x-wmf"/>
  <Override PartName="/word/media/image7.png" ContentType="image/png"/>
  <Override PartName="/word/media/image3.png" ContentType="image/png"/>
  <Override PartName="/word/media/image22.png" ContentType="image/png"/>
  <Override PartName="/word/media/image16.png" ContentType="image/png"/>
  <Override PartName="/word/media/image12.png" ContentType="image/png"/>
  <Override PartName="/word/footer6.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line="100" w:lineRule="atLeast"/>
        <w:ind w:hanging="0" w:left="0" w:right="0"/>
        <w:jc w:val="center"/>
      </w:pPr>
      <w:r>
        <w:rPr/>
        <w:t xml:space="preserve">UNIVERSIDAD DE CARABOBO </w:t>
        <w:pict>
          <v:rect id="shape_0" style="position:absolute;margin-left:389.85pt;margin-top:0pt;width:40.45pt;height:26.2pt">
            <v:wrap v:type="none"/>
            <v:fill color="white" color2="black" detectmouseclick="t" type="solid"/>
            <v:stroke color="gray" joinstyle="round"/>
          </v:rect>
        </w:pict>
        <w:pict>
          <v:rect id="shape_0" style="position:absolute;margin-left:390.6pt;margin-top:0pt;width:34.45pt;height:26.2pt">
            <v:wrap v:type="none"/>
            <v:fill color="white" color2="black" detectmouseclick="t" type="solid"/>
            <v:stroke color="gray" joinstyle="round"/>
          </v:rect>
        </w:pict>
        <w:pict>
          <v:rect id="shape_0" style="position:absolute;margin-left:392.1pt;margin-top:0pt;width:31.45pt;height:28.45pt">
            <v:wrap v:type="none"/>
            <v:fill color="white" color2="black" detectmouseclick="t" type="solid"/>
            <v:stroke color="gray" joinstyle="round"/>
          </v:rect>
        </w:pict>
        <w:drawing>
          <wp:anchor allowOverlap="1" behindDoc="1" distB="0" distL="0" distR="0" distT="0" layoutInCell="1" locked="0" relativeHeight="0" simplePos="0">
            <wp:simplePos x="0" y="0"/>
            <wp:positionH relativeFrom="character">
              <wp:posOffset>-623570</wp:posOffset>
            </wp:positionH>
            <wp:positionV relativeFrom="line">
              <wp:posOffset>-887095</wp:posOffset>
            </wp:positionV>
            <wp:extent cx="1076325" cy="142494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1076325" cy="1424940"/>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4524375</wp:posOffset>
            </wp:positionH>
            <wp:positionV relativeFrom="line">
              <wp:posOffset>-834390</wp:posOffset>
            </wp:positionV>
            <wp:extent cx="1499235" cy="118046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1499235" cy="1180465"/>
                    </a:xfrm>
                    <a:prstGeom prst="rect">
                      <a:avLst/>
                    </a:prstGeom>
                    <a:noFill/>
                    <a:ln w="9525">
                      <a:noFill/>
                      <a:miter lim="800000"/>
                      <a:headEnd/>
                      <a:tailEnd/>
                    </a:ln>
                  </pic:spPr>
                </pic:pic>
              </a:graphicData>
            </a:graphic>
          </wp:anchor>
        </w:drawing>
      </w:r>
    </w:p>
    <w:p>
      <w:pPr>
        <w:pStyle w:val="style0"/>
        <w:spacing w:line="100" w:lineRule="atLeast"/>
        <w:ind w:hanging="0" w:left="0" w:right="0"/>
        <w:jc w:val="center"/>
      </w:pPr>
      <w:r>
        <w:rPr/>
        <w:t>DIRECCIÓN DE POSTGRADO</w:t>
      </w:r>
    </w:p>
    <w:p>
      <w:pPr>
        <w:pStyle w:val="style0"/>
        <w:spacing w:line="100" w:lineRule="atLeast"/>
        <w:ind w:hanging="0" w:left="0" w:right="0"/>
        <w:jc w:val="center"/>
      </w:pPr>
      <w:r>
        <w:rPr/>
        <w:t>FACULTAD DE CIENCIAS ECONÓMICAS Y SOCIALES</w:t>
      </w:r>
    </w:p>
    <w:p>
      <w:pPr>
        <w:pStyle w:val="style0"/>
        <w:spacing w:line="100" w:lineRule="atLeast"/>
        <w:ind w:hanging="0" w:left="0" w:right="0"/>
        <w:jc w:val="center"/>
      </w:pPr>
      <w:r>
        <w:rPr/>
        <w:t>MAESTRIA ADMINISTRACIÓN DE EMPRESA. MENCIÓN: FINANZAS</w:t>
      </w:r>
    </w:p>
    <w:p>
      <w:pPr>
        <w:pStyle w:val="style0"/>
        <w:spacing w:line="100" w:lineRule="atLeast"/>
        <w:ind w:hanging="0" w:left="0" w:right="0"/>
        <w:jc w:val="center"/>
      </w:pPr>
      <w:bookmarkStart w:id="0" w:name="_Toc432059464"/>
      <w:bookmarkStart w:id="1" w:name="_Toc432059672"/>
      <w:bookmarkEnd w:id="0"/>
      <w:bookmarkEnd w:id="1"/>
      <w:r>
        <w:rPr>
          <w:lang w:val="es-ES"/>
        </w:rPr>
        <w:t>CAMPUS LA MORITA</w:t>
      </w:r>
    </w:p>
    <w:p>
      <w:pPr>
        <w:pStyle w:val="style0"/>
        <w:spacing w:line="100" w:lineRule="atLeast"/>
        <w:ind w:hanging="0" w:left="0" w:right="0"/>
        <w:jc w:val="center"/>
      </w:pPr>
      <w:r>
        <w:rPr>
          <w:b/>
          <w:lang w:val="es-ES"/>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r>
    </w:p>
    <w:p>
      <w:pPr>
        <w:pStyle w:val="style0"/>
        <w:spacing w:line="100" w:lineRule="atLeast"/>
        <w:ind w:hanging="0" w:left="0" w:right="0"/>
        <w:jc w:val="center"/>
      </w:pPr>
      <w:r>
        <w:rPr>
          <w:b/>
        </w:rPr>
        <w:t>ANÁLISIS DE LOS RIESGOS DE LOS CRÉDITOS AL CONSUMO EN BASE A INDICADORES DE GESTIÓN COMO HERRAMIENTA DE CONTROL EN LA BANCA PRIVADA</w:t>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hanging="0" w:left="0" w:right="0"/>
        <w:jc w:val="center"/>
      </w:pPr>
      <w:r>
        <w:rPr>
          <w:b/>
          <w:iCs/>
        </w:rPr>
      </w:r>
    </w:p>
    <w:p>
      <w:pPr>
        <w:pStyle w:val="style0"/>
        <w:spacing w:line="100" w:lineRule="atLeast"/>
        <w:ind w:firstLine="420" w:left="5244" w:right="0"/>
        <w:jc w:val="left"/>
      </w:pPr>
      <w:r>
        <w:rPr/>
        <w:t>Autora:</w:t>
      </w:r>
    </w:p>
    <w:p>
      <w:pPr>
        <w:pStyle w:val="style0"/>
        <w:spacing w:line="100" w:lineRule="atLeast"/>
        <w:ind w:firstLine="420" w:left="5244" w:right="0"/>
        <w:jc w:val="left"/>
      </w:pPr>
      <w:r>
        <w:rPr>
          <w:lang w:val="es-VE"/>
        </w:rPr>
        <w:t>María Fernanda Rey.</w:t>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0" w:right="0"/>
        <w:jc w:val="left"/>
      </w:pPr>
      <w:r>
        <w:rPr/>
      </w:r>
    </w:p>
    <w:p>
      <w:pPr>
        <w:pStyle w:val="style0"/>
        <w:keepNext/>
        <w:spacing w:line="100" w:lineRule="atLeast"/>
        <w:ind w:hanging="0" w:left="0" w:right="0"/>
        <w:jc w:val="center"/>
      </w:pPr>
      <w:r>
        <w:rPr>
          <w:bCs/>
        </w:rPr>
      </w:r>
    </w:p>
    <w:p>
      <w:pPr>
        <w:pStyle w:val="style0"/>
        <w:keepNext/>
        <w:spacing w:line="100" w:lineRule="atLeast"/>
        <w:ind w:hanging="0" w:left="0" w:right="0"/>
        <w:jc w:val="center"/>
      </w:pPr>
      <w:r>
        <w:rPr>
          <w:bCs/>
        </w:rPr>
      </w:r>
    </w:p>
    <w:p>
      <w:pPr>
        <w:pStyle w:val="style0"/>
        <w:keepNext/>
        <w:spacing w:line="100" w:lineRule="atLeast"/>
        <w:ind w:hanging="0" w:left="0" w:right="0"/>
        <w:jc w:val="center"/>
      </w:pPr>
      <w:bookmarkStart w:id="2" w:name="_Toc432059465"/>
      <w:bookmarkStart w:id="3" w:name="_Toc432059673"/>
      <w:bookmarkStart w:id="4" w:name="_Toc432059465"/>
      <w:bookmarkStart w:id="5" w:name="_Toc432059673"/>
      <w:bookmarkEnd w:id="4"/>
      <w:bookmarkEnd w:id="5"/>
      <w:r>
        <w:rPr>
          <w:bCs/>
        </w:rPr>
      </w:r>
    </w:p>
    <w:p>
      <w:pPr>
        <w:pStyle w:val="style97"/>
      </w:pPr>
      <w:r>
        <w:rPr/>
      </w:r>
    </w:p>
    <w:p>
      <w:pPr>
        <w:sectPr>
          <w:headerReference r:id="rId4" w:type="default"/>
          <w:footerReference r:id="rId5" w:type="default"/>
          <w:type w:val="nextPage"/>
          <w:pgSz w:h="15840" w:w="12240"/>
          <w:pgMar w:bottom="1701" w:footer="964" w:gutter="0" w:header="964" w:left="2268" w:right="1701" w:top="2269"/>
          <w:pgNumType w:fmt="decimal"/>
          <w:formProt w:val="false"/>
          <w:textDirection w:val="lrTb"/>
          <w:docGrid w:charSpace="0" w:linePitch="360" w:type="default"/>
        </w:sectPr>
        <w:pStyle w:val="style60"/>
        <w:tabs>
          <w:tab w:leader="none" w:pos="8838" w:val="right"/>
        </w:tabs>
        <w:jc w:val="center"/>
      </w:pPr>
      <w:r>
        <w:rPr/>
        <w:t>La Morita, Septiembre de 2015</w:t>
      </w:r>
    </w:p>
    <w:p>
      <w:pPr>
        <w:pStyle w:val="style0"/>
        <w:spacing w:line="100" w:lineRule="atLeast"/>
        <w:ind w:hanging="0" w:left="0" w:right="0"/>
        <w:jc w:val="center"/>
      </w:pPr>
      <w:r>
        <w:rPr/>
      </w:r>
    </w:p>
    <w:p>
      <w:pPr>
        <w:pStyle w:val="style0"/>
        <w:spacing w:line="100" w:lineRule="atLeast"/>
        <w:ind w:hanging="0" w:left="0" w:right="0"/>
        <w:jc w:val="center"/>
      </w:pPr>
      <w:r>
        <w:rPr/>
        <w:t xml:space="preserve"> </w:t>
      </w:r>
      <w:r>
        <w:rPr/>
        <w:t xml:space="preserve">UNIVERSIDAD DE CARABOBO </w:t>
        <w:drawing>
          <wp:anchor allowOverlap="1" behindDoc="1" distB="0" distL="0" distR="0" distT="0" layoutInCell="1" locked="0" relativeHeight="0" simplePos="0">
            <wp:simplePos x="0" y="0"/>
            <wp:positionH relativeFrom="character">
              <wp:posOffset>-623570</wp:posOffset>
            </wp:positionH>
            <wp:positionV relativeFrom="line">
              <wp:posOffset>-887095</wp:posOffset>
            </wp:positionV>
            <wp:extent cx="1076325" cy="142494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1076325" cy="1424940"/>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4524375</wp:posOffset>
            </wp:positionH>
            <wp:positionV relativeFrom="line">
              <wp:posOffset>-834390</wp:posOffset>
            </wp:positionV>
            <wp:extent cx="1499235" cy="118046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1499235" cy="1180465"/>
                    </a:xfrm>
                    <a:prstGeom prst="rect">
                      <a:avLst/>
                    </a:prstGeom>
                    <a:noFill/>
                    <a:ln w="9525">
                      <a:noFill/>
                      <a:miter lim="800000"/>
                      <a:headEnd/>
                      <a:tailEnd/>
                    </a:ln>
                  </pic:spPr>
                </pic:pic>
              </a:graphicData>
            </a:graphic>
          </wp:anchor>
        </w:drawing>
      </w:r>
    </w:p>
    <w:p>
      <w:pPr>
        <w:pStyle w:val="style0"/>
        <w:spacing w:line="100" w:lineRule="atLeast"/>
        <w:ind w:hanging="0" w:left="0" w:right="0"/>
        <w:jc w:val="center"/>
      </w:pPr>
      <w:r>
        <w:rPr/>
        <w:t>DIRECCIÓN DE POSTGRADO</w:t>
      </w:r>
    </w:p>
    <w:p>
      <w:pPr>
        <w:pStyle w:val="style0"/>
        <w:spacing w:line="100" w:lineRule="atLeast"/>
        <w:ind w:hanging="0" w:left="0" w:right="0"/>
        <w:jc w:val="center"/>
      </w:pPr>
      <w:r>
        <w:rPr/>
        <w:t>FACULTAD DE CIENCIAS ECONÓMICAS Y SOCIALES</w:t>
      </w:r>
    </w:p>
    <w:p>
      <w:pPr>
        <w:pStyle w:val="style0"/>
        <w:spacing w:line="100" w:lineRule="atLeast"/>
        <w:ind w:hanging="0" w:left="0" w:right="0"/>
        <w:jc w:val="center"/>
      </w:pPr>
      <w:r>
        <w:rPr/>
        <w:t>MAESTRIA ADMINISTRACIÓN DE EMPRESA. MENCIÓN: FINANZAS</w:t>
      </w:r>
    </w:p>
    <w:p>
      <w:pPr>
        <w:pStyle w:val="style0"/>
        <w:spacing w:line="100" w:lineRule="atLeast"/>
        <w:ind w:hanging="0" w:left="0" w:right="0"/>
        <w:jc w:val="center"/>
      </w:pPr>
      <w:bookmarkStart w:id="6" w:name="_Toc432059466"/>
      <w:bookmarkStart w:id="7" w:name="_Toc432059674"/>
      <w:bookmarkEnd w:id="6"/>
      <w:bookmarkEnd w:id="7"/>
      <w:r>
        <w:rPr>
          <w:lang w:val="es-ES"/>
        </w:rPr>
        <w:t>CAMPUS LA MORITA</w:t>
      </w:r>
    </w:p>
    <w:p>
      <w:pPr>
        <w:pStyle w:val="style0"/>
        <w:spacing w:line="100" w:lineRule="atLeast"/>
        <w:ind w:hanging="0" w:left="0" w:right="0"/>
        <w:jc w:val="center"/>
      </w:pPr>
      <w:r>
        <w:rPr>
          <w:lang w:val="es-E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rPr>
        <w:t>ANÁLISIS DE LOS RIESGOS DE LOS CRÉDITOS AL CONSUMO EN BASE A INDICADORES DE GESTIÓN COMO HERRAMIENTA DE CONTROL EN LA BANCA PRIVADA</w:t>
      </w:r>
    </w:p>
    <w:p>
      <w:pPr>
        <w:pStyle w:val="style0"/>
        <w:spacing w:line="100" w:lineRule="atLeast"/>
        <w:ind w:hanging="0" w:left="0" w:right="0"/>
        <w:jc w:val="center"/>
      </w:pPr>
      <w:r>
        <w:rPr>
          <w:b/>
        </w:rPr>
      </w:r>
    </w:p>
    <w:p>
      <w:pPr>
        <w:pStyle w:val="style0"/>
        <w:spacing w:line="288" w:lineRule="atLeast"/>
        <w:ind w:hanging="0" w:left="0" w:right="0"/>
        <w:jc w:val="center"/>
      </w:pPr>
      <w:r>
        <w:rPr/>
      </w:r>
    </w:p>
    <w:p>
      <w:pPr>
        <w:pStyle w:val="style0"/>
        <w:spacing w:line="288" w:lineRule="atLeast"/>
        <w:ind w:hanging="0" w:left="0" w:right="0"/>
        <w:jc w:val="center"/>
      </w:pPr>
      <w:r>
        <w:rPr>
          <w:b/>
          <w:bCs/>
        </w:rPr>
      </w:r>
    </w:p>
    <w:p>
      <w:pPr>
        <w:pStyle w:val="style0"/>
        <w:spacing w:line="288" w:lineRule="atLeast"/>
        <w:ind w:hanging="0" w:left="0" w:right="0"/>
        <w:jc w:val="center"/>
      </w:pPr>
      <w:r>
        <w:rPr/>
      </w:r>
    </w:p>
    <w:p>
      <w:pPr>
        <w:pStyle w:val="style0"/>
        <w:spacing w:line="100" w:lineRule="atLeast"/>
        <w:ind w:hanging="0" w:left="0" w:right="0"/>
        <w:jc w:val="right"/>
      </w:pPr>
      <w:r>
        <w:rPr>
          <w:rFonts w:ascii="Arial" w:cs="Arial" w:hAnsi="Arial"/>
          <w:b/>
        </w:rPr>
      </w:r>
    </w:p>
    <w:p>
      <w:pPr>
        <w:pStyle w:val="style0"/>
        <w:spacing w:line="100" w:lineRule="atLeast"/>
        <w:ind w:hanging="0" w:left="0" w:right="0"/>
        <w:jc w:val="center"/>
      </w:pPr>
      <w:r>
        <w:rPr>
          <w:b/>
        </w:rPr>
        <w:t>Trabajo de Grado presentado ante la Universidad de Carabobo para Optar al Grado de Magister</w:t>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hanging="0" w:left="0" w:right="0"/>
        <w:jc w:val="center"/>
      </w:pPr>
      <w:r>
        <w:rPr>
          <w:b/>
          <w:bCs/>
        </w:rPr>
      </w:r>
    </w:p>
    <w:p>
      <w:pPr>
        <w:pStyle w:val="style0"/>
        <w:spacing w:line="100" w:lineRule="atLeast"/>
        <w:ind w:firstLine="420" w:left="5244" w:right="0"/>
        <w:jc w:val="left"/>
      </w:pPr>
      <w:r>
        <w:rPr/>
        <w:t>Autora:</w:t>
      </w:r>
    </w:p>
    <w:p>
      <w:pPr>
        <w:pStyle w:val="style0"/>
        <w:spacing w:line="100" w:lineRule="atLeast"/>
        <w:ind w:firstLine="420" w:left="5244" w:right="0"/>
        <w:jc w:val="left"/>
      </w:pPr>
      <w:r>
        <w:rPr>
          <w:lang w:val="es-VE"/>
        </w:rPr>
        <w:t>María Fernanda Rey.</w:t>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spacing w:line="100" w:lineRule="atLeast"/>
        <w:ind w:hanging="0" w:left="4536" w:right="0"/>
        <w:jc w:val="left"/>
      </w:pPr>
      <w:r>
        <w:rPr/>
      </w:r>
    </w:p>
    <w:p>
      <w:pPr>
        <w:pStyle w:val="style0"/>
        <w:keepNext/>
        <w:spacing w:line="100" w:lineRule="atLeast"/>
        <w:ind w:hanging="0" w:left="0" w:right="0"/>
        <w:jc w:val="center"/>
      </w:pPr>
      <w:r>
        <w:rPr>
          <w:bCs/>
        </w:rPr>
      </w:r>
    </w:p>
    <w:p>
      <w:pPr>
        <w:pStyle w:val="style0"/>
        <w:keepNext/>
        <w:spacing w:line="100" w:lineRule="atLeast"/>
        <w:ind w:hanging="0" w:left="0" w:right="0"/>
        <w:jc w:val="center"/>
      </w:pPr>
      <w:bookmarkStart w:id="8" w:name="_Toc432059467"/>
      <w:bookmarkStart w:id="9" w:name="_Toc432059675"/>
      <w:bookmarkStart w:id="10" w:name="_Toc432059467"/>
      <w:bookmarkStart w:id="11" w:name="_Toc432059675"/>
      <w:bookmarkEnd w:id="10"/>
      <w:bookmarkEnd w:id="11"/>
      <w:r>
        <w:rPr>
          <w:bCs/>
        </w:rPr>
      </w:r>
    </w:p>
    <w:p>
      <w:pPr>
        <w:pStyle w:val="style97"/>
      </w:pPr>
      <w:r>
        <w:rPr/>
      </w:r>
    </w:p>
    <w:p>
      <w:pPr>
        <w:pStyle w:val="style0"/>
        <w:spacing w:line="100" w:lineRule="atLeast"/>
        <w:ind w:hanging="0" w:left="0" w:right="0"/>
        <w:jc w:val="center"/>
      </w:pPr>
      <w:r>
        <w:rPr>
          <w:bCs/>
        </w:rPr>
      </w:r>
    </w:p>
    <w:p>
      <w:pPr>
        <w:sectPr>
          <w:headerReference r:id="rId8" w:type="default"/>
          <w:footerReference r:id="rId9" w:type="default"/>
          <w:type w:val="nextPage"/>
          <w:pgSz w:h="15840" w:w="12240"/>
          <w:pgMar w:bottom="1701" w:footer="964" w:gutter="0" w:header="964" w:left="2268" w:right="1701" w:top="2269"/>
          <w:pgNumType w:fmt="decimal"/>
          <w:formProt w:val="false"/>
          <w:textDirection w:val="lrTb"/>
          <w:docGrid w:charSpace="0" w:linePitch="360" w:type="default"/>
        </w:sectPr>
        <w:pStyle w:val="style0"/>
        <w:spacing w:line="100" w:lineRule="atLeast"/>
        <w:ind w:hanging="0" w:left="0" w:right="0"/>
        <w:jc w:val="center"/>
      </w:pPr>
      <w:r>
        <w:rPr>
          <w:bCs/>
        </w:rPr>
        <w:t>La Morita, Septiembre de 2015</w:t>
      </w:r>
    </w:p>
    <w:p>
      <w:pPr>
        <w:pStyle w:val="style0"/>
        <w:spacing w:line="100" w:lineRule="atLeast"/>
        <w:ind w:hanging="0" w:left="0" w:right="0"/>
        <w:jc w:val="left"/>
      </w:pPr>
      <w:bookmarkStart w:id="12" w:name="_GoBack"/>
      <w:bookmarkStart w:id="13" w:name="_GoBack"/>
      <w:bookmarkEnd w:id="13"/>
      <w:r>
        <w:rPr>
          <w:bCs/>
        </w:rPr>
        <w:drawing>
          <wp:anchor allowOverlap="1" behindDoc="0" distB="0" distL="0" distR="0" distT="0" layoutInCell="1" locked="0" relativeHeight="0" simplePos="0">
            <wp:simplePos x="0" y="0"/>
            <wp:positionH relativeFrom="character">
              <wp:posOffset>10160</wp:posOffset>
            </wp:positionH>
            <wp:positionV relativeFrom="line">
              <wp:posOffset>10160</wp:posOffset>
            </wp:positionV>
            <wp:extent cx="5234305" cy="722058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5234305" cy="7220585"/>
                    </a:xfrm>
                    <a:prstGeom prst="rect">
                      <a:avLst/>
                    </a:prstGeom>
                    <a:noFill/>
                    <a:ln w="9525">
                      <a:noFill/>
                      <a:miter lim="800000"/>
                      <a:headEnd/>
                      <a:tailEnd/>
                    </a:ln>
                  </pic:spPr>
                </pic:pic>
              </a:graphicData>
            </a:graphic>
          </wp:anchor>
        </w:drawing>
      </w:r>
    </w:p>
    <w:p>
      <w:pPr>
        <w:pStyle w:val="style0"/>
        <w:pageBreakBefore/>
        <w:spacing w:line="100" w:lineRule="atLeast"/>
        <w:ind w:hanging="0" w:left="0" w:right="0"/>
        <w:jc w:val="center"/>
      </w:pPr>
      <w:r>
        <w:rPr>
          <w:bCs/>
        </w:rPr>
      </w:r>
    </w:p>
    <w:p>
      <w:pPr>
        <w:pStyle w:val="style1"/>
      </w:pPr>
      <w:bookmarkStart w:id="14" w:name="__RefHeading__4934_1544206207"/>
      <w:bookmarkStart w:id="15" w:name="_Toc432059676"/>
      <w:bookmarkEnd w:id="14"/>
      <w:bookmarkEnd w:id="15"/>
      <w:r>
        <w:rPr/>
        <w:t>AGRADECIMIENTO</w:t>
      </w:r>
    </w:p>
    <w:p>
      <w:pPr>
        <w:pStyle w:val="style0"/>
        <w:spacing w:line="100" w:lineRule="atLeast"/>
        <w:ind w:hanging="0" w:left="0" w:right="0"/>
        <w:jc w:val="center"/>
      </w:pPr>
      <w:r>
        <w:rPr>
          <w:b/>
        </w:rPr>
      </w:r>
    </w:p>
    <w:p>
      <w:pPr>
        <w:pStyle w:val="style0"/>
        <w:ind w:firstLine="284" w:left="0" w:right="0"/>
      </w:pPr>
      <w:r>
        <w:rPr>
          <w:rFonts w:eastAsia="SimSun"/>
          <w:lang w:eastAsia="zh-CN"/>
        </w:rPr>
      </w:r>
    </w:p>
    <w:p>
      <w:pPr>
        <w:pStyle w:val="style0"/>
        <w:ind w:firstLine="284" w:left="0" w:right="0"/>
      </w:pPr>
      <w:r>
        <w:rPr>
          <w:rFonts w:eastAsia="SimSun"/>
          <w:lang w:eastAsia="zh-CN"/>
        </w:rPr>
        <w:t>A Dios, por darme la vida y permitirme llegar a esta etapa de logro y éxito. Por nacer en el seno de una familia llena de valores bien sembrados, me siento orgulloso de ustedes. A mis padres, hermano y familiares, por apoyarme y  guiarme por el camino del éxito.</w:t>
      </w:r>
    </w:p>
    <w:p>
      <w:pPr>
        <w:pStyle w:val="style0"/>
        <w:ind w:firstLine="284" w:left="0" w:right="0"/>
      </w:pPr>
      <w:r>
        <w:rPr>
          <w:rFonts w:eastAsia="SimSun"/>
          <w:lang w:eastAsia="zh-CN"/>
        </w:rPr>
      </w:r>
    </w:p>
    <w:p>
      <w:pPr>
        <w:pStyle w:val="style0"/>
        <w:ind w:firstLine="284" w:left="0" w:right="0"/>
      </w:pPr>
      <w:r>
        <w:rPr>
          <w:rFonts w:eastAsia="SimSun"/>
          <w:lang w:eastAsia="zh-CN"/>
        </w:rPr>
        <w:t xml:space="preserve">A mí tutor Msc. Oscar Guillarte, quien con sus conocimientos y experiencias me ayudó en mi trabajo de manera satisfactoria. </w:t>
      </w:r>
    </w:p>
    <w:p>
      <w:pPr>
        <w:pStyle w:val="style0"/>
        <w:ind w:firstLine="284" w:left="0" w:right="0"/>
      </w:pPr>
      <w:r>
        <w:rPr>
          <w:rFonts w:eastAsia="SimSun"/>
          <w:lang w:eastAsia="zh-CN"/>
        </w:rPr>
      </w:r>
    </w:p>
    <w:p>
      <w:pPr>
        <w:pStyle w:val="style0"/>
        <w:ind w:firstLine="284" w:left="0" w:right="0"/>
      </w:pPr>
      <w:r>
        <w:rPr>
          <w:rFonts w:eastAsia="SimSun"/>
          <w:lang w:eastAsia="zh-CN"/>
        </w:rPr>
        <w:t>A BNC, por darme el apoyo necesario para que se realizará la investigación.</w:t>
      </w:r>
    </w:p>
    <w:p>
      <w:pPr>
        <w:pStyle w:val="style0"/>
        <w:ind w:firstLine="284" w:left="0" w:right="0"/>
      </w:pPr>
      <w:r>
        <w:rPr>
          <w:rFonts w:eastAsia="SimSun"/>
          <w:lang w:eastAsia="zh-CN"/>
        </w:rPr>
      </w:r>
    </w:p>
    <w:p>
      <w:pPr>
        <w:pStyle w:val="style0"/>
        <w:ind w:firstLine="284" w:left="0" w:right="0"/>
      </w:pPr>
      <w:r>
        <w:rPr>
          <w:rFonts w:eastAsia="SimSun"/>
          <w:lang w:eastAsia="zh-CN"/>
        </w:rPr>
        <w:t>A todos los profesores, que me brindan su apoyo y conocimientos para mi superación como persona y profesional. Gracias por enseñarme que en la vida el conocimiento es la herramienta que nos lleva a la superación.</w:t>
      </w:r>
    </w:p>
    <w:p>
      <w:pPr>
        <w:pStyle w:val="style0"/>
        <w:ind w:firstLine="284" w:left="0" w:right="0"/>
      </w:pPr>
      <w:r>
        <w:rPr>
          <w:rFonts w:eastAsia="SimSun"/>
          <w:lang w:eastAsia="zh-CN"/>
        </w:rPr>
      </w:r>
    </w:p>
    <w:p>
      <w:pPr>
        <w:pStyle w:val="style0"/>
        <w:ind w:firstLine="284" w:left="0" w:right="0"/>
      </w:pPr>
      <w:r>
        <w:rPr>
          <w:rFonts w:eastAsia="SimSun"/>
          <w:lang w:eastAsia="zh-CN"/>
        </w:rPr>
        <w:t>A mis amistades, que son el complemento que hace falta de nuestras vidas, llenándola de alegrías y tristezas, gracias por estar siempre presente. Gracias por ser  compañeros en todo momento. A todas aquellas personas que de una u otra forma colaboraron conmigo en todo momento.</w:t>
      </w:r>
    </w:p>
    <w:p>
      <w:pPr>
        <w:pStyle w:val="style0"/>
        <w:ind w:firstLine="284" w:left="0" w:right="0"/>
        <w:jc w:val="right"/>
      </w:pPr>
      <w:r>
        <w:rPr>
          <w:rFonts w:eastAsia="SimSun"/>
          <w:b/>
          <w:bCs/>
          <w:lang w:eastAsia="zh-CN"/>
        </w:rPr>
      </w:r>
    </w:p>
    <w:p>
      <w:pPr>
        <w:pStyle w:val="style0"/>
        <w:ind w:firstLine="284" w:left="0" w:right="0"/>
        <w:jc w:val="right"/>
      </w:pPr>
      <w:r>
        <w:rPr>
          <w:rFonts w:eastAsia="SimSun"/>
          <w:b/>
          <w:bCs/>
          <w:lang w:eastAsia="zh-CN"/>
        </w:rPr>
        <w:t>A todos Gracias!</w:t>
      </w:r>
    </w:p>
    <w:p>
      <w:pPr>
        <w:pStyle w:val="style1"/>
        <w:pageBreakBefore/>
      </w:pPr>
      <w:bookmarkStart w:id="16" w:name="__RefHeading__4936_1544206207"/>
      <w:bookmarkStart w:id="17" w:name="_Toc432059677"/>
      <w:bookmarkEnd w:id="16"/>
      <w:bookmarkEnd w:id="17"/>
      <w:r>
        <w:rPr/>
        <w:t>DEDICATORIA</w:t>
      </w:r>
    </w:p>
    <w:p>
      <w:pPr>
        <w:pStyle w:val="style0"/>
        <w:ind w:hanging="0" w:left="0" w:right="0"/>
        <w:jc w:val="center"/>
      </w:pPr>
      <w:r>
        <w:rPr>
          <w:b/>
        </w:rPr>
      </w:r>
    </w:p>
    <w:p>
      <w:pPr>
        <w:pStyle w:val="style0"/>
        <w:ind w:firstLine="284" w:left="0" w:right="0"/>
      </w:pPr>
      <w:r>
        <w:rPr>
          <w:rFonts w:eastAsia="SimSun"/>
          <w:lang w:eastAsia="zh-CN"/>
        </w:rPr>
      </w:r>
    </w:p>
    <w:p>
      <w:pPr>
        <w:pStyle w:val="style0"/>
        <w:ind w:firstLine="284" w:left="0" w:right="0"/>
      </w:pPr>
      <w:r>
        <w:rPr>
          <w:rFonts w:eastAsia="SimSun"/>
          <w:lang w:eastAsia="zh-CN"/>
        </w:rPr>
        <w:t>A Dios padre todopoderoso, por darme el regalo de existir en el mundo, por llenarme cada día de inteligencia y sabiduría para superar obstáculos.</w:t>
      </w:r>
    </w:p>
    <w:p>
      <w:pPr>
        <w:pStyle w:val="style0"/>
        <w:ind w:firstLine="284" w:left="0" w:right="0"/>
      </w:pPr>
      <w:r>
        <w:rPr>
          <w:rFonts w:eastAsia="SimSun"/>
          <w:lang w:eastAsia="zh-CN"/>
        </w:rPr>
      </w:r>
    </w:p>
    <w:p>
      <w:pPr>
        <w:pStyle w:val="style0"/>
        <w:ind w:firstLine="284" w:left="0" w:right="0"/>
      </w:pPr>
      <w:r>
        <w:rPr>
          <w:rFonts w:eastAsia="SimSun"/>
          <w:lang w:eastAsia="zh-CN"/>
        </w:rPr>
        <w:t>A mis padres, por brindarme lo mejor de ellos, además de estar en todo momento con su apoyo y ser parte de mi formación personal.</w:t>
      </w:r>
    </w:p>
    <w:p>
      <w:pPr>
        <w:pStyle w:val="style0"/>
        <w:ind w:firstLine="284" w:left="0" w:right="0"/>
      </w:pPr>
      <w:r>
        <w:rPr>
          <w:rFonts w:eastAsia="SimSun"/>
          <w:lang w:eastAsia="zh-CN"/>
        </w:rPr>
      </w:r>
    </w:p>
    <w:p>
      <w:pPr>
        <w:pStyle w:val="style0"/>
        <w:ind w:firstLine="284" w:left="0" w:right="0"/>
      </w:pPr>
      <w:r>
        <w:rPr>
          <w:rFonts w:eastAsia="SimSun"/>
          <w:lang w:eastAsia="zh-CN"/>
        </w:rPr>
        <w:t>A mis abuelas y abuelo, dos de ellos que desde el cielo me iluminan el camino de éxito y triunfos al transcurrir los días; la otra que aún vive, por estar pendiente de mí desde siempre dándome sus bendiciones, gracias por compartir este logro.</w:t>
      </w:r>
    </w:p>
    <w:p>
      <w:pPr>
        <w:pStyle w:val="style0"/>
        <w:ind w:firstLine="284" w:left="0" w:right="0"/>
      </w:pPr>
      <w:r>
        <w:rPr>
          <w:rFonts w:eastAsia="SimSun"/>
          <w:lang w:eastAsia="zh-CN"/>
        </w:rPr>
      </w:r>
    </w:p>
    <w:p>
      <w:pPr>
        <w:pStyle w:val="style0"/>
        <w:ind w:firstLine="284" w:left="0" w:right="0"/>
      </w:pPr>
      <w:r>
        <w:rPr>
          <w:rFonts w:eastAsia="SimSun"/>
          <w:lang w:eastAsia="zh-CN"/>
        </w:rPr>
        <w:t>A mi hermano, quien ha sido mi motivación, para culminar esta meta. Comparto y disfruto este éxito, gracias por tu apoyo incondicional.</w:t>
      </w:r>
    </w:p>
    <w:p>
      <w:pPr>
        <w:pStyle w:val="style0"/>
        <w:ind w:firstLine="284" w:left="0" w:right="0"/>
      </w:pPr>
      <w:r>
        <w:rPr>
          <w:rFonts w:eastAsia="SimSun"/>
          <w:lang w:eastAsia="zh-CN"/>
        </w:rPr>
      </w:r>
    </w:p>
    <w:p>
      <w:pPr>
        <w:pStyle w:val="style0"/>
        <w:ind w:firstLine="284" w:left="0" w:right="0"/>
      </w:pPr>
      <w:r>
        <w:rPr>
          <w:rFonts w:eastAsia="SimSun"/>
          <w:lang w:eastAsia="zh-CN"/>
        </w:rPr>
        <w:t>A todos mis familiares y amistades, quienes han estado presentes en cada etapa de mi vida, con sus consejos, atenciones y tolerancia, además para que se entusiasmen y se esfuercen en su formación profesional, gracias por estar en todo momento.</w:t>
      </w:r>
    </w:p>
    <w:p>
      <w:pPr>
        <w:pStyle w:val="style0"/>
        <w:ind w:firstLine="284" w:left="0" w:right="0"/>
      </w:pPr>
      <w:r>
        <w:rPr>
          <w:rFonts w:eastAsia="SimSun"/>
          <w:lang w:eastAsia="zh-CN"/>
        </w:rPr>
      </w:r>
    </w:p>
    <w:p>
      <w:pPr>
        <w:pStyle w:val="style0"/>
        <w:ind w:hanging="0" w:left="0" w:right="0"/>
        <w:jc w:val="center"/>
      </w:pPr>
      <w:r>
        <w:rPr>
          <w:b/>
        </w:rPr>
      </w:r>
    </w:p>
    <w:p>
      <w:pPr>
        <w:pStyle w:val="style0"/>
        <w:spacing w:line="100" w:lineRule="atLeast"/>
        <w:ind w:firstLine="284" w:left="0" w:right="0"/>
        <w:jc w:val="right"/>
      </w:pPr>
      <w:r>
        <w:rPr>
          <w:rFonts w:eastAsia="SimSun"/>
          <w:bCs/>
          <w:lang w:eastAsia="zh-CN"/>
        </w:rPr>
        <w:t>María Fernanda Rey</w:t>
      </w:r>
    </w:p>
    <w:p>
      <w:pPr>
        <w:pStyle w:val="style0"/>
        <w:pageBreakBefore/>
        <w:spacing w:line="100" w:lineRule="atLeast"/>
        <w:ind w:hanging="0" w:left="0" w:right="0"/>
        <w:jc w:val="center"/>
      </w:pPr>
      <w:r>
        <w:rPr/>
        <w:t>UNIVERSIDAD DE CARABOBO</w:t>
        <w:drawing>
          <wp:anchor allowOverlap="1" behindDoc="0" distB="0" distL="0" distR="0" distT="0" layoutInCell="1" locked="0" relativeHeight="0" simplePos="0">
            <wp:simplePos x="0" y="0"/>
            <wp:positionH relativeFrom="character">
              <wp:posOffset>4450080</wp:posOffset>
            </wp:positionH>
            <wp:positionV relativeFrom="line">
              <wp:posOffset>-306070</wp:posOffset>
            </wp:positionV>
            <wp:extent cx="1181735" cy="60007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1181735" cy="600075"/>
                    </a:xfrm>
                    <a:prstGeom prst="rect">
                      <a:avLst/>
                    </a:prstGeom>
                    <a:noFill/>
                    <a:ln w="9525">
                      <a:noFill/>
                      <a:miter lim="800000"/>
                      <a:headEnd/>
                      <a:tailEnd/>
                    </a:ln>
                  </pic:spPr>
                </pic:pic>
              </a:graphicData>
            </a:graphic>
          </wp:anchor>
        </w:drawing>
      </w:r>
    </w:p>
    <w:p>
      <w:pPr>
        <w:pStyle w:val="style0"/>
        <w:spacing w:line="100" w:lineRule="atLeast"/>
        <w:ind w:hanging="0" w:left="0" w:right="0"/>
        <w:jc w:val="center"/>
      </w:pPr>
      <w:r>
        <w:rPr/>
        <w:t>FACULTAD DE CIENCIAS ECONÓMICAS Y SOCIALES</w:t>
        <w:drawing>
          <wp:anchor allowOverlap="1" behindDoc="0" distB="0" distL="0" distR="0" distT="0" layoutInCell="1" locked="0" relativeHeight="0" simplePos="0">
            <wp:simplePos x="0" y="0"/>
            <wp:positionH relativeFrom="character">
              <wp:posOffset>-93345</wp:posOffset>
            </wp:positionH>
            <wp:positionV relativeFrom="line">
              <wp:posOffset>-569595</wp:posOffset>
            </wp:positionV>
            <wp:extent cx="669290" cy="66675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669290" cy="666750"/>
                    </a:xfrm>
                    <a:prstGeom prst="rect">
                      <a:avLst/>
                    </a:prstGeom>
                    <a:noFill/>
                    <a:ln w="9525">
                      <a:noFill/>
                      <a:miter lim="800000"/>
                      <a:headEnd/>
                      <a:tailEnd/>
                    </a:ln>
                  </pic:spPr>
                </pic:pic>
              </a:graphicData>
            </a:graphic>
          </wp:anchor>
        </w:drawing>
      </w:r>
    </w:p>
    <w:p>
      <w:pPr>
        <w:pStyle w:val="style0"/>
        <w:spacing w:line="100" w:lineRule="atLeast"/>
        <w:ind w:hanging="0" w:left="0" w:right="0"/>
        <w:jc w:val="center"/>
      </w:pPr>
      <w:r>
        <w:rPr/>
        <w:t>MAESTRÍA EN ADMINISTRACIÓN MENCIÓN FINANZAS</w:t>
      </w:r>
    </w:p>
    <w:p>
      <w:pPr>
        <w:pStyle w:val="style0"/>
        <w:spacing w:line="100" w:lineRule="atLeast"/>
        <w:ind w:hanging="0" w:left="0" w:right="0"/>
        <w:jc w:val="center"/>
      </w:pPr>
      <w:r>
        <w:rPr/>
        <w:t>ÁREA DE ESTUDIOS</w:t>
      </w:r>
      <w:r>
        <w:rPr>
          <w:b/>
        </w:rPr>
        <w:t xml:space="preserve"> </w:t>
      </w:r>
      <w:r>
        <w:rPr/>
        <w:t>DE POSTGRADO</w:t>
      </w:r>
    </w:p>
    <w:p>
      <w:pPr>
        <w:pStyle w:val="style0"/>
        <w:spacing w:line="100" w:lineRule="atLeast"/>
        <w:ind w:hanging="0" w:left="0" w:right="0"/>
        <w:jc w:val="center"/>
      </w:pPr>
      <w:r>
        <w:rPr/>
        <w:t>CAMPUS LA MORITA</w:t>
      </w:r>
    </w:p>
    <w:p>
      <w:pPr>
        <w:pStyle w:val="style0"/>
        <w:spacing w:line="100" w:lineRule="atLeast"/>
        <w:ind w:hanging="0" w:left="0" w:right="0"/>
        <w:jc w:val="center"/>
      </w:pPr>
      <w:r>
        <w:rPr/>
      </w:r>
    </w:p>
    <w:p>
      <w:pPr>
        <w:pStyle w:val="style0"/>
        <w:spacing w:line="100" w:lineRule="atLeast"/>
        <w:ind w:hanging="0" w:left="0" w:right="0"/>
        <w:jc w:val="center"/>
      </w:pPr>
      <w:r>
        <w:rPr>
          <w:b/>
        </w:rPr>
        <w:t>ANÁLISIS DE LOS RIESGOS DE LOS CRÉDITOS AL CONSUMO EN BASE A INDICADORES DE GESTIÓN COMO HERRAMIENTA DE CONTROL EN LA BANCA PRIVADA</w:t>
      </w:r>
    </w:p>
    <w:p>
      <w:pPr>
        <w:pStyle w:val="style0"/>
        <w:spacing w:line="100" w:lineRule="atLeast"/>
        <w:ind w:hanging="0" w:left="0" w:right="0"/>
        <w:jc w:val="center"/>
      </w:pPr>
      <w:r>
        <w:rPr>
          <w:b/>
        </w:rPr>
        <w:tab/>
        <w:tab/>
        <w:tab/>
        <w:tab/>
        <w:t xml:space="preserve">     </w:t>
      </w:r>
    </w:p>
    <w:p>
      <w:pPr>
        <w:pStyle w:val="style0"/>
        <w:spacing w:line="100" w:lineRule="atLeast"/>
        <w:ind w:firstLine="708" w:left="3540" w:right="0"/>
        <w:jc w:val="left"/>
      </w:pPr>
      <w:r>
        <w:rPr>
          <w:b/>
        </w:rPr>
        <w:t>AUTORA</w:t>
      </w:r>
      <w:r>
        <w:rPr/>
        <w:t xml:space="preserve">: María Fernanda Rey M. </w:t>
      </w:r>
    </w:p>
    <w:p>
      <w:pPr>
        <w:pStyle w:val="style0"/>
        <w:spacing w:line="100" w:lineRule="atLeast"/>
        <w:ind w:hanging="0" w:left="0" w:right="0"/>
        <w:jc w:val="left"/>
      </w:pPr>
      <w:r>
        <w:rPr>
          <w:b/>
        </w:rPr>
        <w:t xml:space="preserve">                                           </w:t>
      </w:r>
      <w:r>
        <w:rPr>
          <w:b/>
        </w:rPr>
        <w:tab/>
        <w:tab/>
        <w:t xml:space="preserve"> </w:t>
        <w:tab/>
        <w:t xml:space="preserve">                   TUTOR</w:t>
      </w:r>
      <w:r>
        <w:rPr/>
        <w:t>: Oscar Guillarte Sarmiento</w:t>
      </w:r>
    </w:p>
    <w:p>
      <w:pPr>
        <w:pStyle w:val="style0"/>
        <w:spacing w:after="120" w:before="0" w:line="100" w:lineRule="atLeast"/>
        <w:ind w:firstLine="708" w:left="3540" w:right="0"/>
        <w:jc w:val="left"/>
      </w:pPr>
      <w:r>
        <w:rPr>
          <w:b/>
        </w:rPr>
        <w:t>FECHA:</w:t>
      </w:r>
      <w:r>
        <w:rPr/>
        <w:t xml:space="preserve"> Julio de 2015</w:t>
      </w:r>
    </w:p>
    <w:p>
      <w:pPr>
        <w:pStyle w:val="style1"/>
      </w:pPr>
      <w:bookmarkStart w:id="18" w:name="__RefHeading__4938_1544206207"/>
      <w:bookmarkStart w:id="19" w:name="_Toc432059678"/>
      <w:bookmarkEnd w:id="18"/>
      <w:bookmarkEnd w:id="19"/>
      <w:r>
        <w:rPr/>
        <w:t>RESUMEN</w:t>
      </w:r>
    </w:p>
    <w:p>
      <w:pPr>
        <w:pStyle w:val="style0"/>
        <w:spacing w:line="100" w:lineRule="atLeast"/>
        <w:ind w:hanging="0" w:left="0" w:right="0"/>
      </w:pPr>
      <w:bookmarkStart w:id="20" w:name="__DdeLink__5007_1544206207"/>
      <w:r>
        <w:rPr/>
        <w:t xml:space="preserve">La investigación propósito analiza los riesgos de los créditos al consumo en base a indicadores de gestión, debido a que dentro de la estructura organizativa de cada banca privada, existe un departamento de riesgo de análisis para cada tipo de cartera, para el área de tarjeta de crédito que es de tipo crédito al consumo masivo, ya que es de fácil acceso, por lo que crea altos volumen de solicitudes dentro del departamento, por eso se busca estudiar el uso de indicadores de gestión que permitan estudiar, analizar y comparar el comportamiento de la gestión en cuanto al seguimiento de la solicitud para llegar a conclusiones que estén lo más cercano a la realidad en lo que respecta al análisis de la solicitud y tiempo de respuesta, de allí que se analice el indicador de gestión como estrategia de medición en el área de riesgo de análisis de tarjeta de crédito en la banca privada, es necesario adentrarse en la dinámica de oferta que han alcanzado las instituciones financieras. El trabajo se fundamenta en la modalidad de una investigación de campo de carácter descriptivo y se apoyó en la Investigación Bibliográfica. La población y muestra del estudio fueron quince </w:t>
      </w:r>
      <w:r>
        <w:rPr>
          <w:bCs/>
        </w:rPr>
        <w:t xml:space="preserve">(15) personas de </w:t>
      </w:r>
      <w:r>
        <w:rPr/>
        <w:t>quince</w:t>
      </w:r>
      <w:r>
        <w:rPr>
          <w:bCs/>
        </w:rPr>
        <w:t xml:space="preserve"> (15) personas relacionadas con </w:t>
      </w:r>
      <w:bookmarkEnd w:id="20"/>
      <w:r>
        <w:rPr/>
        <w:t xml:space="preserve">el análisis de los riesgos de los créditos al consumo en la banca privada, de una institución ubicada en Maracay, Estado Aragua. La técnica de recolección de datos fue la encuesta y como instrumento, el cuestionario escala likert que fue validado por juicio de expertos. La confiabilidad fue por Kuder Richardson. Se concluye que el uso de los indicadores de gestión muestra una tendencia a no ser considerados efectivamente, a pesar de su precisión para suministrar una referencia del comportamiento de un cliente de crédito al consumo. Se recomienda la revisión sistemática de los simuladores de riesgos, con la finalidad de adecuar sus procesos al entorno económico, mediante la actualización de parámetros de estudio, así como utilizar indicadores de gestión en la evaluación de las solicitudes de créditos al consumo, específicamente tarjetas de crédito. </w:t>
      </w:r>
    </w:p>
    <w:p>
      <w:pPr>
        <w:pStyle w:val="style0"/>
        <w:spacing w:line="100" w:lineRule="atLeast"/>
        <w:ind w:hanging="0" w:left="0" w:right="0"/>
      </w:pPr>
      <w:r>
        <w:rPr/>
      </w:r>
    </w:p>
    <w:p>
      <w:pPr>
        <w:pStyle w:val="style0"/>
        <w:spacing w:line="100" w:lineRule="atLeast"/>
        <w:ind w:hanging="0" w:left="0" w:right="0"/>
      </w:pPr>
      <w:r>
        <w:rPr/>
        <w:t>Palabras Clave: Indicador, gestión, banca, tarjetas de crédito, riesgos, consumo.</w:t>
      </w:r>
    </w:p>
    <w:p>
      <w:pPr>
        <w:sectPr>
          <w:headerReference r:id="rId13" w:type="default"/>
          <w:footerReference r:id="rId14" w:type="default"/>
          <w:type w:val="nextPage"/>
          <w:pgSz w:h="15840" w:w="12240"/>
          <w:pgMar w:bottom="1701" w:footer="964" w:gutter="0" w:header="964" w:left="2268" w:right="1701" w:top="2269"/>
          <w:pgNumType w:fmt="decimal"/>
          <w:formProt w:val="false"/>
          <w:textDirection w:val="lrTb"/>
          <w:docGrid w:charSpace="0" w:linePitch="360" w:type="default"/>
        </w:sectPr>
        <w:pStyle w:val="style60"/>
        <w:tabs>
          <w:tab w:leader="none" w:pos="8838" w:val="right"/>
        </w:tabs>
        <w:jc w:val="center"/>
      </w:pPr>
      <w:r>
        <w:rPr>
          <w:rFonts w:cs="Arial"/>
          <w:sz w:val="20"/>
          <w:szCs w:val="20"/>
        </w:rPr>
      </w:r>
    </w:p>
    <w:p>
      <w:pPr>
        <w:pStyle w:val="style1"/>
      </w:pPr>
      <w:bookmarkStart w:id="21" w:name="__RefHeading__4940_1544206207"/>
      <w:bookmarkStart w:id="22" w:name="_Toc432059679"/>
      <w:bookmarkEnd w:id="21"/>
      <w:bookmarkEnd w:id="22"/>
      <w:r>
        <w:rPr/>
        <w:t>ÍNDICE</w:t>
      </w:r>
    </w:p>
    <w:p>
      <w:pPr>
        <w:sectPr>
          <w:headerReference r:id="rId15" w:type="default"/>
          <w:footerReference r:id="rId16" w:type="default"/>
          <w:type w:val="nextPage"/>
          <w:pgSz w:h="15840" w:w="12240"/>
          <w:pgMar w:bottom="1701" w:footer="964" w:gutter="0" w:header="964" w:left="2268" w:right="1701" w:top="2269"/>
          <w:pgNumType w:fmt="decimal"/>
          <w:formProt w:val="false"/>
          <w:textDirection w:val="lrTb"/>
          <w:docGrid w:charSpace="0" w:linePitch="360" w:type="default"/>
        </w:sectPr>
      </w:pPr>
    </w:p>
    <w:p>
      <w:pPr>
        <w:pStyle w:val="style92"/>
        <w:tabs>
          <w:tab w:leader="dot" w:pos="8271" w:val="right"/>
        </w:tabs>
      </w:pPr>
      <w:r>
        <w:fldChar w:fldCharType="begin"/>
      </w:r>
      <w:r>
        <w:instrText> TOC </w:instrText>
      </w:r>
      <w:r>
        <w:fldChar w:fldCharType="separate"/>
      </w:r>
      <w:hyperlink w:anchor="__RefHeading__4934_1544206207">
        <w:r>
          <w:rPr>
            <w:rStyle w:val="style49"/>
          </w:rPr>
          <w:t>AGRADECIMIENTO</w:t>
          <w:tab/>
          <w:t>6</w:t>
        </w:r>
      </w:hyperlink>
    </w:p>
    <w:p>
      <w:pPr>
        <w:pStyle w:val="style92"/>
        <w:tabs>
          <w:tab w:leader="dot" w:pos="8271" w:val="right"/>
        </w:tabs>
      </w:pPr>
      <w:hyperlink w:anchor="__RefHeading__4936_1544206207">
        <w:r>
          <w:rPr>
            <w:rStyle w:val="style49"/>
          </w:rPr>
          <w:t>DEDICATORIA</w:t>
          <w:tab/>
          <w:t>7</w:t>
        </w:r>
      </w:hyperlink>
    </w:p>
    <w:p>
      <w:pPr>
        <w:pStyle w:val="style92"/>
        <w:tabs>
          <w:tab w:leader="dot" w:pos="8271" w:val="right"/>
        </w:tabs>
      </w:pPr>
      <w:hyperlink w:anchor="__RefHeading__4938_1544206207">
        <w:r>
          <w:rPr>
            <w:rStyle w:val="style49"/>
          </w:rPr>
          <w:t>RESUMEN</w:t>
          <w:tab/>
          <w:t>8</w:t>
        </w:r>
      </w:hyperlink>
    </w:p>
    <w:p>
      <w:pPr>
        <w:pStyle w:val="style92"/>
        <w:tabs>
          <w:tab w:leader="dot" w:pos="8271" w:val="right"/>
        </w:tabs>
      </w:pPr>
      <w:hyperlink w:anchor="__RefHeading__4940_1544206207">
        <w:r>
          <w:rPr>
            <w:rStyle w:val="style49"/>
          </w:rPr>
          <w:t>ÍNDICE</w:t>
          <w:tab/>
          <w:t>9</w:t>
        </w:r>
      </w:hyperlink>
    </w:p>
    <w:p>
      <w:pPr>
        <w:pStyle w:val="style92"/>
        <w:tabs>
          <w:tab w:leader="dot" w:pos="8271" w:val="right"/>
        </w:tabs>
      </w:pPr>
      <w:hyperlink w:anchor="__RefHeading__4942_1544206207">
        <w:r>
          <w:rPr>
            <w:rStyle w:val="style49"/>
          </w:rPr>
          <w:t>ÍNDICE DE TABLAS</w:t>
          <w:tab/>
          <w:t>10</w:t>
        </w:r>
      </w:hyperlink>
    </w:p>
    <w:p>
      <w:pPr>
        <w:pStyle w:val="style92"/>
        <w:tabs>
          <w:tab w:leader="dot" w:pos="8271" w:val="right"/>
        </w:tabs>
      </w:pPr>
      <w:hyperlink w:anchor="__RefHeading__4944_1544206207">
        <w:r>
          <w:rPr>
            <w:rStyle w:val="style49"/>
          </w:rPr>
          <w:t>ÍNDICE DE GRÁFICOS</w:t>
          <w:tab/>
          <w:t>11</w:t>
        </w:r>
      </w:hyperlink>
    </w:p>
    <w:p>
      <w:pPr>
        <w:pStyle w:val="style92"/>
        <w:tabs>
          <w:tab w:leader="dot" w:pos="8271" w:val="right"/>
        </w:tabs>
      </w:pPr>
      <w:hyperlink w:anchor="__RefHeading__4946_1544206207">
        <w:r>
          <w:rPr>
            <w:rStyle w:val="style49"/>
          </w:rPr>
          <w:t>INTRODUCCIÓN</w:t>
          <w:tab/>
          <w:t>12</w:t>
        </w:r>
      </w:hyperlink>
    </w:p>
    <w:p>
      <w:pPr>
        <w:pStyle w:val="style92"/>
        <w:tabs>
          <w:tab w:leader="dot" w:pos="8271" w:val="right"/>
        </w:tabs>
      </w:pPr>
      <w:hyperlink w:anchor="__RefHeading__4948_1544206207">
        <w:r>
          <w:rPr>
            <w:rStyle w:val="style49"/>
          </w:rPr>
          <w:t>CAPÍTULO I</w:t>
          <w:tab/>
          <w:t>14</w:t>
        </w:r>
      </w:hyperlink>
    </w:p>
    <w:p>
      <w:pPr>
        <w:pStyle w:val="style93"/>
        <w:tabs>
          <w:tab w:leader="dot" w:pos="8511" w:val="right"/>
        </w:tabs>
      </w:pPr>
      <w:hyperlink w:anchor="__RefHeading__4950_1544206207">
        <w:r>
          <w:rPr>
            <w:rStyle w:val="style49"/>
          </w:rPr>
          <w:t>EL PROBLEMA</w:t>
          <w:tab/>
          <w:t>14</w:t>
        </w:r>
      </w:hyperlink>
    </w:p>
    <w:p>
      <w:pPr>
        <w:pStyle w:val="style94"/>
        <w:tabs>
          <w:tab w:leader="dot" w:pos="8751" w:val="right"/>
        </w:tabs>
      </w:pPr>
      <w:hyperlink w:anchor="__RefHeading__4952_1544206207">
        <w:r>
          <w:rPr>
            <w:rStyle w:val="style49"/>
          </w:rPr>
          <w:t>Planteamiento del Problema</w:t>
          <w:tab/>
          <w:t>14</w:t>
        </w:r>
      </w:hyperlink>
    </w:p>
    <w:p>
      <w:pPr>
        <w:pStyle w:val="style94"/>
        <w:tabs>
          <w:tab w:leader="dot" w:pos="8751" w:val="right"/>
        </w:tabs>
      </w:pPr>
      <w:hyperlink w:anchor="__RefHeading__4954_1544206207">
        <w:r>
          <w:rPr>
            <w:rStyle w:val="style49"/>
          </w:rPr>
          <w:t>Objetivos de la Investigación</w:t>
          <w:tab/>
          <w:t>16</w:t>
        </w:r>
      </w:hyperlink>
    </w:p>
    <w:p>
      <w:pPr>
        <w:pStyle w:val="style94"/>
        <w:tabs>
          <w:tab w:leader="dot" w:pos="8751" w:val="right"/>
        </w:tabs>
      </w:pPr>
      <w:hyperlink w:anchor="__RefHeading__4956_1544206207">
        <w:r>
          <w:rPr>
            <w:rStyle w:val="style49"/>
          </w:rPr>
          <w:t>Justificación de la Investigación</w:t>
          <w:tab/>
          <w:t>17</w:t>
        </w:r>
      </w:hyperlink>
    </w:p>
    <w:p>
      <w:pPr>
        <w:pStyle w:val="style92"/>
        <w:tabs>
          <w:tab w:leader="dot" w:pos="8271" w:val="right"/>
        </w:tabs>
      </w:pPr>
      <w:hyperlink w:anchor="__RefHeading__4958_1544206207">
        <w:r>
          <w:rPr>
            <w:rStyle w:val="style49"/>
          </w:rPr>
          <w:t xml:space="preserve"> </w:t>
        </w:r>
        <w:r>
          <w:rPr>
            <w:rStyle w:val="style49"/>
          </w:rPr>
          <w:t>CAPÍTULO II</w:t>
          <w:tab/>
          <w:t>18</w:t>
        </w:r>
      </w:hyperlink>
    </w:p>
    <w:p>
      <w:pPr>
        <w:pStyle w:val="style93"/>
        <w:tabs>
          <w:tab w:leader="dot" w:pos="8511" w:val="right"/>
        </w:tabs>
      </w:pPr>
      <w:hyperlink w:anchor="__RefHeading__4960_1544206207">
        <w:r>
          <w:rPr>
            <w:rStyle w:val="style49"/>
          </w:rPr>
          <w:t>MARCO TEÓRICO</w:t>
          <w:tab/>
          <w:t>18</w:t>
        </w:r>
      </w:hyperlink>
    </w:p>
    <w:p>
      <w:pPr>
        <w:pStyle w:val="style94"/>
        <w:tabs>
          <w:tab w:leader="dot" w:pos="8751" w:val="right"/>
        </w:tabs>
      </w:pPr>
      <w:hyperlink w:anchor="__RefHeading__4962_1544206207">
        <w:r>
          <w:rPr>
            <w:rStyle w:val="style49"/>
          </w:rPr>
          <w:t>Antecedentes de la Investigación</w:t>
          <w:tab/>
          <w:t>18</w:t>
        </w:r>
      </w:hyperlink>
    </w:p>
    <w:p>
      <w:pPr>
        <w:pStyle w:val="style94"/>
        <w:tabs>
          <w:tab w:leader="dot" w:pos="8751" w:val="right"/>
        </w:tabs>
      </w:pPr>
      <w:hyperlink w:anchor="__RefHeading__4964_1544206207">
        <w:r>
          <w:rPr>
            <w:rStyle w:val="style49"/>
          </w:rPr>
          <w:t>Bases Teóricas</w:t>
          <w:tab/>
          <w:t>19</w:t>
        </w:r>
      </w:hyperlink>
    </w:p>
    <w:p>
      <w:pPr>
        <w:pStyle w:val="style92"/>
        <w:tabs>
          <w:tab w:leader="dot" w:pos="8271" w:val="right"/>
        </w:tabs>
      </w:pPr>
      <w:hyperlink w:anchor="__RefHeading__4966_1544206207">
        <w:r>
          <w:rPr>
            <w:rStyle w:val="style49"/>
          </w:rPr>
          <w:t>CAPÍTULO III</w:t>
          <w:tab/>
          <w:t>37</w:t>
        </w:r>
      </w:hyperlink>
    </w:p>
    <w:p>
      <w:pPr>
        <w:pStyle w:val="style93"/>
        <w:tabs>
          <w:tab w:leader="dot" w:pos="8511" w:val="right"/>
        </w:tabs>
      </w:pPr>
      <w:hyperlink w:anchor="__RefHeading__4968_1544206207">
        <w:r>
          <w:rPr>
            <w:rStyle w:val="style49"/>
          </w:rPr>
          <w:t>MARCO METODOLÓGICO</w:t>
          <w:tab/>
          <w:t>37</w:t>
        </w:r>
      </w:hyperlink>
    </w:p>
    <w:p>
      <w:pPr>
        <w:pStyle w:val="style94"/>
        <w:tabs>
          <w:tab w:leader="dot" w:pos="8751" w:val="right"/>
        </w:tabs>
      </w:pPr>
      <w:hyperlink w:anchor="__RefHeading__4970_1544206207">
        <w:r>
          <w:rPr>
            <w:rStyle w:val="style49"/>
          </w:rPr>
          <w:t>Tipo de Investigación</w:t>
          <w:tab/>
          <w:t>37</w:t>
        </w:r>
      </w:hyperlink>
    </w:p>
    <w:p>
      <w:pPr>
        <w:pStyle w:val="style94"/>
        <w:tabs>
          <w:tab w:leader="dot" w:pos="8751" w:val="right"/>
        </w:tabs>
      </w:pPr>
      <w:hyperlink w:anchor="__RefHeading__4972_1544206207">
        <w:r>
          <w:rPr>
            <w:rStyle w:val="style49"/>
          </w:rPr>
          <w:t>Población y Muestra</w:t>
          <w:tab/>
          <w:t>38</w:t>
        </w:r>
      </w:hyperlink>
    </w:p>
    <w:p>
      <w:pPr>
        <w:pStyle w:val="style94"/>
        <w:tabs>
          <w:tab w:leader="dot" w:pos="8751" w:val="right"/>
        </w:tabs>
      </w:pPr>
      <w:hyperlink w:anchor="__RefHeading__4974_1544206207">
        <w:r>
          <w:rPr>
            <w:rStyle w:val="style49"/>
          </w:rPr>
          <w:t>Técnicas e instrumentos de recolección de información</w:t>
          <w:tab/>
          <w:t>39</w:t>
        </w:r>
      </w:hyperlink>
    </w:p>
    <w:p>
      <w:pPr>
        <w:pStyle w:val="style94"/>
        <w:tabs>
          <w:tab w:leader="dot" w:pos="8751" w:val="right"/>
        </w:tabs>
      </w:pPr>
      <w:hyperlink w:anchor="__RefHeading__4976_1544206207">
        <w:r>
          <w:rPr>
            <w:rStyle w:val="style49"/>
          </w:rPr>
          <w:t>Operacionalización de las Variables</w:t>
          <w:tab/>
          <w:t>39</w:t>
        </w:r>
      </w:hyperlink>
    </w:p>
    <w:p>
      <w:pPr>
        <w:pStyle w:val="style94"/>
        <w:tabs>
          <w:tab w:leader="dot" w:pos="8751" w:val="right"/>
        </w:tabs>
      </w:pPr>
      <w:hyperlink w:anchor="__RefHeading__4978_1544206207">
        <w:r>
          <w:rPr>
            <w:rStyle w:val="style49"/>
          </w:rPr>
          <w:t>Técnicas de Análisis de la Información</w:t>
          <w:tab/>
          <w:t>42</w:t>
        </w:r>
      </w:hyperlink>
    </w:p>
    <w:p>
      <w:pPr>
        <w:pStyle w:val="style92"/>
        <w:tabs>
          <w:tab w:leader="dot" w:pos="8271" w:val="right"/>
        </w:tabs>
      </w:pPr>
      <w:hyperlink w:anchor="__RefHeading__4980_1544206207">
        <w:r>
          <w:rPr>
            <w:rStyle w:val="style49"/>
          </w:rPr>
          <w:t>CAPÍTULO IV</w:t>
          <w:tab/>
          <w:t>43</w:t>
        </w:r>
      </w:hyperlink>
    </w:p>
    <w:p>
      <w:pPr>
        <w:pStyle w:val="style93"/>
        <w:tabs>
          <w:tab w:leader="dot" w:pos="8511" w:val="right"/>
        </w:tabs>
      </w:pPr>
      <w:hyperlink w:anchor="__RefHeading__4982_1544206207">
        <w:r>
          <w:rPr>
            <w:rStyle w:val="style49"/>
          </w:rPr>
          <w:t>Análisis e interpretación de los resultados</w:t>
          <w:tab/>
          <w:t>43</w:t>
        </w:r>
      </w:hyperlink>
    </w:p>
    <w:p>
      <w:pPr>
        <w:pStyle w:val="style92"/>
        <w:tabs>
          <w:tab w:leader="dot" w:pos="8271" w:val="right"/>
        </w:tabs>
      </w:pPr>
      <w:hyperlink w:anchor="__RefHeading__4984_1544206207">
        <w:r>
          <w:rPr>
            <w:rStyle w:val="style49"/>
          </w:rPr>
          <w:t>CAPÍTULO V</w:t>
          <w:tab/>
          <w:t>55</w:t>
        </w:r>
      </w:hyperlink>
    </w:p>
    <w:p>
      <w:pPr>
        <w:pStyle w:val="style93"/>
        <w:tabs>
          <w:tab w:leader="dot" w:pos="8511" w:val="right"/>
        </w:tabs>
      </w:pPr>
      <w:hyperlink w:anchor="__RefHeading__4986_1544206207">
        <w:r>
          <w:rPr>
            <w:rStyle w:val="style49"/>
          </w:rPr>
          <w:t>CONCLUSIONES Y RECOMENDACIONES</w:t>
          <w:tab/>
          <w:t>55</w:t>
        </w:r>
      </w:hyperlink>
    </w:p>
    <w:p>
      <w:pPr>
        <w:pStyle w:val="style94"/>
        <w:tabs>
          <w:tab w:leader="dot" w:pos="8751" w:val="right"/>
        </w:tabs>
      </w:pPr>
      <w:hyperlink w:anchor="__RefHeading__4988_1544206207">
        <w:r>
          <w:rPr>
            <w:rStyle w:val="style49"/>
          </w:rPr>
          <w:t>Conclusiones</w:t>
          <w:tab/>
          <w:t>55</w:t>
        </w:r>
      </w:hyperlink>
    </w:p>
    <w:p>
      <w:pPr>
        <w:pStyle w:val="style94"/>
        <w:tabs>
          <w:tab w:leader="dot" w:pos="8751" w:val="right"/>
        </w:tabs>
      </w:pPr>
      <w:hyperlink w:anchor="__RefHeading__4990_1544206207">
        <w:r>
          <w:rPr>
            <w:rStyle w:val="style49"/>
          </w:rPr>
          <w:t>Recomendaciones:</w:t>
          <w:tab/>
          <w:t>56</w:t>
        </w:r>
      </w:hyperlink>
    </w:p>
    <w:p>
      <w:pPr>
        <w:pStyle w:val="style92"/>
        <w:tabs>
          <w:tab w:leader="dot" w:pos="8271" w:val="right"/>
        </w:tabs>
      </w:pPr>
      <w:hyperlink w:anchor="__RefHeading__4992_1544206207">
        <w:r>
          <w:rPr>
            <w:rStyle w:val="style49"/>
          </w:rPr>
          <w:t>REFERENCIAS BIBLIOGRÁFICAS</w:t>
          <w:tab/>
          <w:t>58</w:t>
        </w:r>
      </w:hyperlink>
    </w:p>
    <w:p>
      <w:pPr>
        <w:pStyle w:val="style92"/>
        <w:tabs>
          <w:tab w:leader="dot" w:pos="8271" w:val="right"/>
        </w:tabs>
      </w:pPr>
      <w:hyperlink w:anchor="__RefHeading__4994_1544206207">
        <w:r>
          <w:rPr>
            <w:rStyle w:val="style49"/>
          </w:rPr>
          <w:t>Descripción</w:t>
          <w:tab/>
          <w:t>62</w:t>
        </w:r>
      </w:hyperlink>
    </w:p>
    <w:p>
      <w:pPr>
        <w:pStyle w:val="style93"/>
        <w:tabs>
          <w:tab w:leader="dot" w:pos="8511" w:val="right"/>
        </w:tabs>
      </w:pPr>
      <w:hyperlink w:anchor="__RefHeading__4996_1544206207">
        <w:r>
          <w:rPr>
            <w:rStyle w:val="style49"/>
          </w:rPr>
          <w:t>S</w:t>
          <w:tab/>
          <w:t>62</w:t>
        </w:r>
      </w:hyperlink>
    </w:p>
    <w:p>
      <w:pPr>
        <w:pStyle w:val="style93"/>
        <w:tabs>
          <w:tab w:leader="dot" w:pos="8511" w:val="right"/>
        </w:tabs>
      </w:pPr>
      <w:hyperlink w:anchor="__RefHeading__4998_1544206207">
        <w:r>
          <w:rPr>
            <w:rStyle w:val="style49"/>
          </w:rPr>
          <w:t>CS</w:t>
          <w:tab/>
          <w:t>62</w:t>
        </w:r>
      </w:hyperlink>
    </w:p>
    <w:p>
      <w:pPr>
        <w:pStyle w:val="style93"/>
        <w:tabs>
          <w:tab w:leader="dot" w:pos="8511" w:val="right"/>
        </w:tabs>
      </w:pPr>
      <w:hyperlink w:anchor="__RefHeading__5000_1544206207">
        <w:r>
          <w:rPr>
            <w:rStyle w:val="style49"/>
          </w:rPr>
          <w:t>AV</w:t>
          <w:tab/>
          <w:t>62</w:t>
        </w:r>
      </w:hyperlink>
    </w:p>
    <w:p>
      <w:pPr>
        <w:pStyle w:val="style93"/>
        <w:tabs>
          <w:tab w:leader="dot" w:pos="8511" w:val="right"/>
        </w:tabs>
      </w:pPr>
      <w:hyperlink w:anchor="__RefHeading__5002_1544206207">
        <w:r>
          <w:rPr>
            <w:rStyle w:val="style49"/>
          </w:rPr>
          <w:t>CN</w:t>
          <w:tab/>
          <w:t>62</w:t>
        </w:r>
      </w:hyperlink>
    </w:p>
    <w:p>
      <w:pPr>
        <w:pStyle w:val="style93"/>
        <w:tabs>
          <w:tab w:leader="dot" w:pos="8511" w:val="right"/>
        </w:tabs>
      </w:pPr>
      <w:hyperlink w:anchor="__RefHeading__5004_1544206207">
        <w:r>
          <w:rPr>
            <w:rStyle w:val="style49"/>
          </w:rPr>
          <w:t>N</w:t>
          <w:tab/>
          <w:t>62</w:t>
        </w:r>
        <w:r>
          <w:fldChar w:fldCharType="end"/>
        </w:r>
      </w:hyperlink>
    </w:p>
    <w:p>
      <w:pPr>
        <w:sectPr>
          <w:type w:val="continuous"/>
          <w:pgSz w:h="15840" w:w="12240"/>
          <w:pgMar w:bottom="1701" w:footer="964" w:gutter="0" w:header="964" w:left="2268" w:right="1701" w:top="2269"/>
          <w:formProt/>
          <w:textDirection w:val="lrTb"/>
          <w:docGrid w:charSpace="0" w:linePitch="360" w:type="default"/>
        </w:sectPr>
      </w:pPr>
    </w:p>
    <w:p>
      <w:pPr>
        <w:sectPr>
          <w:type w:val="continuous"/>
          <w:pgSz w:h="15840" w:w="12240"/>
          <w:pgMar w:bottom="1701" w:footer="964" w:gutter="0" w:header="964" w:left="2268" w:right="1701" w:top="2269"/>
          <w:pgNumType w:fmt="decimal"/>
          <w:formProt w:val="false"/>
          <w:textDirection w:val="lrTb"/>
          <w:docGrid w:charSpace="0" w:linePitch="360" w:type="default"/>
        </w:sectPr>
        <w:pStyle w:val="style1"/>
      </w:pPr>
      <w:r>
        <w:rPr/>
      </w:r>
    </w:p>
    <w:p>
      <w:pPr>
        <w:pStyle w:val="style1"/>
      </w:pPr>
      <w:bookmarkStart w:id="23" w:name="__RefHeading__4942_1544206207"/>
      <w:bookmarkStart w:id="24" w:name="_Toc432059680"/>
      <w:bookmarkEnd w:id="23"/>
      <w:bookmarkEnd w:id="24"/>
      <w:r>
        <w:rPr/>
        <w:t>ÍNDICE DE TABLAS</w:t>
      </w:r>
    </w:p>
    <w:p>
      <w:pPr>
        <w:pStyle w:val="style0"/>
      </w:pPr>
      <w:r>
        <w:rPr/>
      </w:r>
    </w:p>
    <w:p>
      <w:pPr>
        <w:sectPr>
          <w:headerReference r:id="rId17" w:type="default"/>
          <w:footerReference r:id="rId18" w:type="default"/>
          <w:type w:val="nextPage"/>
          <w:pgSz w:h="15840" w:w="12240"/>
          <w:pgMar w:bottom="1701" w:footer="964" w:gutter="0" w:header="964" w:left="2268" w:right="1701" w:top="2269"/>
          <w:pgNumType w:fmt="decimal"/>
          <w:formProt w:val="false"/>
          <w:textDirection w:val="lrTb"/>
          <w:docGrid w:charSpace="0" w:linePitch="360" w:type="default"/>
        </w:sectPr>
      </w:pPr>
    </w:p>
    <w:p>
      <w:pPr>
        <w:pStyle w:val="style51"/>
      </w:pPr>
      <w:r>
        <w:fldChar w:fldCharType="begin"/>
      </w:r>
      <w:r>
        <w:instrText> TOC \c "" </w:instrText>
      </w:r>
      <w:r>
        <w:fldChar w:fldCharType="separate"/>
      </w:r>
      <w:r>
        <w:rPr/>
      </w:r>
      <w:r>
        <w:fldChar w:fldCharType="end"/>
      </w:r>
    </w:p>
    <w:p>
      <w:pPr>
        <w:sectPr>
          <w:type w:val="continuous"/>
          <w:pgSz w:h="15840" w:w="12240"/>
          <w:pgMar w:bottom="1701" w:footer="964" w:gutter="0" w:header="964" w:left="2268" w:right="1701" w:top="2269"/>
          <w:formProt/>
          <w:textDirection w:val="lrTb"/>
          <w:docGrid w:charSpace="0" w:linePitch="360" w:type="default"/>
        </w:sectPr>
      </w:pPr>
    </w:p>
    <w:p>
      <w:pPr>
        <w:sectPr>
          <w:type w:val="continuous"/>
          <w:pgSz w:h="15840" w:w="12240"/>
          <w:pgMar w:bottom="1701" w:footer="964" w:gutter="0" w:header="964" w:left="2268" w:right="1701" w:top="2269"/>
          <w:pgNumType w:fmt="decimal"/>
          <w:formProt w:val="false"/>
          <w:textDirection w:val="lrTb"/>
          <w:docGrid w:charSpace="0" w:linePitch="360" w:type="default"/>
        </w:sectPr>
        <w:pStyle w:val="style0"/>
      </w:pPr>
      <w:hyperlink w:anchor="_Toc431897106">
        <w:r>
          <w:rPr/>
        </w:r>
      </w:hyperlink>
    </w:p>
    <w:p>
      <w:pPr>
        <w:pStyle w:val="style0"/>
      </w:pPr>
      <w:r>
        <w:rPr/>
      </w:r>
    </w:p>
    <w:p>
      <w:pPr>
        <w:pStyle w:val="style1"/>
      </w:pPr>
      <w:bookmarkStart w:id="25" w:name="__RefHeading__4944_1544206207"/>
      <w:bookmarkStart w:id="26" w:name="_Toc432059681"/>
      <w:bookmarkEnd w:id="25"/>
      <w:bookmarkEnd w:id="26"/>
      <w:r>
        <w:rPr/>
        <w:t>ÍNDICE DE GRÁFICOS</w:t>
      </w:r>
    </w:p>
    <w:p>
      <w:pPr>
        <w:pStyle w:val="style0"/>
      </w:pPr>
      <w:r>
        <w:rPr/>
      </w:r>
    </w:p>
    <w:p>
      <w:pPr>
        <w:sectPr>
          <w:headerReference r:id="rId19" w:type="default"/>
          <w:footerReference r:id="rId20" w:type="default"/>
          <w:type w:val="nextPage"/>
          <w:pgSz w:h="15840" w:w="12240"/>
          <w:pgMar w:bottom="1701" w:footer="964" w:gutter="0" w:header="964" w:left="2268" w:right="1701" w:top="2269"/>
          <w:pgNumType w:fmt="decimal"/>
          <w:formProt w:val="false"/>
          <w:textDirection w:val="lrTb"/>
          <w:docGrid w:charSpace="0" w:linePitch="360" w:type="default"/>
        </w:sectPr>
      </w:pPr>
    </w:p>
    <w:p>
      <w:pPr>
        <w:pStyle w:val="style51"/>
      </w:pPr>
      <w:r>
        <w:fldChar w:fldCharType="begin"/>
      </w:r>
      <w:r>
        <w:instrText> TOC \c "" </w:instrText>
      </w:r>
      <w:r>
        <w:fldChar w:fldCharType="separate"/>
      </w:r>
      <w:r>
        <w:rPr/>
      </w:r>
      <w:r>
        <w:fldChar w:fldCharType="end"/>
      </w:r>
    </w:p>
    <w:p>
      <w:pPr>
        <w:sectPr>
          <w:type w:val="continuous"/>
          <w:pgSz w:h="15840" w:w="12240"/>
          <w:pgMar w:bottom="1701" w:footer="964" w:gutter="0" w:header="964" w:left="2268" w:right="1701" w:top="2269"/>
          <w:formProt/>
          <w:textDirection w:val="lrTb"/>
          <w:docGrid w:charSpace="0" w:linePitch="360" w:type="default"/>
        </w:sectPr>
      </w:pPr>
    </w:p>
    <w:p>
      <w:pPr>
        <w:sectPr>
          <w:type w:val="continuous"/>
          <w:pgSz w:h="15840" w:w="12240"/>
          <w:pgMar w:bottom="1701" w:footer="964" w:gutter="0" w:header="964" w:left="2268" w:right="1701" w:top="2269"/>
          <w:pgNumType w:fmt="decimal"/>
          <w:formProt w:val="false"/>
          <w:textDirection w:val="lrTb"/>
          <w:docGrid w:charSpace="0" w:linePitch="360" w:type="default"/>
        </w:sectPr>
        <w:pStyle w:val="style1"/>
      </w:pPr>
      <w:hyperlink w:anchor="_Toc431897352">
        <w:r>
          <w:rPr/>
        </w:r>
      </w:hyperlink>
    </w:p>
    <w:p>
      <w:pPr>
        <w:pStyle w:val="style1"/>
      </w:pPr>
      <w:bookmarkStart w:id="27" w:name="__RefHeading__4946_1544206207"/>
      <w:bookmarkStart w:id="28" w:name="_Toc432059682"/>
      <w:bookmarkEnd w:id="27"/>
      <w:bookmarkEnd w:id="28"/>
      <w:r>
        <w:rPr/>
        <w:t>INTRODUCCIÓN</w:t>
      </w:r>
    </w:p>
    <w:p>
      <w:pPr>
        <w:pStyle w:val="style0"/>
      </w:pPr>
      <w:r>
        <w:rPr/>
      </w:r>
    </w:p>
    <w:p>
      <w:pPr>
        <w:pStyle w:val="style0"/>
      </w:pPr>
      <w:r>
        <w:rPr/>
      </w:r>
    </w:p>
    <w:p>
      <w:pPr>
        <w:pStyle w:val="style0"/>
      </w:pPr>
      <w:r>
        <w:rPr/>
        <w:t xml:space="preserve">En una esfera mundial cada día mas globalizada por los avances tecnológicos, comunicacionales, la competencia y la innovación, las organizaciones corren el riesgo de desaparecer o comprometer seriamente su estabilidad si no diseñan estrategias para enfrentarlos, debido a que al no contar con herramientas que le permitan obtener información fiable y oportuna de los avances y crecimientos de sus negocios, se asume la posibilidad de fracasar. Esta realidad ha propiciado una imperante preocupación del mundo empresarial entre ellos los accionistas, inversionistas y directivos, tanto que los mismos ahora no se conforman con la revisión de las evaluaciones y rediciones financieras para asegurarse el triunfo y perdurabilidad de sus inversiones. En relación a esta problemática, Ayuso (2005) menciona: “Los responsables de los negocios y aquellos que buscan invertir en ellos, manifiestan nuevas y crecientes necesidades de información relacionada con el valor de los activos intangibles” (p.145). </w:t>
      </w:r>
    </w:p>
    <w:p>
      <w:pPr>
        <w:pStyle w:val="style0"/>
      </w:pPr>
      <w:r>
        <w:rPr/>
      </w:r>
    </w:p>
    <w:p>
      <w:pPr>
        <w:pStyle w:val="style0"/>
      </w:pPr>
      <w:r>
        <w:rPr/>
        <w:t>Ahora bien, en el ámbito mundial, el desarrollo de las sociedades modernas se ha caracterizado por los avances en las telecomunicaciones, la tecnología y otros ámbitos no menos relevantes; no obstante, actualmente han tenido lugar, fenómenos vinculados con las relaciones entre personas, grupos, sociedades, organizaciones y  países del mundo y su consecuente interdependencia; dichos fenómenos, a los cuales se les ha denominado “procesos para la mundialización”, han dado vigencia a las integraciones, las alianzas, las estrategias de asociación y, muy especialmente a la globalización. En tal sentido, Pulido (1996), citado por Wayne (1997),  señala que:</w:t>
      </w:r>
    </w:p>
    <w:p>
      <w:pPr>
        <w:pStyle w:val="style67"/>
      </w:pPr>
      <w:r>
        <w:rPr/>
      </w:r>
    </w:p>
    <w:p>
      <w:pPr>
        <w:pStyle w:val="style67"/>
      </w:pPr>
      <w:r>
        <w:rPr/>
        <w:t>La globalización, como la forma de relacionarnos hoy los seres humanos en un mismo tiempo real, se inscribe en la unificación de las diferentes culturas en un proyecto de vida civilizado. Este proceso de reacomodación, jerarquización y negación de variables y simbologías de culturas particulares; en el que la dimensión de la negación está dada por la competencia intelectual que ofrezca, por la riqueza del recurso humano, por su creatividad y por su trabajo productivo, son factores que determinan el acceso desigual a los recursos, a la calidad de vida. (p. 24).</w:t>
      </w:r>
    </w:p>
    <w:p>
      <w:pPr>
        <w:pStyle w:val="style0"/>
      </w:pPr>
      <w:r>
        <w:rPr>
          <w:b/>
        </w:rPr>
      </w:r>
    </w:p>
    <w:p>
      <w:pPr>
        <w:pStyle w:val="style0"/>
      </w:pPr>
      <w:r>
        <w:rPr>
          <w:rFonts w:cs="Arial"/>
        </w:rPr>
        <w:t xml:space="preserve">Ahora bien, el actual panorama financiero mundial presenta situaciones y coyunturas de decadencia como consecuencia de la desconfianza de los inversionistas, hechos que han ocasionado que no sólo se vean afectados los grandes centros financieros mundiales, sino también, parte de estas mismas representaciones financieras en economías más débiles, como resulta ser las de los países emergentes y en vías del desarrollo, en concordancia con las ideas expuestas por Tórres (2007). </w:t>
      </w:r>
    </w:p>
    <w:p>
      <w:pPr>
        <w:pStyle w:val="style0"/>
      </w:pPr>
      <w:r>
        <w:rPr>
          <w:rFonts w:cs="Arial"/>
        </w:rPr>
      </w:r>
    </w:p>
    <w:p>
      <w:pPr>
        <w:pStyle w:val="style0"/>
      </w:pPr>
      <w:r>
        <w:rPr>
          <w:rFonts w:cs="Arial"/>
        </w:rPr>
        <w:t>Al respecto y de acuerdo con la Federación Latinoamericana de Bancos,  FELABAN (2011):</w:t>
      </w:r>
    </w:p>
    <w:p>
      <w:pPr>
        <w:pStyle w:val="style0"/>
      </w:pPr>
      <w:r>
        <w:rPr>
          <w:rFonts w:cs="Arial"/>
        </w:rPr>
      </w:r>
    </w:p>
    <w:p>
      <w:pPr>
        <w:pStyle w:val="style67"/>
      </w:pPr>
      <w:r>
        <w:rPr/>
        <w:t>Además de la evolución de la situación económica y financiera de Europa, que se expresa en una probable recesión para este año, se espera que la economía mundial se vea afectada por el enfriamiento de la economía China y otras economías emergentes, así como el elevado nivel de los precios internacionales del petróleo, asociado a la reducción de la oferta y el recrudecimiento de los riegos geopolíticos en el Medio Oriente y África. Estos factores se convierten en una fuente de incertidumbre económica que no estaba en los pronósticos económicos de 2011. (p.17)</w:t>
      </w:r>
    </w:p>
    <w:p>
      <w:pPr>
        <w:pStyle w:val="style0"/>
      </w:pPr>
      <w:r>
        <w:rPr>
          <w:rFonts w:cs="Arial"/>
        </w:rPr>
      </w:r>
    </w:p>
    <w:p>
      <w:pPr>
        <w:pStyle w:val="style0"/>
      </w:pPr>
      <w:r>
        <w:rPr/>
        <w:t>Particularmente, la sociedad venezolana amerita un sereno análisis de su realidad y de la redefinición y exploración de opciones creativas acerca de sus objetivos, los medios para realizarlos y los valores que la orientan como nación. Por lo cual, es necesario reflexionar, cuestionar y proponer posibles respuestas que generen soluciones ante la problemática actual, que se hace crítica en el contexto económico y social del país. Este reto es fundamental para quienes ostentan y aspiran ejercer funciones directivas, posiciones y liderazgos en los diferentes sectores empresariales y muy especialmente en los del ámbito económico y financiero.</w:t>
      </w:r>
    </w:p>
    <w:p>
      <w:pPr>
        <w:pStyle w:val="style0"/>
      </w:pPr>
      <w:r>
        <w:rPr>
          <w:rFonts w:cs="Arial"/>
        </w:rPr>
      </w:r>
    </w:p>
    <w:p>
      <w:pPr>
        <w:pStyle w:val="style0"/>
      </w:pPr>
      <w:r>
        <w:rPr>
          <w:rFonts w:cs="Arial"/>
        </w:rPr>
        <w:t xml:space="preserve">En atención a lo antes expuesto, se plantea la necesidad de monitorear el comportamiento del sistema financiero, lo cual puede lograrse a través de las variaciones que presentan las entidades bancarias de un país, y uno de los instrumentos más utilizados para conseguirlo, es el análisis de riesgos en base a indicadores de gestión, el cual se encarga de estudiar todos los factores relevantes que afectan valor con el objeto de determinar el valor real, es decir, examina las causas de los movimientos que ocurren en la economía y alteran el valor. </w:t>
      </w:r>
    </w:p>
    <w:p>
      <w:pPr>
        <w:pStyle w:val="style0"/>
        <w:shd w:fill="FFFFFF" w:val="clear"/>
        <w:ind w:firstLine="680" w:left="0" w:right="0"/>
      </w:pPr>
      <w:r>
        <w:rPr>
          <w:rFonts w:cs="Arial"/>
        </w:rPr>
      </w:r>
    </w:p>
    <w:p>
      <w:pPr>
        <w:pStyle w:val="style0"/>
        <w:shd w:fill="FFFFFF" w:val="clear"/>
        <w:ind w:firstLine="680" w:left="0" w:right="0"/>
      </w:pPr>
      <w:r>
        <w:rPr>
          <w:rFonts w:cs="Arial"/>
        </w:rPr>
        <w:t xml:space="preserve">Particularmente, dentro del sistema financiero destaca el sistema bancario, conformado por el conjunto de instituciones y organizaciones públicas y privadas que se dedican al ejercicio de la banca y todas las funciones que son inherentes. </w:t>
      </w:r>
      <w:r>
        <w:rPr>
          <w:rFonts w:cs="Arial"/>
          <w:bCs/>
        </w:rPr>
        <w:t xml:space="preserve">Por ello para </w:t>
      </w:r>
      <w:r>
        <w:rPr>
          <w:rFonts w:cs="Arial"/>
        </w:rPr>
        <w:t xml:space="preserve">Maza Zavala (2005), define </w:t>
      </w:r>
      <w:r>
        <w:rPr>
          <w:rFonts w:cs="Arial"/>
          <w:bCs/>
        </w:rPr>
        <w:t>Banca</w:t>
      </w:r>
      <w:r>
        <w:rPr>
          <w:rFonts w:cs="Arial"/>
        </w:rPr>
        <w:t xml:space="preserve"> o sistema bancario como: “Conjunto de instituciones que permiten el desarrollo de todas aquellas transacciones entre personas, empresas y organizaciones que impliquen el uso de dinero”. (p.35)</w:t>
      </w:r>
    </w:p>
    <w:p>
      <w:pPr>
        <w:pStyle w:val="style0"/>
      </w:pPr>
      <w:r>
        <w:rPr>
          <w:rFonts w:cs="Arial"/>
          <w:szCs w:val="26"/>
        </w:rPr>
      </w:r>
    </w:p>
    <w:p>
      <w:pPr>
        <w:pStyle w:val="style0"/>
      </w:pPr>
      <w:r>
        <w:rPr>
          <w:rFonts w:cs="Arial"/>
          <w:szCs w:val="26"/>
        </w:rPr>
        <w:t xml:space="preserve">En este contexto se debe tener presente que una institución financiera existe para prestar los servicios de intermediación financiera que la sociedad desea y necesita, además de beneficios, y ello en un clima de estabilidad y confianza. El cumplimiento de este objetivo es su primera y principal responsabilidad, de allí que si fracasa en esta misión, no puede esperarse que asuma otras. </w:t>
      </w:r>
      <w:r>
        <w:rPr>
          <w:rFonts w:cs="Arial"/>
        </w:rPr>
        <w:t xml:space="preserve">Es evidente que las empresas de intermediación financiera y especialmente el sector bancario se enfrentan a los retos que plantea la globalización mundial, dado que a partir de dicho fenómeno se generan necesidades y expectativas que deben ser satisfechas para lograr mantenerse en una posición de mercado que permita la obtención de los niveles de rentabilidad y utilidad planteados en la planificación. </w:t>
      </w:r>
    </w:p>
    <w:p>
      <w:pPr>
        <w:pStyle w:val="style0"/>
      </w:pPr>
      <w:r>
        <w:rPr>
          <w:rFonts w:cs="Arial"/>
        </w:rPr>
      </w:r>
    </w:p>
    <w:p>
      <w:pPr>
        <w:pStyle w:val="style0"/>
      </w:pPr>
      <w:r>
        <w:rPr>
          <w:rFonts w:cs="Arial"/>
        </w:rPr>
        <w:t xml:space="preserve">Particularmente, el sector bancario venezolano se encuentra inmerso en la situación antes descrita, hecho que genera la imperativa necesidad de revisar sus esquemas de trabajo y la prestación de servicios al cliente en función de identificar las posibilidades de mejorar significativamente su calidad, para proyectar su alcance operativo a niveles óptimos, sobre todo en lo relacionado con los créditos al consumo y de forma específica las tarjetas de crédito, las cuales representan los instrumentos financieros de mayor frecuencia de uso por parte de la sociedad, de allí la importancia de tomar en consideración los factores de riesgo asociados a su movilización por parte de los clientes.   </w:t>
      </w:r>
    </w:p>
    <w:p>
      <w:pPr>
        <w:pStyle w:val="style0"/>
      </w:pPr>
      <w:r>
        <w:rPr/>
      </w:r>
    </w:p>
    <w:p>
      <w:pPr>
        <w:pStyle w:val="style0"/>
      </w:pPr>
      <w:r>
        <w:rPr/>
        <w:t xml:space="preserve">En función de lo expuesto precedentemente, se desarrollará este trabajo de grado bajo la modalidad de investigación de campo en el nivel descriptivo, en el cual se llevará a cabo un análisis de riesgo de créditos al consumo en base a indicadores de gestión como herramienta de control en la banca privada, con el objeto de desarrollar el conocimiento requerido sobre el comportamiento financiero de los usuarios y generar aportes sobre su adecuada valoración en la banca, para lo cual se organizó la investigación de la siguiente manera: </w:t>
      </w:r>
    </w:p>
    <w:p>
      <w:pPr>
        <w:pStyle w:val="style0"/>
      </w:pPr>
      <w:r>
        <w:rPr>
          <w:rFonts w:cs="Arial"/>
        </w:rPr>
      </w:r>
    </w:p>
    <w:p>
      <w:pPr>
        <w:pStyle w:val="style0"/>
      </w:pPr>
      <w:r>
        <w:rPr>
          <w:rFonts w:cs="Arial"/>
        </w:rPr>
        <w:t>El capítulo uno, El problema, comprende el planteamiento del problema con base en la caracterización del objeto de estudio, los objetivos de la investigación, especificando el objetivo general y los objetivos específicos y la justificación. El segundo, el Marco Teórico; contempla los antecedentes de la investigación, así como las bases teóricas y las bases legales que sustentaron la investigación a realizar.</w:t>
      </w:r>
    </w:p>
    <w:p>
      <w:pPr>
        <w:pStyle w:val="style0"/>
      </w:pPr>
      <w:r>
        <w:rPr>
          <w:rFonts w:cs="Arial"/>
        </w:rPr>
      </w:r>
    </w:p>
    <w:p>
      <w:pPr>
        <w:pStyle w:val="style0"/>
      </w:pPr>
      <w:r>
        <w:rPr>
          <w:rFonts w:cs="Arial"/>
        </w:rPr>
        <w:t>El tercero, Marco Metodológico; la modalidad de investigación, población y muestra, sistema de variables, las técnicas e instrumentos para la recolección de datos, validez y confiabilidad del instrumento de recolección de datos y las técnicas de análisis de datos. El cuarto; Aspectos administrativos, contentivo de los recursos a utilizar y el cronograma de ejecución de la investigación a desarrollar.</w:t>
      </w:r>
    </w:p>
    <w:p>
      <w:pPr>
        <w:pStyle w:val="style78"/>
      </w:pPr>
      <w:r>
        <w:rPr>
          <w:rFonts w:cs="Arial"/>
          <w:szCs w:val="24"/>
        </w:rPr>
      </w:r>
    </w:p>
    <w:p>
      <w:pPr>
        <w:pStyle w:val="style0"/>
      </w:pPr>
      <w:r>
        <w:rPr/>
        <w:t>Finalmente, se presentan las referencias con la bibliografía consultada que apoya el desarrollo de la investigación y los anexos.</w:t>
      </w:r>
    </w:p>
    <w:p>
      <w:pPr>
        <w:sectPr>
          <w:headerReference r:id="rId21" w:type="default"/>
          <w:footerReference r:id="rId22" w:type="default"/>
          <w:type w:val="nextPage"/>
          <w:pgSz w:h="15840" w:w="12240"/>
          <w:pgMar w:bottom="1701" w:footer="964" w:gutter="0" w:header="964" w:left="2268" w:right="1701" w:top="2269"/>
          <w:pgNumType w:fmt="decimal"/>
          <w:formProt w:val="false"/>
          <w:textDirection w:val="lrTb"/>
          <w:docGrid w:charSpace="0" w:linePitch="360" w:type="default"/>
        </w:sectPr>
        <w:pStyle w:val="style1"/>
        <w:ind w:hanging="0" w:left="0" w:right="0"/>
      </w:pPr>
      <w:r>
        <w:rPr/>
      </w:r>
    </w:p>
    <w:p>
      <w:pPr>
        <w:pStyle w:val="style1"/>
      </w:pPr>
      <w:bookmarkStart w:id="29" w:name="__RefHeading__4948_1544206207"/>
      <w:bookmarkStart w:id="30" w:name="_Toc432059683"/>
      <w:bookmarkEnd w:id="29"/>
      <w:bookmarkEnd w:id="30"/>
      <w:r>
        <w:rPr/>
        <w:t>CAPÍTULO I</w:t>
      </w:r>
    </w:p>
    <w:p>
      <w:pPr>
        <w:pStyle w:val="style0"/>
        <w:ind w:hanging="0" w:left="0" w:right="0"/>
      </w:pPr>
      <w:r>
        <w:rPr>
          <w:b/>
        </w:rPr>
      </w:r>
    </w:p>
    <w:p>
      <w:pPr>
        <w:pStyle w:val="style2"/>
        <w:numPr>
          <w:ilvl w:val="1"/>
          <w:numId w:val="1"/>
        </w:numPr>
      </w:pPr>
      <w:bookmarkStart w:id="31" w:name="__RefHeading__4950_1544206207"/>
      <w:bookmarkStart w:id="32" w:name="_Toc432059684"/>
      <w:bookmarkEnd w:id="31"/>
      <w:bookmarkEnd w:id="32"/>
      <w:r>
        <w:rPr/>
        <w:t>EL PROBLEMA</w:t>
      </w:r>
    </w:p>
    <w:p>
      <w:pPr>
        <w:pStyle w:val="style0"/>
        <w:ind w:hanging="0" w:left="0" w:right="0"/>
        <w:jc w:val="center"/>
      </w:pPr>
      <w:r>
        <w:rPr>
          <w:b/>
        </w:rPr>
        <w:t xml:space="preserve">  </w:t>
      </w:r>
    </w:p>
    <w:p>
      <w:pPr>
        <w:pStyle w:val="style3"/>
        <w:numPr>
          <w:ilvl w:val="2"/>
          <w:numId w:val="1"/>
        </w:numPr>
      </w:pPr>
      <w:bookmarkStart w:id="33" w:name="__RefHeading__4952_1544206207"/>
      <w:bookmarkStart w:id="34" w:name="_Toc432059685"/>
      <w:bookmarkEnd w:id="33"/>
      <w:bookmarkEnd w:id="34"/>
      <w:r>
        <w:rPr/>
        <w:t>Planteamiento del Problema</w:t>
      </w:r>
    </w:p>
    <w:p>
      <w:pPr>
        <w:pStyle w:val="style0"/>
      </w:pPr>
      <w:r>
        <w:rPr/>
      </w:r>
    </w:p>
    <w:p>
      <w:pPr>
        <w:pStyle w:val="style0"/>
      </w:pPr>
      <w:r>
        <w:rPr/>
        <w:t>Las condiciones cambiantes de los mercados locales e internacionales, así como el dinámico crecimiento tecnológico, la inestabilidad social y política de los países del orbe y los cambios sustanciales de los mercados laborales requieren de las organizaciones una serie de actividades y esfuerzos dirigidos a la prevención y neutralización de aquellos factores que puedan poner en peligro la sobrevivencia y el crecimiento de la misma. Es evidente que para poder sobrevivir y prosperar en una economía globalizada, se tiene que ser altamente competitivo y esto se logra convirtiendo las tecnologías de punta en las principales fortalezas de las empresas con el firme propósito de mantener su posicionamiento en los mercados y no quedar fuera de la nueva economía. Un país competitivo estará a la vanguardia de cualquier cambio, logrando acoplarse más rápidamente a la velocidad del proceso tecnológico, y mantener un posicionamiento creciente dentro del mercado global.</w:t>
      </w:r>
    </w:p>
    <w:p>
      <w:pPr>
        <w:pStyle w:val="style0"/>
      </w:pPr>
      <w:r>
        <w:rPr/>
      </w:r>
    </w:p>
    <w:p>
      <w:pPr>
        <w:pStyle w:val="style0"/>
      </w:pPr>
      <w:r>
        <w:rPr/>
        <w:t>En tal sentido, en esta compleja época, llena de cambios e incertidumbres, la administración se ha convertido en una de las más importantes áreas de la actividad humana. El hombre se desenvuelve en una civilización donde el esfuerzo cooperativo, es la base fundamental de la sociedad y el recurso humano constituye un elemento clave para lograr las metas propuestas; ya que éstas solamente pueden ser alcanzadas mediante la concentración de grupos de personas, los cuales constituyen los antecedentes de la misma.</w:t>
      </w:r>
    </w:p>
    <w:p>
      <w:pPr>
        <w:pStyle w:val="style51"/>
        <w:ind w:firstLine="708" w:left="0" w:right="0"/>
      </w:pPr>
      <w:r>
        <w:rPr/>
        <w:t xml:space="preserve">De manera tal que a partir de los procesos de mundialización, las empresas se han visto en la perentoria necesidad de autodiagnosticarse en función de identificar sus potencialidades a través de sus fortalezas y debilidades con las cuales pueden hacer frente a las amenazas y aprovechar las oportunidades, todo ello debido a que el entorno organizacional se encuentra influenciado por las ideas, resultados e iniciativas que se enmarcan en el proceso de globalización creciente; éstos procesos coexisten y se refuerzan, de allí la necesidad de una estructura y condiciones empresariales estratégicamente competitivas y polifuncionales. </w:t>
      </w:r>
    </w:p>
    <w:p>
      <w:pPr>
        <w:pStyle w:val="style0"/>
      </w:pPr>
      <w:r>
        <w:rPr>
          <w:rFonts w:cs="Arial"/>
        </w:rPr>
      </w:r>
    </w:p>
    <w:p>
      <w:pPr>
        <w:pStyle w:val="style0"/>
      </w:pPr>
      <w:r>
        <w:rPr>
          <w:rFonts w:cs="Arial"/>
        </w:rPr>
        <w:t>En el caso particular de Latinoamérica, el sector privado en el área financiera debe enfrentarse en el día a día con realidades de orden macroeconómico, social y legal que imponen serios retos a su capacidad empresarial. De acuerdo con cifras de la Comisión Económica para América Latina (CEPAL) (2009): “Los países de la región presentan altos niveles de pobreza: más del 40% de los pobladores de América Latina vive esta realidad. Los niveles de desigualdad económica y social se encuentran entre los más altos cuando se comparan las regiones del orbe. La región sigue aun siendo de contrastes” (p.32). En cada uno de los países latinos, un sector bancario moderno, tecnológicamente avanzado de la economía se conjuga con enormes contingentes de ciudadanos con reducido acceso a la educación, a la salud y a otros bienes y servicios esenciales.</w:t>
      </w:r>
    </w:p>
    <w:p>
      <w:pPr>
        <w:pStyle w:val="style0"/>
      </w:pPr>
      <w:r>
        <w:rPr>
          <w:rFonts w:cs="Arial"/>
        </w:rPr>
      </w:r>
    </w:p>
    <w:p>
      <w:pPr>
        <w:pStyle w:val="style0"/>
      </w:pPr>
      <w:r>
        <w:rPr>
          <w:rFonts w:cs="Arial"/>
        </w:rPr>
        <w:t xml:space="preserve">Esta realidad impone restricciones de todo tipo a la capacidad empresarial de las instituciones bancarias. Los procesos de bancarización se ven amenazados por la volatilidad externa, la fuga de capitales, la debilidad de las monedas nacionales y la inestabilidad en la capacidad adquisitiva de las poblaciones. De igual manera, los débiles marcos jurídicos son caldo de cultivo para el incremento de los costos contractuales y el florecimiento del fraude y el lavado de dinero. La búsqueda de economías de escala más allá de las fronteras nacionales está restringido en ausencia de una experiencia histórica de integración económica entre los países latinos. No es de extrañar entonces que los costos operativos de la banca en Latinoamérica sean tan altos. </w:t>
      </w:r>
    </w:p>
    <w:p>
      <w:pPr>
        <w:pStyle w:val="style0"/>
      </w:pPr>
      <w:r>
        <w:rPr/>
      </w:r>
    </w:p>
    <w:p>
      <w:pPr>
        <w:pStyle w:val="style0"/>
      </w:pPr>
      <w:r>
        <w:rPr/>
        <w:t>Es oportuno indicar que la existencia de los Bancos en los países data desde épocas muy remotas, prácticamente podría hablarse de este tipo de instituciones desde la intensificación del uso del dinero en la Edad Media; posteriormente, fueron tomando forma con el paso de la evolución de los sistemas económicos, del reordenamiento de los países, y del pensamiento humano, hasta convertirse en todo un sistema bancario dedicado a la preservación del valor monetario, acondicionándose a las realidades vividas en la sociedad mundial. Acedo (1995) conceptualiza al sistema bancario como sigue:</w:t>
      </w:r>
    </w:p>
    <w:p>
      <w:pPr>
        <w:pStyle w:val="style0"/>
        <w:ind w:firstLine="567" w:left="1134" w:right="1134"/>
      </w:pPr>
      <w:r>
        <w:rPr/>
      </w:r>
    </w:p>
    <w:p>
      <w:pPr>
        <w:pStyle w:val="style67"/>
      </w:pPr>
      <w:r>
        <w:rPr/>
        <w:t xml:space="preserve">Es el conjunto de </w:t>
      </w:r>
      <w:hyperlink r:id="rId23">
        <w:r>
          <w:rPr>
            <w:rStyle w:val="style18"/>
            <w:color w:val="00000A"/>
            <w:u w:val="none"/>
          </w:rPr>
          <w:t>instituciones</w:t>
        </w:r>
      </w:hyperlink>
      <w:r>
        <w:rPr/>
        <w:t xml:space="preserve"> que permiten el </w:t>
      </w:r>
      <w:hyperlink r:id="rId24">
        <w:r>
          <w:rPr>
            <w:rStyle w:val="style18"/>
            <w:color w:val="00000A"/>
            <w:u w:val="none"/>
          </w:rPr>
          <w:t>desarrollo</w:t>
        </w:r>
      </w:hyperlink>
      <w:r>
        <w:rPr/>
        <w:t xml:space="preserve"> de todas aquellas transacciones entre personas, </w:t>
      </w:r>
      <w:hyperlink r:id="rId25">
        <w:r>
          <w:rPr>
            <w:rStyle w:val="style18"/>
            <w:color w:val="00000A"/>
            <w:u w:val="none"/>
          </w:rPr>
          <w:t>empresas</w:t>
        </w:r>
      </w:hyperlink>
      <w:r>
        <w:rPr/>
        <w:t xml:space="preserve"> y </w:t>
      </w:r>
      <w:hyperlink r:id="rId26">
        <w:r>
          <w:rPr>
            <w:rStyle w:val="style18"/>
            <w:color w:val="00000A"/>
            <w:u w:val="none"/>
          </w:rPr>
          <w:t>organizaciones</w:t>
        </w:r>
      </w:hyperlink>
      <w:r>
        <w:rPr/>
        <w:t xml:space="preserve"> que impliquen el uso de </w:t>
      </w:r>
      <w:hyperlink r:id="rId27">
        <w:r>
          <w:rPr>
            <w:rStyle w:val="style18"/>
            <w:color w:val="00000A"/>
            <w:u w:val="none"/>
          </w:rPr>
          <w:t>dinero</w:t>
        </w:r>
      </w:hyperlink>
      <w:r>
        <w:rPr/>
        <w:t xml:space="preserve">; se clasifican en públicas y privadas. Estas instituciones reciben depósitos en dinero, otorgan </w:t>
      </w:r>
      <w:hyperlink r:id="rId28">
        <w:r>
          <w:rPr>
            <w:rStyle w:val="style18"/>
            <w:color w:val="00000A"/>
            <w:u w:val="none"/>
          </w:rPr>
          <w:t>créditos</w:t>
        </w:r>
      </w:hyperlink>
      <w:r>
        <w:rPr/>
        <w:t xml:space="preserve"> y prestan otros </w:t>
      </w:r>
      <w:hyperlink r:id="rId29">
        <w:r>
          <w:rPr>
            <w:rStyle w:val="style18"/>
            <w:color w:val="00000A"/>
            <w:u w:val="none"/>
          </w:rPr>
          <w:t>servicios</w:t>
        </w:r>
      </w:hyperlink>
      <w:r>
        <w:rPr/>
        <w:t xml:space="preserve">. Tratan de cubrir todas las necesidades financieras de la </w:t>
      </w:r>
      <w:hyperlink r:id="rId30">
        <w:r>
          <w:rPr>
            <w:rStyle w:val="style18"/>
            <w:color w:val="00000A"/>
            <w:u w:val="none"/>
          </w:rPr>
          <w:t>economía</w:t>
        </w:r>
      </w:hyperlink>
      <w:r>
        <w:rPr/>
        <w:t xml:space="preserve"> de un país. (p.24)</w:t>
      </w:r>
    </w:p>
    <w:p>
      <w:pPr>
        <w:pStyle w:val="style0"/>
        <w:spacing w:line="180" w:lineRule="exact"/>
        <w:ind w:firstLine="284" w:left="0" w:right="0"/>
      </w:pPr>
      <w:r>
        <w:rPr/>
      </w:r>
    </w:p>
    <w:p>
      <w:pPr>
        <w:pStyle w:val="style0"/>
        <w:ind w:firstLine="284" w:left="0" w:right="0"/>
      </w:pPr>
      <w:r>
        <w:rPr/>
      </w:r>
    </w:p>
    <w:p>
      <w:pPr>
        <w:pStyle w:val="style0"/>
      </w:pPr>
      <w:r>
        <w:rPr/>
        <w:t xml:space="preserve">En función de lo antes expuesto, el negocio bancario ha consistido en guardar los fondos de algunas personas y financiar a otras a cambio de una comisión por las operaciones; sin embargo, toma fuerza a raíz del proceso de industrialización mundial, ya que los inversionistas necesitaron préstamos para poner en marcha los grandes proyectos que darían comodidad al hombre. La industrialización fue madurando a pasos agigantados y los bancos pronto fueron receptores de grandes ganancias, lo cual impulsó su crecimiento; ya que los mismos fueron usados para ofrecer préstamos; quedando de esta manera demostrado, que el ahorro y la inversión son determinantes en el desarrollo de las naciones, y que para ello, debe contarse con un sistema bancario capaz de soportar la dinámica entre los depósitos y el préstamo. </w:t>
      </w:r>
    </w:p>
    <w:p>
      <w:pPr>
        <w:pStyle w:val="style0"/>
        <w:ind w:firstLine="284" w:left="0" w:right="0"/>
      </w:pPr>
      <w:r>
        <w:rPr/>
      </w:r>
    </w:p>
    <w:p>
      <w:pPr>
        <w:pStyle w:val="style0"/>
      </w:pPr>
      <w:r>
        <w:rPr/>
        <w:t xml:space="preserve">Más tarde, con la llegada de la globalización, el sistema bancario también rompió sus fronteras y alcanzó la modernización; las ganancias percibidas por el mismo en los países desarrollados le permitió ampliar su cartera de productos financieros y, gracias a ello, pudo expandir su alcance en la prestación de servicios, así se construyeron grandes conglomerados bancarios que apoyaban las ideas de cambio y expansión, fortaleciendo aun más su importancia en el circuito económico y financiero de los países. </w:t>
      </w:r>
    </w:p>
    <w:p>
      <w:pPr>
        <w:pStyle w:val="style0"/>
        <w:ind w:firstLine="284" w:left="0" w:right="0"/>
      </w:pPr>
      <w:r>
        <w:rPr/>
      </w:r>
    </w:p>
    <w:p>
      <w:pPr>
        <w:pStyle w:val="style0"/>
      </w:pPr>
      <w:r>
        <w:rPr/>
        <w:t>Hoy, el sistema bancario a nivel mundial mueve grandes masas de dinero y se constituye en un instrumento de desarrollo y modernización para las naciones, jugando un papel preponderante en el crecimiento económico; lo cual ha sido estudiado y comprobado por muchos especialistas, como es el caso de Guerra (2007 ) quien acota: “Las instituciones financieras movilizan ahorros, diversifican riesgos y producen información sobre oportunidades de inversión. Estás funciones ayudan a mejorar la productividad de los recursos invertidos, lo cual debería resultar en mayores tasas de crecimiento económico”. (p.2)</w:t>
      </w:r>
    </w:p>
    <w:p>
      <w:pPr>
        <w:pStyle w:val="style0"/>
        <w:ind w:firstLine="284" w:left="0" w:right="0"/>
      </w:pPr>
      <w:r>
        <w:rPr/>
      </w:r>
    </w:p>
    <w:p>
      <w:pPr>
        <w:pStyle w:val="style0"/>
      </w:pPr>
      <w:r>
        <w:rPr/>
        <w:t>Dicho lo anterior, se contextualiza la teoría y realidad bancaria venezolana, teniéndose que este negocio también ha sido determinante en las actividades económicas del país desde hace muchos años; sirviendo de intermediario financiero y de lucro para sus dueños. Sin embargo, debido a la vulnerabilidad y continuas fluctuaciones de la economía nacional, el negocio bancario también ha presentado sus variaciones; es decir, el sistema bancario alimenta a la economía, pero éste a su vez, también depende de la estabilidad de la misma, ya que su sujeto principal son las personas y empresas, y si éstas presentan coyunturas financieras, se restringe su capacidad de ahorro e inversión; lo cual es un fenómeno que repercute en la banca.</w:t>
      </w:r>
    </w:p>
    <w:p>
      <w:pPr>
        <w:pStyle w:val="style0"/>
        <w:ind w:firstLine="284" w:left="0" w:right="0"/>
      </w:pPr>
      <w:r>
        <w:rPr/>
      </w:r>
    </w:p>
    <w:p>
      <w:pPr>
        <w:pStyle w:val="style0"/>
      </w:pPr>
      <w:r>
        <w:rPr/>
        <w:t xml:space="preserve">Así, puede observarse que durante la bonanza de la explotación petrolera que disfrutó Venezuela hasta entrada la década de los 80, el país mantuvo una operatividad bancaria, si bien no de empuje, sí equilibrada, la cual permitió la proliferación de un gran número de bancos comerciales de origen nacional, pues el negocio se mostraba próspero y lucrativo, debido al gran flujo de efectivo y a la necesidad de financiar empresas que encontraban atractivo el mercado nacional. </w:t>
      </w:r>
    </w:p>
    <w:p>
      <w:pPr>
        <w:pStyle w:val="style0"/>
        <w:ind w:firstLine="284" w:left="0" w:right="0"/>
      </w:pPr>
      <w:r>
        <w:rPr/>
      </w:r>
    </w:p>
    <w:p>
      <w:pPr>
        <w:pStyle w:val="style0"/>
      </w:pPr>
      <w:r>
        <w:rPr/>
        <w:t xml:space="preserve">Luego de la caída de la moneda a principios de los 80, con la configuración de un escenario de incertidumbres políticas, de resquebrajamiento económico, el  incremento de la inflación, empobrecimiento de la sociedad y la fuga de importantes cantidades de capitales, simultáneamente, comienza el debilitamiento de la banca nacional, pues al reducirse la capacidad de ahorro y al eximirse las inversiones, la intermediación financiera, por ende, disminuyó marcadamente, estancándose el crecimiento de la banca. </w:t>
      </w:r>
    </w:p>
    <w:p>
      <w:pPr>
        <w:pStyle w:val="style0"/>
        <w:ind w:firstLine="284" w:left="0" w:right="0"/>
      </w:pPr>
      <w:r>
        <w:rPr/>
      </w:r>
    </w:p>
    <w:p>
      <w:pPr>
        <w:pStyle w:val="style0"/>
      </w:pPr>
      <w:r>
        <w:rPr/>
        <w:t>En tal sentido, la situación bancaria de Venezuela fue una de las máximas expresiones de la coyuntura que el país atravesaba para ese entonces, la cual se fraguó a partir de un marco legal descontextualizado, altos índices inflacionarios, una débil supervisión por parte del Banco Central de Venezuela y, sobre todo, la progresiva devaluación de la moneda. El escenario demostraba la caída financiera del país, siendo estos años muy duros para la sociedad venezolana; la década de los 90 fue una etapa donde todas las variables económicas, sociales, políticas, monetarias y financieras presentaban una escandalosa ruptura. Las altas tasas de interés para esa época fue una causante de la crisis financiera y, esto, generó una escasa liquidez monetaria.</w:t>
      </w:r>
    </w:p>
    <w:p>
      <w:pPr>
        <w:pStyle w:val="style0"/>
        <w:ind w:firstLine="284" w:left="0" w:right="0"/>
      </w:pPr>
      <w:r>
        <w:rPr/>
      </w:r>
    </w:p>
    <w:p>
      <w:pPr>
        <w:pStyle w:val="style0"/>
      </w:pPr>
      <w:r>
        <w:rPr/>
        <w:t>Con la entrada del nuevo milenio, y con ello de un nuevo régimen presidencial en Venezuela, se abrió un marco de cambios institucionales que volvieron a afectar a la intermediación financiera; sin embargo, la fortaleza alcanzada por la banca con el leve crecimiento económico registrado en el país durante el año 2001, le permitió sobrellevar los desequilibrios de aquel entonces; ocurriendo lo mismo durante los años 2002 y 2003, que gracias a su solvencia, mantenían la confianza del mercado, sin embargo se vieron limitadas las posibilidades de expansión y crecimiento.</w:t>
      </w:r>
    </w:p>
    <w:p>
      <w:pPr>
        <w:pStyle w:val="style0"/>
      </w:pPr>
      <w:r>
        <w:rPr/>
      </w:r>
    </w:p>
    <w:p>
      <w:pPr>
        <w:pStyle w:val="style0"/>
      </w:pPr>
      <w:r>
        <w:rPr/>
        <w:t xml:space="preserve">Sin embargo, no debe dejarse de un lado que el escenario venezolano durante el período 2001 – 2003 fue coyuntural, dado el paro cívico originado en el 2002, el cual aceleró el riesgo político, presiones inflacionarias, devaluación súbita de la moneda, altos niveles de desempleo y un rápido empobrecimiento de la población, lo cual volvió a sesgar  las inversiones en el país, condicionando el desempeño de la banca comercial y universal, el cual se caracterizó por presentar una fuerte caída de la cartera de créditos, principalmente los relacionados con el consumo. </w:t>
      </w:r>
    </w:p>
    <w:p>
      <w:pPr>
        <w:pStyle w:val="style0"/>
        <w:ind w:firstLine="284" w:left="0" w:right="0"/>
      </w:pPr>
      <w:r>
        <w:rPr/>
      </w:r>
    </w:p>
    <w:p>
      <w:pPr>
        <w:pStyle w:val="style0"/>
      </w:pPr>
      <w:r>
        <w:rPr/>
        <w:t xml:space="preserve">Es evidente entonces, que la banca nacional es reactiva al acontecimiento nacional, y que a pesar de que se ha recuperado luego de la intervención de la inversión extranjera, es ampliamente vulnerable a los riesgos que se configuran en el ámbito venezolano. En el presente, se habla de la existencia de un sistema bancario con amplió crecimiento, fortaleza, y rentable ejemplo para el sector en América Latina; pero no debe obviarse la situación generalizada del país y la influencia que tiene ésta en el desempeño bancario; por lo que debe cuidarse la evolución de las políticas públicas y su repercusión de éstas en el sistema. </w:t>
      </w:r>
    </w:p>
    <w:p>
      <w:pPr>
        <w:pStyle w:val="style0"/>
        <w:ind w:firstLine="284" w:left="0" w:right="0"/>
      </w:pPr>
      <w:r>
        <w:rPr/>
      </w:r>
    </w:p>
    <w:p>
      <w:pPr>
        <w:pStyle w:val="style0"/>
      </w:pPr>
      <w:r>
        <w:rPr/>
        <w:t xml:space="preserve">Dentro de este orden de ideas, debe tomarse en cuenta la necesaria recuperación y empuje del sector industrial venezolano hacia el crecimiento y desarrollo en el mercado nacional e internacional, el cual ha sido por muchos años el blanco de las diferentes crisis nacionales y del estacionado fenómeno de la inflación y devaluación de la moneda. Uno de los objetivos del actual sistema de gobierno ha sido impulsar el motor industrial del país, así, desde el año 2003 se ha emplazado a despertar el potencial emprendedor de la sociedad a través de la motivación del movimiento cooperativista, impulso de la producción de bienes y servicios nacionales de pequeñas y medianas empresas, promoviendo el sector primario, propiciando el crecimiento económico y el  bienestar social. </w:t>
      </w:r>
    </w:p>
    <w:p>
      <w:pPr>
        <w:pStyle w:val="style0"/>
        <w:ind w:firstLine="284" w:left="0" w:right="0"/>
      </w:pPr>
      <w:r>
        <w:rPr/>
      </w:r>
    </w:p>
    <w:p>
      <w:pPr>
        <w:pStyle w:val="style0"/>
      </w:pPr>
      <w:r>
        <w:rPr/>
        <w:t>No obstante, el criterio de las políticas de Estado se ha mostrado forzoso e interventor en la dinámica operativa de otros actores importantes del acontecer económico, que aun cuando presentan síntomas de mejoría, se mantienen influidos por las contingencias macroeconómicas del país, como es el caso del sector bancario. En todas las economías el nivel de ahorro y el consumo de un país, miden la calidad de vida en general; por otra parte, el hombre ha ido evolucionando desde el sentido de su concepción del  oro como bien para atesorar valor, pasando por el portafolio de bienes y servicios bancarios ofrecidos que han estando evolucionando cada día y estando más accesibles para su uso para cualquiera, dentro de los cuales se destaca el dinero plástico.</w:t>
      </w:r>
    </w:p>
    <w:p>
      <w:pPr>
        <w:pStyle w:val="style0"/>
      </w:pPr>
      <w:r>
        <w:rPr/>
      </w:r>
    </w:p>
    <w:p>
      <w:pPr>
        <w:pStyle w:val="style0"/>
      </w:pPr>
      <w:r>
        <w:rPr/>
        <w:t xml:space="preserve">Dentro de los altibajos que ha experimentado la economía venezolana , desde el paro petrolero hasta la actualidad, la escogencia del lapso en cuestión se fundamenta en el hecho que a lo largo de estos años han sucedido fases de aumento o disminución de la actividad económica bien definidos; en dicho periodo se reflejan ajustes de baja o alza de las tasas de interés producto de las directrices del Banco Central de Venezuela, ya que a menores tasas de interés, se presume un mayor consumo de bienes y servicios que en definitiva buscan mejorar su calidad de vida, y lo viceversa si ocurre lo opuesto. </w:t>
      </w:r>
    </w:p>
    <w:p>
      <w:pPr>
        <w:pStyle w:val="style0"/>
      </w:pPr>
      <w:r>
        <w:rPr/>
      </w:r>
    </w:p>
    <w:p>
      <w:pPr>
        <w:pStyle w:val="style0"/>
      </w:pPr>
      <w:r>
        <w:rPr/>
        <w:t>Ahora bien, con un mundo cada día más globalizado, los efectos que ocurren en cualquier lugar afectan de manera directa e indirecta en Venezuela, no quedando inmune a sus efectos, y, como se conoce, uno de los indicadores de crecimiento económico que surge importante evaluar son los niveles de consumo, en donde las tarjetas de crédito tienen un peso significativo, ya que permite el financiamiento a futuro para las compras realizadas hoy, logrando de esta manera compensar cualquier desequilibrio presupuestario del tarjetahabiente o simplemente su comodidad de utilización de bienes y servicios</w:t>
      </w:r>
      <w:r>
        <w:rPr>
          <w:color w:val="FF0000"/>
        </w:rPr>
        <w:t xml:space="preserve">. </w:t>
      </w:r>
    </w:p>
    <w:p>
      <w:pPr>
        <w:pStyle w:val="style0"/>
        <w:ind w:firstLine="284" w:left="0" w:right="0"/>
      </w:pPr>
      <w:r>
        <w:rPr/>
      </w:r>
    </w:p>
    <w:p>
      <w:pPr>
        <w:pStyle w:val="style0"/>
      </w:pPr>
      <w:r>
        <w:rPr/>
        <w:t>Entonces surge el  riesgo ligado a las inversiones financieras, que de acuerdo con la teoría moderna del portafolio, a medida que el riesgo se eleva, mayor es el rendimiento que el inversionista espera obtener como recompensa por el riesgo asumido. Esta afirmación se cumple en cualquier tipo de inversión, pero cobra mayor importancia cuando se aplica en el ámbito de los países, por las consecuencias que estas decisiones tienen sobre gran cantidad de personas. Es allí donde entra en juego la banca, mediante la promoción de otorgamiento de producto conocido como tarjetas de crédito, la cual puede ser utilizada como medio de pago en los negocios adheridos al sistema, mediante su firma y la exhibición de la tarjeta. Es otra modalidad de financiación, por lo tanto, el usuario supone asumir la obligación de devolver el importe dispuesto y de pagar los intereses, comisiones bancarias y gastos pactados.</w:t>
      </w:r>
    </w:p>
    <w:p>
      <w:pPr>
        <w:pStyle w:val="style0"/>
      </w:pPr>
      <w:r>
        <w:rPr/>
      </w:r>
    </w:p>
    <w:p>
      <w:pPr>
        <w:pStyle w:val="style0"/>
      </w:pPr>
      <w:r>
        <w:rPr/>
        <w:t xml:space="preserve">En este sentido, dentro de la estructura organizativa de cada banca privada, existe un departamento de riesgo de análisis para cada tipo de cartera, para el área de tarjeta de crédito que es de tipo crédito al consumo masivo, ya que es de fácil acceso, por lo que crea altos volumen de solicitudes dentro del departamento, por eso se busca contar con indicadores de gestión que permitan estudiar, analizar y comparar el comportamiento de la gestión en cuanto al seguimiento de la solicitud para llegar a conclusiones que estén lo más cercano a la realidad en lo que respecta al análisis de cada solicitud y tiempo de respuesta. </w:t>
      </w:r>
    </w:p>
    <w:p>
      <w:pPr>
        <w:pStyle w:val="style0"/>
        <w:ind w:firstLine="284" w:left="0" w:right="0"/>
      </w:pPr>
      <w:r>
        <w:rPr/>
      </w:r>
    </w:p>
    <w:p>
      <w:pPr>
        <w:pStyle w:val="style0"/>
      </w:pPr>
      <w:r>
        <w:rPr/>
        <w:t xml:space="preserve">Como alternativa de solución a la situación antes planteada y en este contexto se insertan los indicadores de gestión, los cuales representan una alternativa de solución al problemática existente, dado que conforman una herramienta que genera y difunde contenidos y aplicaciones de Gerencia, Administración, Contabilidad y Riesgo que pueden ser aplicados a nivel de la análisis de riesgo de créditos al consumo como herramienta de control en la banca privada En tal sentido, los indicadores de gestión se definen como índices financieros y no financieros que permiten que la gerencia tenga conocimiento preciso sobre el comportamiento de la empresa en un momento determinado, en función de identificar las desviaciones entre la realidad y la planificación, partiendo de la aplicación de herramientas de administración que faciliten el control de gestión en la prestación del servicio profesional con orden, eficiencia y óptimo uso de los recursos y manejen inteligentemente la información y las finanzas de la cartera de créditos al consumo. </w:t>
      </w:r>
    </w:p>
    <w:p>
      <w:pPr>
        <w:pStyle w:val="style89"/>
      </w:pPr>
      <w:r>
        <w:rPr/>
      </w:r>
    </w:p>
    <w:p>
      <w:pPr>
        <w:pStyle w:val="style0"/>
      </w:pPr>
      <w:r>
        <w:rPr/>
        <w:t>De igual forma, el uso sistemático de los indicadores de gestión facilita que el empleado identifique oportunidades de mejora en los servicios y seleccione las estrategias convenientes y aplique técnicas de comunicación eficaz, para lograr una evaluación óptima de los riesgos asociados a los créditos al consumo, con el firme propósito de tomar decisiones financieras acordes con el comportamiento económico y financiero del cliente, lo cual le permitirá a la institución mayores niveles de uso y recomendación de su servicio profesional para desarrollar habilidades de gestión y liderazgo, para encaminar su emprendimiento directamente hacia el éxito.</w:t>
      </w:r>
    </w:p>
    <w:p>
      <w:pPr>
        <w:pStyle w:val="style0"/>
      </w:pPr>
      <w:r>
        <w:rPr/>
      </w:r>
    </w:p>
    <w:p>
      <w:pPr>
        <w:pStyle w:val="style0"/>
      </w:pPr>
      <w:r>
        <w:rPr/>
        <w:t xml:space="preserve">Cabe destacar que para poder despejar la duda sobre cuál es el resultado del indicador de gestión como estrategia de medición en el área de riesgo de análisis de tarjeta de crédito en la banca privada, es necesario adentrarse en la dinámica de oferta de tarjeta de crédito que han alcanzado las instituciones financieras y, así comprobar si el indicador de gestión colaborará con la banca privada para llevar un control y seguimiento del proceso, razón por la cual se hace necesario desarrollar esta investigación con la finalidad de llevar a cabo un análisis de riesgo de créditos al consumo en base a indicadores de gestión como herramienta de control en la banca privada, para lo cual se plantean las siguientes interrogantes:  </w:t>
      </w:r>
    </w:p>
    <w:p>
      <w:pPr>
        <w:pStyle w:val="style0"/>
        <w:jc w:val="center"/>
      </w:pPr>
      <w:r>
        <w:rPr/>
      </w:r>
    </w:p>
    <w:p>
      <w:pPr>
        <w:pStyle w:val="style0"/>
      </w:pPr>
      <w:r>
        <w:rPr/>
        <w:t>¿Cuál es la situación actual del análisis de riesgo de créditos al consumo en base a indicadores de gestión en la banca privada?</w:t>
      </w:r>
    </w:p>
    <w:p>
      <w:pPr>
        <w:pStyle w:val="style89"/>
      </w:pPr>
      <w:r>
        <w:rPr/>
      </w:r>
    </w:p>
    <w:p>
      <w:pPr>
        <w:pStyle w:val="style0"/>
      </w:pPr>
      <w:r>
        <w:rPr/>
        <w:t>¿Cómo son los procesos relacionados con el análisis de riesgos desde las perspectivas financieras y no financieras de los créditos al consumo?</w:t>
      </w:r>
    </w:p>
    <w:p>
      <w:pPr>
        <w:pStyle w:val="style0"/>
      </w:pPr>
      <w:r>
        <w:rPr/>
      </w:r>
    </w:p>
    <w:p>
      <w:pPr>
        <w:pStyle w:val="style0"/>
      </w:pPr>
      <w:r>
        <w:rPr/>
        <w:t>¿Qué factores están asociados a los riegos en los créditos al consumo con tarjetas de crédito en la banca privada?</w:t>
      </w:r>
    </w:p>
    <w:p>
      <w:pPr>
        <w:pStyle w:val="style0"/>
      </w:pPr>
      <w:r>
        <w:rPr/>
      </w:r>
    </w:p>
    <w:p>
      <w:pPr>
        <w:pStyle w:val="style0"/>
      </w:pPr>
      <w:r>
        <w:rPr/>
        <w:t xml:space="preserve">¿Es factible implementar indicadores de gestión como herramienta de control de los créditos al consumo en la banca privada?  </w:t>
      </w:r>
    </w:p>
    <w:p>
      <w:pPr>
        <w:pStyle w:val="style0"/>
        <w:ind w:firstLine="284" w:left="0" w:right="0"/>
      </w:pPr>
      <w:r>
        <w:rPr>
          <w:lang w:val="es-ES"/>
        </w:rPr>
      </w:r>
    </w:p>
    <w:p>
      <w:pPr>
        <w:pStyle w:val="style3"/>
        <w:numPr>
          <w:ilvl w:val="2"/>
          <w:numId w:val="1"/>
        </w:numPr>
      </w:pPr>
      <w:bookmarkStart w:id="35" w:name="__RefHeading__4954_1544206207"/>
      <w:bookmarkStart w:id="36" w:name="_Toc432059686"/>
      <w:bookmarkEnd w:id="35"/>
      <w:bookmarkEnd w:id="36"/>
      <w:r>
        <w:rPr/>
        <w:t>Objetivos de la Investigación</w:t>
      </w:r>
    </w:p>
    <w:p>
      <w:pPr>
        <w:pStyle w:val="style0"/>
      </w:pPr>
      <w:r>
        <w:rPr>
          <w:b/>
        </w:rPr>
      </w:r>
    </w:p>
    <w:p>
      <w:pPr>
        <w:pStyle w:val="style0"/>
      </w:pPr>
      <w:r>
        <w:rPr>
          <w:b/>
        </w:rPr>
        <w:t>Objetivo General:</w:t>
      </w:r>
    </w:p>
    <w:p>
      <w:pPr>
        <w:pStyle w:val="style0"/>
        <w:ind w:firstLine="284" w:left="0" w:right="0"/>
      </w:pPr>
      <w:r>
        <w:rPr/>
      </w:r>
    </w:p>
    <w:p>
      <w:pPr>
        <w:pStyle w:val="style0"/>
      </w:pPr>
      <w:r>
        <w:rPr/>
        <w:t>Analizar los riesgos de los créditos al consumo en base a indicadores de gestión como herramienta de control en la banca privada</w:t>
      </w:r>
    </w:p>
    <w:p>
      <w:pPr>
        <w:pStyle w:val="style0"/>
      </w:pPr>
      <w:r>
        <w:rPr>
          <w:b/>
          <w:i/>
        </w:rPr>
      </w:r>
    </w:p>
    <w:p>
      <w:pPr>
        <w:pStyle w:val="style0"/>
      </w:pPr>
      <w:r>
        <w:rPr>
          <w:b/>
        </w:rPr>
      </w:r>
    </w:p>
    <w:p>
      <w:pPr>
        <w:pStyle w:val="style0"/>
      </w:pPr>
      <w:r>
        <w:rPr>
          <w:b/>
        </w:rPr>
        <w:t>Objetivos Específicos:</w:t>
      </w:r>
    </w:p>
    <w:p>
      <w:pPr>
        <w:pStyle w:val="style0"/>
        <w:ind w:firstLine="284" w:left="0" w:right="0"/>
      </w:pPr>
      <w:r>
        <w:rPr>
          <w:b/>
        </w:rPr>
      </w:r>
    </w:p>
    <w:p>
      <w:pPr>
        <w:pStyle w:val="style0"/>
        <w:widowControl w:val="false"/>
        <w:numPr>
          <w:ilvl w:val="0"/>
          <w:numId w:val="11"/>
        </w:numPr>
      </w:pPr>
      <w:r>
        <w:rPr/>
        <w:t>Diagnosticar la situación actual del análisis de riesgo de créditos al consumo en base a indicadores de gestión en la banca privada.</w:t>
      </w:r>
    </w:p>
    <w:p>
      <w:pPr>
        <w:pStyle w:val="style0"/>
        <w:widowControl w:val="false"/>
      </w:pPr>
      <w:r>
        <w:rPr/>
      </w:r>
    </w:p>
    <w:p>
      <w:pPr>
        <w:pStyle w:val="style0"/>
        <w:widowControl w:val="false"/>
        <w:numPr>
          <w:ilvl w:val="0"/>
          <w:numId w:val="11"/>
        </w:numPr>
      </w:pPr>
      <w:r>
        <w:rPr/>
        <w:t>Identificar los procesos internos del área de riesgo de análisis de  crédito al consumo en tarjeta de crédito en la banca privada.</w:t>
      </w:r>
    </w:p>
    <w:p>
      <w:pPr>
        <w:pStyle w:val="style82"/>
      </w:pPr>
      <w:r>
        <w:rPr/>
      </w:r>
    </w:p>
    <w:p>
      <w:pPr>
        <w:pStyle w:val="style0"/>
        <w:widowControl w:val="false"/>
        <w:numPr>
          <w:ilvl w:val="0"/>
          <w:numId w:val="11"/>
        </w:numPr>
      </w:pPr>
      <w:r>
        <w:rPr/>
        <w:t xml:space="preserve">Definir los indicadores de gestión para el análisis de riesgos desde las perspectivas financieras y no financieras de los créditos al consumo. </w:t>
      </w:r>
    </w:p>
    <w:p>
      <w:pPr>
        <w:pStyle w:val="style0"/>
        <w:widowControl w:val="false"/>
        <w:numPr>
          <w:ilvl w:val="0"/>
          <w:numId w:val="11"/>
        </w:numPr>
      </w:pPr>
      <w:r>
        <w:rPr/>
        <w:t>Establecer los factores están asociados a los riegos en los créditos al consumo con tarjetas de crédito en la banca privada</w:t>
      </w:r>
    </w:p>
    <w:p>
      <w:pPr>
        <w:pStyle w:val="style0"/>
        <w:ind w:hanging="0" w:left="0" w:right="0"/>
      </w:pPr>
      <w:r>
        <w:rPr>
          <w:b/>
        </w:rPr>
      </w:r>
    </w:p>
    <w:p>
      <w:pPr>
        <w:pStyle w:val="style3"/>
        <w:numPr>
          <w:ilvl w:val="2"/>
          <w:numId w:val="1"/>
        </w:numPr>
      </w:pPr>
      <w:bookmarkStart w:id="37" w:name="__RefHeading__4956_1544206207"/>
      <w:bookmarkStart w:id="38" w:name="_Toc432059687"/>
      <w:bookmarkEnd w:id="37"/>
      <w:bookmarkEnd w:id="38"/>
      <w:r>
        <w:rPr/>
        <w:t>Justificación de la Investigación</w:t>
      </w:r>
    </w:p>
    <w:p>
      <w:pPr>
        <w:pStyle w:val="style0"/>
        <w:jc w:val="center"/>
      </w:pPr>
      <w:r>
        <w:rPr>
          <w:b/>
        </w:rPr>
      </w:r>
    </w:p>
    <w:p>
      <w:pPr>
        <w:pStyle w:val="style0"/>
      </w:pPr>
      <w:r>
        <w:rPr/>
        <w:t xml:space="preserve">La importancia de la investigación se centra en el hecho que el escenario financiero y monetario de Venezuela está lleno de incertidumbres, lo cual conlleva a un  efecto experimental o psicológico a especular sobre cualquier acción, de allí que al desarrollar estudios relacionados con el ámbito bancario se esta contribuyendo a generar una base de conocimientos sólida que permita el establecimiento de líneas de acción que permitan formular recomendaciones a la banca y a los usuarios. </w:t>
      </w:r>
    </w:p>
    <w:p>
      <w:pPr>
        <w:pStyle w:val="style0"/>
        <w:widowControl w:val="false"/>
        <w:ind w:firstLine="284" w:left="0" w:right="0"/>
      </w:pPr>
      <w:r>
        <w:rPr/>
      </w:r>
    </w:p>
    <w:p>
      <w:pPr>
        <w:pStyle w:val="style0"/>
        <w:widowControl w:val="false"/>
        <w:ind w:hanging="0" w:left="0" w:right="0"/>
      </w:pPr>
      <w:r>
        <w:rPr/>
        <w:tab/>
        <w:t>El abordaje de la investigación, llevará al análisis de las perspectivas financieras y no financieras mediante indicadores de gestión para llegar a realizar comunicaciones e informes de seguimiento semanales. Entonces, es necesario la aplicación de dichos indicadores de gestión debido a que se requiere saber si se está en el camino correcto o no en el departamento de riesgo y a su vez si se necesita una mejora en la Gerencia, principalmente en aquellos puntos donde se está más débil y poder interpretar que lo que está ocurriendo y definir la necesidad de introducir cambios y/o mejoras para poder analizar sus consecuencias en el menor tiempo posible, mediante el conocimiento de los factores están asociados a los riegos en los créditos al consumo con tarjetas de crédito en la banca privada</w:t>
      </w:r>
    </w:p>
    <w:p>
      <w:pPr>
        <w:pStyle w:val="style0"/>
      </w:pPr>
      <w:r>
        <w:rPr/>
      </w:r>
    </w:p>
    <w:p>
      <w:pPr>
        <w:pStyle w:val="style0"/>
      </w:pPr>
      <w:r>
        <w:rPr/>
        <w:t xml:space="preserve">De igual manera, los </w:t>
      </w:r>
      <w:r>
        <w:rPr>
          <w:rFonts w:eastAsia="Calibri"/>
        </w:rPr>
        <w:t>indicadores de gestión se toman en cuenta para optimizar el proceso, hacer seguimiento, control y evaluación simultáneamente en todas las áreas y de manera objetiva</w:t>
      </w:r>
      <w:r>
        <w:rPr/>
        <w:t xml:space="preserve">  en la cartera de crédito en el sistema bancario nacional, donde  han alcanzado altos niveles y en donde las tarjetas de crédito tienen un gran peso. Cabe destacar también, que las tarjetas de crédito acceden el financiamiento a futuro para las compras realizadas hoy, consiguiendo de esta forma remediar cualquier desequilibrio presupuestario del tarjeta habiente, o simplemente aumentar su comodidad de utilización al adquirir bienes y servicios. En tal sentido, la economía venezolana se mide por la  calidad de vida en general; por otra parte, el venezolano ha ido evolucionando económicamente y está aún más accesible en el uso del dinero plástico. Sin embargo, desde ese entonces hasta el presente, la dinámica bancaria no ha demostrado mayor indicio de desequilibrios, sino las fluctuaciones normales en sintonía con el acontecer nacional.</w:t>
      </w:r>
    </w:p>
    <w:p>
      <w:pPr>
        <w:pStyle w:val="style0"/>
        <w:ind w:firstLine="284" w:left="0" w:right="0"/>
      </w:pPr>
      <w:r>
        <w:rPr/>
      </w:r>
    </w:p>
    <w:p>
      <w:pPr>
        <w:pStyle w:val="style0"/>
      </w:pPr>
      <w:r>
        <w:rPr/>
        <w:t xml:space="preserve">Dentro de este orden de ideas, es preciso desarrollar investigaciones que mantengan la objetividad en la manipulación de los datos, para generar una información confiable que revele la verdadera situación de la banca. De allí que los  resultados de esta investigación serán de gran utilidad informativa porque facilitará una estrategia como instrumento para optimizar y organizar las responsabilidades dentro del departamento de riesgo en cuanto a análisis en la banca privada, para así  mantener la preferencia y sobretodo confianza de sus clientes ya que en nuestro sistema financiero bancario existe una amplia competencia por alcanzar el liderazgo y mantener su solvencia y piso financiero. </w:t>
      </w:r>
    </w:p>
    <w:p>
      <w:pPr>
        <w:pStyle w:val="style0"/>
        <w:widowControl w:val="false"/>
        <w:ind w:firstLine="284" w:left="0" w:right="0"/>
      </w:pPr>
      <w:r>
        <w:rPr/>
      </w:r>
    </w:p>
    <w:p>
      <w:pPr>
        <w:pStyle w:val="style0"/>
      </w:pPr>
      <w:r>
        <w:rPr/>
        <w:t>Por otra parte, la investigación vincula a sus desarrolladores con la vida financiera y económica del país, facilitándoles el entendimiento de las relaciones que deben existir entre estos escenarios y su repercusión en la estabilidad nacional y de sus empresas; enfatizándose de esta manera la importancia de la participación del sector bancario en la evolución y desarrollo de un país.</w:t>
      </w:r>
    </w:p>
    <w:p>
      <w:pPr>
        <w:pStyle w:val="style0"/>
        <w:ind w:firstLine="284" w:left="0" w:right="0"/>
      </w:pPr>
      <w:r>
        <w:rPr/>
      </w:r>
    </w:p>
    <w:p>
      <w:pPr>
        <w:pStyle w:val="style0"/>
      </w:pPr>
      <w:r>
        <w:rPr/>
        <w:t>Finalmente, se espera que los resultados de esta investigación sirvan de antecedentes para otros estudiosos de las finanzas, área de valor en la formación de los profesionales de las Ciencias Económicas y Sociales.</w:t>
      </w:r>
    </w:p>
    <w:p>
      <w:pPr>
        <w:pStyle w:val="style0"/>
        <w:ind w:firstLine="284" w:left="0" w:right="0"/>
      </w:pPr>
      <w:r>
        <w:rPr/>
      </w:r>
    </w:p>
    <w:p>
      <w:pPr>
        <w:pStyle w:val="style0"/>
      </w:pPr>
      <w:r>
        <w:rPr/>
      </w:r>
    </w:p>
    <w:p>
      <w:pPr>
        <w:pStyle w:val="style1"/>
        <w:pageBreakBefore/>
      </w:pPr>
      <w:bookmarkStart w:id="39" w:name="__RefHeading__4958_1544206207"/>
      <w:bookmarkEnd w:id="39"/>
      <w:r>
        <w:rPr>
          <w:szCs w:val="28"/>
        </w:rPr>
        <w:t xml:space="preserve"> </w:t>
      </w:r>
      <w:bookmarkStart w:id="40" w:name="_Toc432059688"/>
      <w:bookmarkEnd w:id="40"/>
      <w:r>
        <w:rPr>
          <w:szCs w:val="28"/>
        </w:rPr>
        <w:t>CAPÍTULO II</w:t>
      </w:r>
    </w:p>
    <w:p>
      <w:pPr>
        <w:pStyle w:val="style0"/>
        <w:ind w:hanging="0" w:left="0" w:right="0"/>
        <w:jc w:val="center"/>
      </w:pPr>
      <w:r>
        <w:rPr>
          <w:b/>
          <w:lang w:val="es-ES"/>
        </w:rPr>
      </w:r>
    </w:p>
    <w:p>
      <w:pPr>
        <w:pStyle w:val="style2"/>
        <w:numPr>
          <w:ilvl w:val="1"/>
          <w:numId w:val="1"/>
        </w:numPr>
      </w:pPr>
      <w:bookmarkStart w:id="41" w:name="__RefHeading__4960_1544206207"/>
      <w:bookmarkStart w:id="42" w:name="_Toc432059689"/>
      <w:bookmarkEnd w:id="41"/>
      <w:bookmarkEnd w:id="42"/>
      <w:r>
        <w:rPr>
          <w:lang w:val="es-ES"/>
        </w:rPr>
        <w:t>MARCO TEÓRICO</w:t>
      </w:r>
    </w:p>
    <w:p>
      <w:pPr>
        <w:pStyle w:val="style0"/>
        <w:jc w:val="center"/>
      </w:pPr>
      <w:r>
        <w:rPr>
          <w:lang w:val="es-ES"/>
        </w:rPr>
      </w:r>
    </w:p>
    <w:p>
      <w:pPr>
        <w:pStyle w:val="style3"/>
        <w:numPr>
          <w:ilvl w:val="2"/>
          <w:numId w:val="1"/>
        </w:numPr>
      </w:pPr>
      <w:bookmarkStart w:id="43" w:name="__RefHeading__4962_1544206207"/>
      <w:bookmarkStart w:id="44" w:name="_Toc432059690"/>
      <w:bookmarkEnd w:id="43"/>
      <w:bookmarkEnd w:id="44"/>
      <w:r>
        <w:rPr/>
        <w:t>Antecedentes de la Investigación</w:t>
      </w:r>
    </w:p>
    <w:p>
      <w:pPr>
        <w:pStyle w:val="style0"/>
        <w:ind w:hanging="0" w:left="0" w:right="0"/>
        <w:jc w:val="center"/>
      </w:pPr>
      <w:r>
        <w:rPr>
          <w:b/>
        </w:rPr>
      </w:r>
    </w:p>
    <w:p>
      <w:pPr>
        <w:pStyle w:val="style0"/>
      </w:pPr>
      <w:r>
        <w:rPr/>
        <w:t>Los antecedentes de la investigación están constituidos por aquellos trabajos de grado que sirvieron de base para la elaboración del estudio en torno a análisis de riesgo de créditos al consumo en base a indicadores de gestión como herramienta de control en la banca privada. Es importante señalar que en el área de estudio se encuentran pocas investigaciones a nivel nacional, sin embargo se plantea un resumen de trabajos de grado, entre ellos cabe mencionar los siguientes:</w:t>
      </w:r>
    </w:p>
    <w:p>
      <w:pPr>
        <w:pStyle w:val="style0"/>
        <w:ind w:hanging="0" w:left="0" w:right="0"/>
      </w:pPr>
      <w:r>
        <w:rPr/>
      </w:r>
    </w:p>
    <w:p>
      <w:pPr>
        <w:pStyle w:val="style0"/>
        <w:widowControl w:val="false"/>
        <w:ind w:firstLine="680" w:left="0" w:right="0"/>
      </w:pPr>
      <w:r>
        <w:rPr/>
        <w:t>Para Balestrini (2002) “a propósito de sustentar desde una perspectiva teórica el problema, se hace necesario presentar en el marco teórico del proyecto de investigación (…), los antecedentes de la investigación” (p.91). Por lo tanto, en el ámbito de cualquier investigación debe estar planteada por trabajos realizados con anterioridad, los cuales sirven de apoyo para otras investigaciones. Por lo antes expuesto, se efectuó una revisión de los diferentes estudios relacionados con el tema y los mismos se describen a continuación:</w:t>
      </w:r>
    </w:p>
    <w:p>
      <w:pPr>
        <w:pStyle w:val="style1"/>
        <w:ind w:hanging="0" w:left="0" w:right="0"/>
        <w:jc w:val="both"/>
      </w:pPr>
      <w:r>
        <w:rPr/>
      </w:r>
    </w:p>
    <w:p>
      <w:pPr>
        <w:pStyle w:val="style0"/>
      </w:pPr>
      <w:r>
        <w:rPr/>
        <w:t>Álvarez (2010) elaboró un</w:t>
      </w:r>
      <w:r>
        <w:rPr>
          <w:lang w:val="es-MX"/>
        </w:rPr>
        <w:t xml:space="preserve"> </w:t>
      </w:r>
      <w:r>
        <w:rPr>
          <w:b/>
          <w:lang w:val="es-MX"/>
        </w:rPr>
        <w:t xml:space="preserve">Modelo Integral de Productividad en las Adquisiciones Corporativas Bancarias. Caso: Corp Banca – Banco Occidental de Descuento BOD, </w:t>
      </w:r>
      <w:r>
        <w:rPr>
          <w:lang w:val="es-MX"/>
        </w:rPr>
        <w:t xml:space="preserve">el cual fue presentado en la Universidad Bicentenaria de Aragua para optar al título de magister en Gerencia, mención Finanzas. El trabajo se desarrolló para analizar </w:t>
      </w:r>
      <w:r>
        <w:rPr/>
        <w:t xml:space="preserve">la integración de la plataforma tecnológica entre Corp Banca y el BOD, a partir de lo cual ambas entidades bancarias unen sus fuerzas para prestar una mejor atención a sus clientes, permitiéndoles disfrutar de mayores beneficios, a fin de poder hacer frente al contexto económico y en especial a las políticas de nacionalización de la banca privada. </w:t>
      </w:r>
    </w:p>
    <w:p>
      <w:pPr>
        <w:pStyle w:val="style0"/>
      </w:pPr>
      <w:r>
        <w:rPr/>
      </w:r>
    </w:p>
    <w:p>
      <w:pPr>
        <w:pStyle w:val="style0"/>
      </w:pPr>
      <w:r>
        <w:rPr/>
        <w:t xml:space="preserve">El propósito de la investigación es evaluar el Modelo Integral de Productividad en las adquisiciones corporativas del sector financiero venezolano, específicamente el caso Corp. Banca – Banco Occidental de Descuento (BOD). El trabajo se fundamenta en las teorías financieras, de la inversión, del portafolio, de activos de capital, de las decisiones financieras, de riesgo y de la organización. </w:t>
      </w:r>
    </w:p>
    <w:p>
      <w:pPr>
        <w:pStyle w:val="style0"/>
      </w:pPr>
      <w:r>
        <w:rPr/>
      </w:r>
    </w:p>
    <w:p>
      <w:pPr>
        <w:pStyle w:val="style0"/>
      </w:pPr>
      <w:r>
        <w:rPr/>
        <w:t xml:space="preserve">El mismo se desarrolló bajo una investigación de campo de  nivel evaluativo apoyado en una revisión documental. Se aplicó un cuestionario con escala de aptitudes constituido por veinte (20) ítems, sobre una muestra censal conformada por doce (12) integrantes del personal administrativo que gerencia las oficinas principales de ambas instituciones (Corp. Banca y BOD) en la ciudad de Maracay. Entre las conclusiones más relevantes al evaluar los insumos y estrategias contempladas en el modelo integral de productividad se obtuvo: incremento de los niveles de conocimiento y desarrollo de habilidades del personal, desarrollo de estrategias dirigidas a nuevos instrumentos financieros para la captación de clientes, y la determinación de razones financieras de riesgo para el proceso de adquisición. </w:t>
      </w:r>
    </w:p>
    <w:p>
      <w:pPr>
        <w:pStyle w:val="style0"/>
      </w:pPr>
      <w:r>
        <w:rPr/>
      </w:r>
    </w:p>
    <w:p>
      <w:pPr>
        <w:pStyle w:val="style0"/>
      </w:pPr>
      <w:r>
        <w:rPr/>
        <w:t>El Modelo Integral de Productividad se vio favorecido por los factores internos de la institución, existiendo incertidumbre sobre el impacto de los factores externos. Entre las recomendaciones se tiene: incrementar la inversión para los cambios de la plataforma tecnológica, ejecutar estrategias de reforzamiento del personal a través de cursos de mejoramiento y desarrollo en las áreas de finanzas y economía a fin de prestar un mejor servicio a los clientes. Teniendo relación con la presente investigación por cuanto en ambas investigaciones es fundamental el análisis de las teorías financieras a fines de una mejor compresión de la problemática planteada</w:t>
      </w:r>
    </w:p>
    <w:p>
      <w:pPr>
        <w:pStyle w:val="style0"/>
      </w:pPr>
      <w:r>
        <w:rPr/>
        <w:t xml:space="preserve">Por su parte, Nieves (2010) desarrolló un estudio titulado </w:t>
      </w:r>
      <w:r>
        <w:rPr>
          <w:b/>
        </w:rPr>
        <w:t xml:space="preserve">Impacto de la Reconversión Monetaria en la Economía de Venezuela, </w:t>
      </w:r>
      <w:r>
        <w:rPr>
          <w:lang w:val="es-MX"/>
        </w:rPr>
        <w:t xml:space="preserve">presentado en la Universidad Bicentenaria de Aragua para optar al título de magister en Gerencia, mención Finanzas. </w:t>
      </w:r>
      <w:r>
        <w:rPr/>
        <w:t xml:space="preserve"> La investigación tuvo como finalidad evaluar el impacto de la reconversión monetaria en la economía de Venezuela. La metodología aplicada fue la de una investigación documental apoyada en una investigación evaluativa de impacto. Los resultados de la aplicación de la metodología, la cual consistió en una investigación evaluativa permitieron medir el impacto en el mediano plazo de una medida tan importante como la tomada por el Estado venezolano en la búsqueda del equilibrio financiero del país. Las teorías de entrada dieron el fundamento filosófico a la investigación, entre las que se pueden mencionar: Teoría de las Finanzas, Teoría del Dinero, Teoría Monetaria, Teoría del Riesgo,  así como los temas que sustentan el trabajo y que se encuentran estrechamente relacionados con los objetivos planteados. </w:t>
      </w:r>
    </w:p>
    <w:p>
      <w:pPr>
        <w:pStyle w:val="style0"/>
      </w:pPr>
      <w:r>
        <w:rPr/>
      </w:r>
    </w:p>
    <w:p>
      <w:pPr>
        <w:pStyle w:val="style0"/>
      </w:pPr>
      <w:r>
        <w:rPr/>
        <w:t xml:space="preserve">En tal sentido, el análisis crítico de la revisión documental con su respectivo análisis de contenido permiten concluir que en la medida que la economía fue demandando la introducción de billetes de mayor denominación, se fue complicando la comprensión, uso y manejo del dinero nacional; por esta razón se hacía necesario en cualquier momento enfrentar esta situación a través de una reconversión monetaria como la implementada en el país. </w:t>
      </w:r>
    </w:p>
    <w:p>
      <w:pPr>
        <w:pStyle w:val="style0"/>
      </w:pPr>
      <w:r>
        <w:rPr/>
      </w:r>
    </w:p>
    <w:p>
      <w:pPr>
        <w:pStyle w:val="style0"/>
      </w:pPr>
      <w:r>
        <w:rPr/>
        <w:t>La reconversión monetaria está acompañada de un conjunto de políticas económicas básicamente dirigidas a profundizar y a sostener el crecimiento económico, en un contexto donde las presiones inflacionarias tienden a reducirse paulatinamente. Se deben perfeccionar los mecanismos de intermediación, en el mercado de capitales, para que contribuya al financiamiento, a la actividad productiva creándose una cultura de ahorro. Lo mismo en el sector financiero, el cual hay que visualizarlo como un mecanismo de intermediación que favorezca al desarrollo de todos los sectores de las finanzas tanto públicas como privadas.</w:t>
      </w:r>
    </w:p>
    <w:p>
      <w:pPr>
        <w:pStyle w:val="style0"/>
        <w:ind w:hanging="0" w:left="0" w:right="0"/>
      </w:pPr>
      <w:r>
        <w:rPr/>
      </w:r>
    </w:p>
    <w:p>
      <w:pPr>
        <w:pStyle w:val="style0"/>
      </w:pPr>
      <w:r>
        <w:rPr/>
        <w:t>En relación al aporte, la investigación realizada por este autor es de gran importancia y guarda estrecha relación con la presente investigación por cuanto en ambos se está en presencia de diferentes variables que inciden en el proceso financiero y dichos aportes pueden ser base de partida para la consecución de los objetivos planteados.</w:t>
      </w:r>
    </w:p>
    <w:p>
      <w:pPr>
        <w:pStyle w:val="style0"/>
        <w:ind w:hanging="0" w:left="0" w:right="0"/>
      </w:pPr>
      <w:r>
        <w:rPr/>
      </w:r>
    </w:p>
    <w:p>
      <w:pPr>
        <w:pStyle w:val="style0"/>
        <w:widowControl w:val="false"/>
        <w:ind w:firstLine="680" w:left="0" w:right="0"/>
      </w:pPr>
      <w:r>
        <w:rPr>
          <w:lang w:val="es-VE"/>
        </w:rPr>
        <w:t xml:space="preserve">El autor Centeno, (2010), desarrollo un trabajo titulado: </w:t>
      </w:r>
      <w:r>
        <w:rPr>
          <w:b/>
        </w:rPr>
        <w:t>Modelo de planificación financiera como herramienta para mejorar el funcionamiento de las empresas del sector construcción ubicadas en el Municipio Girardot del Estado Aragua</w:t>
      </w:r>
      <w:r>
        <w:rPr/>
        <w:t>, el</w:t>
      </w:r>
      <w:r>
        <w:rPr>
          <w:bCs/>
        </w:rPr>
        <w:t xml:space="preserve"> cual fue presentado ante la Universidad de Carabobo, Núcleo Aragua para optar al título de Magister en Gerencia, mención Finanzas y tuvo</w:t>
      </w:r>
      <w:r>
        <w:rPr>
          <w:b/>
          <w:bCs/>
        </w:rPr>
        <w:t xml:space="preserve"> </w:t>
      </w:r>
      <w:r>
        <w:rPr/>
        <w:t xml:space="preserve">como objetivo proponer un Modelo de planificación financiera como herramienta para mejorar el funcionamiento de las empresas del sector construcción ubicadas en el Municipio Girardot del Estado Aragua, en función de solventar las fallas y deficiencias en el ámbito de la gestión financiera de las organizaciones del área objeto de estudio. La problemática objeto de estudio se </w:t>
      </w:r>
      <w:r>
        <w:rPr>
          <w:color w:val="000000"/>
        </w:rPr>
        <w:t xml:space="preserve">la cual se delimita en la falta de definición de los procesos relacionados con la toma de decisiones para la distribución de los flujos de caja y efectivo de las organizaciones así como la necesidad de fortalecer la coordinación entre los departamentos del área financiera. </w:t>
      </w:r>
    </w:p>
    <w:p>
      <w:pPr>
        <w:pStyle w:val="style0"/>
      </w:pPr>
      <w:r>
        <w:rPr/>
      </w:r>
    </w:p>
    <w:p>
      <w:pPr>
        <w:pStyle w:val="style0"/>
      </w:pPr>
      <w:r>
        <w:rPr/>
        <w:t xml:space="preserve">La metodología de la investigación permitió ubicar el estudio bajo la modalidad de proyecto factible con sustento en una investigación de campo y una revisión bibliográfica y documental, a través de las cuales se obtuvo la información necesaria para desarrollar el diagnóstico y sustentar la investigación mediante las Teorías de Entrada. Las conclusiones se centraron en que la gestión financiera de las empresas del sector construcción reflejan  debilidades operativas, debido al desconocimiento de las herramientas y fundamentos de las finanzas por parte de los gerentes de dichas organizaciones, razón por la cual se recomienda la capacitación y la formación de dicho personal en torno a la gestión financiera como tal y su aplicabilidad para las empresas del sector objeto de estudio.  </w:t>
      </w:r>
    </w:p>
    <w:p>
      <w:pPr>
        <w:pStyle w:val="style0"/>
      </w:pPr>
      <w:r>
        <w:rPr/>
      </w:r>
    </w:p>
    <w:p>
      <w:pPr>
        <w:pStyle w:val="style0"/>
      </w:pPr>
      <w:r>
        <w:rPr/>
        <w:t>El trabajo de Centeno (2010) se consideró como antecedente debido a que se relaciona con el estudio a desarrollar, ya que contempla uno de los elementos de la investigación, representado por la planificación financiera que se requiere para garantizar las metas económicas del análisis de riesgo de créditos al consumo en base a indicadores de gestión como herramienta de control en la banca privada..</w:t>
      </w:r>
    </w:p>
    <w:p>
      <w:pPr>
        <w:pStyle w:val="style0"/>
        <w:ind w:hanging="0" w:left="0" w:right="0"/>
      </w:pPr>
      <w:r>
        <w:rPr>
          <w:lang w:val="es-VE"/>
        </w:rPr>
      </w:r>
    </w:p>
    <w:p>
      <w:pPr>
        <w:pStyle w:val="style0"/>
      </w:pPr>
      <w:r>
        <w:rPr/>
        <w:t xml:space="preserve">De igual manera, Machado (2010) desarrolló: </w:t>
      </w:r>
      <w:r>
        <w:rPr>
          <w:b/>
        </w:rPr>
        <w:t>Sistema de planificación financiera para las empresas del sector manufacturero del plástico en el Estado Aragua</w:t>
      </w:r>
      <w:r>
        <w:rPr/>
        <w:t xml:space="preserve">, el cual tuvo como objetivo diseñar un Sistema de Planificación Financiera para empresas del sector manufacturero del plástico en el Estado Aragua, mediante el cual se pretende solventar las deficiencias de dicho sector, donde se observa que las principales limitantes se relacionan con el manejo de las finanzas y los riesgos e incertidumbre propios del sistema económico venezolano, caracterizado por el control de cambios, las políticas fiscales y las restricciones de acceso a las materias primas, sobre todo en el caso de los polímeros y otros componentes que son dispuestos para la producción de vasos, platos, utensilios y envases  desechables, así como los componentes y materias primas para elaborar los productos descartables; los cuales, en su mayoría son importados y de alto costo en el mercado internacional, debido a la alta demanda de los mismos. En el contexto teórico se desarrollaron las teorías de finanzas, de sistemas y contingencial y dentro de los aspectos conceptuales la planificación financiera. </w:t>
      </w:r>
    </w:p>
    <w:p>
      <w:pPr>
        <w:pStyle w:val="style0"/>
      </w:pPr>
      <w:r>
        <w:rPr/>
      </w:r>
    </w:p>
    <w:p>
      <w:pPr>
        <w:pStyle w:val="style0"/>
      </w:pPr>
      <w:r>
        <w:rPr/>
        <w:t>La metodología se desarrolló en la modalidad de proyecto factible, con base en una investigación de campo de tipo descriptiva y en la investigación documental. Para la recolección de información se utilizó la técnica de la encuesta con la aplicación de una escala de estimación dicotómica. La realización del trabajo permitió concluir que existe una marcada carencia de pautas para el desarrollo de la gestión financiera de las empresas, sin las cuales la misma no tendrá un sentido lógico en el desarrollo de sus procesos a nivel productivo. La autora recomienda generar mecanismos de planificación financiera que permitan hacer un uso racional de los recursos y establecer las pautas necesarias con miras a desarrollar una gestión financiera óptima, apegados a un proyecto estructurado eficiente.</w:t>
      </w:r>
    </w:p>
    <w:p>
      <w:pPr>
        <w:pStyle w:val="style0"/>
        <w:widowControl w:val="false"/>
        <w:spacing w:line="100" w:lineRule="atLeast"/>
        <w:ind w:hanging="0" w:left="0" w:right="0"/>
      </w:pPr>
      <w:r>
        <w:rPr>
          <w:b/>
        </w:rPr>
      </w:r>
    </w:p>
    <w:p>
      <w:pPr>
        <w:pStyle w:val="style0"/>
      </w:pPr>
      <w:r>
        <w:rPr/>
        <w:t>Este trabajo se relaciona con la investigación a desarrollar en el sentido que plantea lo relacionado con el enfoque de sistemas en el área financiera, aspecto que puede ser considerado de importancia para sustentar lo concerniente al análisis de riesgo de créditos al consumo en base a indicadores de gestión como herramienta de control en la banca privada.</w:t>
      </w:r>
    </w:p>
    <w:p>
      <w:pPr>
        <w:pStyle w:val="style0"/>
      </w:pPr>
      <w:r>
        <w:rPr>
          <w:bCs/>
        </w:rPr>
      </w:r>
    </w:p>
    <w:p>
      <w:pPr>
        <w:pStyle w:val="style0"/>
      </w:pPr>
      <w:r>
        <w:rPr/>
        <w:t xml:space="preserve">Por su parte, Suárez, (2009), desarrolló su Trabajo Especial de Grado titulado: </w:t>
      </w:r>
      <w:r>
        <w:rPr>
          <w:b/>
        </w:rPr>
        <w:t xml:space="preserve">Lineamientos Estratégicos para la optimización del Sistema de Planeación Financiera de la empresa Bridgestone Firestone, </w:t>
      </w:r>
      <w:r>
        <w:rPr/>
        <w:t xml:space="preserve">presentado ante la Universidad de Carabobo para optar al título Magister en Gerencia, realizó una investigación enmarcada bajo la modalidad de proyecto factible con base en una investigación de campo de carácter descriptiva, con una población y muestra de dieciocho (18) personas  del área de Administración y Finanzas, a los cuales se les aplicó una entrevista estructurada mediante la técnica de la encuesta, en la cual se concluyó que en la empresa existen deficiencias en la planeación financiera, lo cual incide directamente en la proyección de la empresa a corto, mediano y largo plazo, dado que se compromete el origen y aplicación de fondos en actividades que no poseen la relevancia estratégica para la organización como tal. </w:t>
      </w:r>
    </w:p>
    <w:p>
      <w:pPr>
        <w:pStyle w:val="style0"/>
      </w:pPr>
      <w:r>
        <w:rPr/>
        <w:t>El trabajo antes reseñado aporta información significativa sobre los mecanismos de planeación financiera, como unidad temática del presente estudio y, a su vez, sirve de referencia en el enfoque sistémico de la investigación, debido a que este trabajo se fundamenta en la planeación financiera como herramienta para facilitar el desarrollo de planes operativos, proyecciones y pronósticos que le permitan a las organizaciones del sector privado mejorar sus procesos de gestión comercial administrativa y financiera a través de la implementación de un programa sistematizado con una base de datos actualizada para así mejorar su sustentabilidad en el mercado, como objeto de estudio para el logro de sus metas y objetivos.</w:t>
      </w:r>
    </w:p>
    <w:p>
      <w:pPr>
        <w:pStyle w:val="style0"/>
      </w:pPr>
      <w:r>
        <w:rPr/>
      </w:r>
    </w:p>
    <w:p>
      <w:pPr>
        <w:pStyle w:val="style0"/>
      </w:pPr>
      <w:r>
        <w:rPr/>
        <w:t xml:space="preserve">Por su parte, la autora Gómez (2008) llevo a cabo un estudio para proponer un </w:t>
      </w:r>
      <w:r>
        <w:rPr>
          <w:b/>
        </w:rPr>
        <w:t>Modelo de pautas y estrategias que permita a la Pequeña y Mediana Empresa del sector manufacturero de Valencia, adquirir un conocimiento detallado de los distintos instrumentos que ofrece el mercado financiero a través de la bolsa de valores, bancos, empresas y gobierno</w:t>
      </w:r>
      <w:r>
        <w:rPr/>
        <w:t>. La investigación fue presentada en la Universidad de Carabobo para optar al título de Magister en Administración de Empresas, mención Finanzas.</w:t>
      </w:r>
    </w:p>
    <w:p>
      <w:pPr>
        <w:pStyle w:val="style0"/>
      </w:pPr>
      <w:r>
        <w:rPr/>
      </w:r>
    </w:p>
    <w:p>
      <w:pPr>
        <w:pStyle w:val="style0"/>
      </w:pPr>
      <w:r>
        <w:rPr/>
        <w:t>Es una Investigación documental y de campo y sus objetivos son de tipo descriptivo. Mediante esta investigación se logró un diagnóstico sobre la PYME del Sector manufacturero de Valencia en cuanto al conocimiento y uso de los distintos instrumentos financieros que ofrece el mercado financiero y el diseño de un modelo de pautas y estrategias que permita a esta PYME, adquirir un conocimiento detallado de los distintos instrumentos que ofrece el mercado financiero; para así desarrollar su capacidad de inversión y generación de efectivo mediante el uso de fuentes alternativas bajo una visión clara del costo- beneficio. Se aplicó una metodología que permitió caracterizar cada unos de los distintos instrumentos financieros, establecer tendencias en cuanto a uso de los distintos instrumentos por parte de la PYME del sector manufacturo, posteriormente, diseñar el modelo a proponer.</w:t>
      </w:r>
    </w:p>
    <w:p>
      <w:pPr>
        <w:pStyle w:val="style0"/>
      </w:pPr>
      <w:r>
        <w:rPr/>
      </w:r>
    </w:p>
    <w:p>
      <w:pPr>
        <w:pStyle w:val="style0"/>
      </w:pPr>
      <w:r>
        <w:rPr/>
        <w:t>Este estudio se relaciona con la presente investigación debido a que aborda lo relacionado con las distintas opciones de financiamiento que posee la PYME para sus proyectos de inversión, destacándose información relacionada con los índices de capitalización de las entidades bancarias y la evaluación sistemática de su comportamiento financiero para la toma de decisiones sobre obtención de financiamientos, como es el caso de las tarjetas de crédito de la banca.</w:t>
      </w:r>
    </w:p>
    <w:p>
      <w:pPr>
        <w:pStyle w:val="style0"/>
      </w:pPr>
      <w:r>
        <w:rPr/>
      </w:r>
    </w:p>
    <w:p>
      <w:pPr>
        <w:pStyle w:val="style3"/>
        <w:numPr>
          <w:ilvl w:val="2"/>
          <w:numId w:val="1"/>
        </w:numPr>
      </w:pPr>
      <w:bookmarkStart w:id="45" w:name="__RefHeading__4964_1544206207"/>
      <w:bookmarkStart w:id="46" w:name="_Toc432059691"/>
      <w:bookmarkEnd w:id="45"/>
      <w:bookmarkEnd w:id="46"/>
      <w:r>
        <w:rPr/>
        <w:t>Bases Teóricas</w:t>
      </w:r>
    </w:p>
    <w:p>
      <w:pPr>
        <w:pStyle w:val="style0"/>
      </w:pPr>
      <w:r>
        <w:rPr>
          <w:rFonts w:ascii="Arial" w:cs="Arial" w:hAnsi="Arial"/>
          <w:b/>
        </w:rPr>
      </w:r>
    </w:p>
    <w:p>
      <w:pPr>
        <w:pStyle w:val="style0"/>
      </w:pPr>
      <w:r>
        <w:rPr/>
        <w:t>Al respecto de las Bases Teóricas, Balestrini, (2002) señala que “una vez que se ha reducido el problema a términos precisos y explícitos; (…), es necesario situar el marco de referencia teórica que orienta el estudio en todos sus aspectos” (p.90). En tal sentido, las bases teóricas representan el punto de partida para conformar el marco de referencias de la investigación, lo cual facilita la comprensión del estudio y facilitan la fundamentación de los análisis  a desarrollar. Bajo este escenario, la presente investigación se fundamentará con las siguientes teorías:</w:t>
      </w:r>
    </w:p>
    <w:p>
      <w:pPr>
        <w:pStyle w:val="style0"/>
        <w:ind w:hanging="0" w:left="0" w:right="0"/>
        <w:jc w:val="center"/>
      </w:pPr>
      <w:r>
        <w:rPr>
          <w:b/>
        </w:rPr>
      </w:r>
    </w:p>
    <w:p>
      <w:pPr>
        <w:pStyle w:val="style0"/>
        <w:ind w:hanging="0" w:left="0" w:right="0"/>
        <w:jc w:val="center"/>
      </w:pPr>
      <w:r>
        <w:rPr>
          <w:b/>
        </w:rPr>
        <w:t>Teoría del dinero</w:t>
      </w:r>
    </w:p>
    <w:p>
      <w:pPr>
        <w:pStyle w:val="style0"/>
        <w:ind w:firstLine="708" w:left="0" w:right="0"/>
      </w:pPr>
      <w:r>
        <w:rPr/>
      </w:r>
    </w:p>
    <w:p>
      <w:pPr>
        <w:pStyle w:val="style0"/>
        <w:ind w:firstLine="708" w:left="0" w:right="0"/>
      </w:pPr>
      <w:r>
        <w:rPr/>
        <w:t>Para Marx, en sus</w:t>
      </w:r>
      <w:r>
        <w:rPr>
          <w:iCs/>
        </w:rPr>
        <w:t xml:space="preserve"> Manuscritos económicos y filosóficos</w:t>
      </w:r>
      <w:r>
        <w:rPr/>
        <w:t xml:space="preserve"> (1844, publicado póstumamente en 1932), citado por Stoner y Wankel, (2006): “El punto más importante a destacar de la teoría del dinero es la idea de que el dinero es una forma de valor (p.390). La dificultad con esta idea es que estamos más familiarizados con el dinero mismo que con cualquier otra forma de valor. Pero el valor aparece en otras formas más que el dinero. </w:t>
      </w:r>
    </w:p>
    <w:p>
      <w:pPr>
        <w:pStyle w:val="style0"/>
        <w:ind w:firstLine="708" w:left="0" w:right="0"/>
      </w:pPr>
      <w:r>
        <w:rPr/>
        <w:t>Por ejemplo, la hoja de balances de una empresa capitalista estima que el valor de bienes en proceso y el capital que aún no ha sido depreciado, así como también el valor de los inventarios de productos terminados esperado la venta. Cada uno de estos equivalentes en productos tiene un valor, generalmente expresado como el equivalente a cierta cantidad de dinero, pero es claro ni los bienes de capital ni el capital fijo es dinero. Marx ve el valor de las mercancías en este sentido antes de ver el mito del dinero; el dinero puede explicarse de acuerdo a Marx sólo sobre las bases de una comprensión del valor de las mercancías.</w:t>
      </w:r>
    </w:p>
    <w:p>
      <w:pPr>
        <w:pStyle w:val="style0"/>
        <w:ind w:firstLine="708" w:left="0" w:right="0"/>
      </w:pPr>
      <w:r>
        <w:rPr/>
      </w:r>
    </w:p>
    <w:p>
      <w:pPr>
        <w:pStyle w:val="style0"/>
        <w:ind w:firstLine="708" w:left="0" w:right="0"/>
      </w:pPr>
      <w:r>
        <w:rPr/>
        <w:t>Marx sigue a Smith en ver al valor como una propiedad de intercambio de las mercancías. En una sociedad en donde rige el intercambio, los productos vienen a tener un doble carácter dado que se utilizan como valores de uso y valores. Tienen dos poderes: primero, satisfacer las necesidades humanas; y segundo, ser intercambiados por otros productos. Este segundo poder puede ser pensado cuantitativamente, como una cantidad de intercambio o de comando sobre otros productos. Los economistas clásicos vieron al valor como un valor real, aunque determinado socialmente, con sus propias leyes de conservación y movimiento. El valor en este sentido tiene la misma relación con las mercancías que con los objetos físicos. No es de sorprenderse que en las sociedades en donde el intercambio se generalizó en el valor de una firma independiente al dinero, como una expresión general de intercambio.</w:t>
      </w:r>
    </w:p>
    <w:p>
      <w:pPr>
        <w:pStyle w:val="style0"/>
        <w:ind w:firstLine="708" w:left="0" w:right="0"/>
      </w:pPr>
      <w:r>
        <w:rPr/>
      </w:r>
    </w:p>
    <w:p>
      <w:pPr>
        <w:pStyle w:val="style0"/>
        <w:ind w:firstLine="708" w:left="0" w:right="0"/>
      </w:pPr>
      <w:r>
        <w:rPr/>
        <w:t xml:space="preserve">Los mercantilistas del siglo XVII-XVIII sostenían que la riqueza de un país dependía de la cantidad de oro que poseía el país. Los clásicos creían que tanto el volumen de las transacciones que se realizan en la economía, como la velocidad de circulación del dinero dependían de aspectos tecnológicos e institucionales, lo cual hacia suponer que los valores de equilibrio de ambas variables eran relativamente constantes. </w:t>
      </w:r>
    </w:p>
    <w:p>
      <w:pPr>
        <w:pStyle w:val="style0"/>
        <w:ind w:firstLine="708" w:left="0" w:right="0"/>
      </w:pPr>
      <w:r>
        <w:rPr/>
        <w:t>Por su parte Marx, (1877), citado por Stoner y Wankel, (2006), aun cuando no desarrolla una teoría de la demanda de dinero como tal, explica en el dinamismo de la economía capitalista una función del dinero que califica de atesoramiento y otra de medio de pago en el proceso de circulación. En su función de atesoramiento; dice: "en cuanto comienza a desarrollarse la circulación de mercancías, comienza a desarrollarse también la necesidad y la pasión de retener el producto de la primera metamorfosis, la forma trasfigurada de la mercancía, o sea su crisálida dinero” (p.231)</w:t>
      </w:r>
    </w:p>
    <w:p>
      <w:pPr>
        <w:pStyle w:val="style0"/>
        <w:ind w:firstLine="708" w:left="0" w:right="0"/>
      </w:pPr>
      <w:r>
        <w:rPr/>
        <w:t xml:space="preserve"> </w:t>
      </w:r>
    </w:p>
    <w:p>
      <w:pPr>
        <w:pStyle w:val="style0"/>
        <w:ind w:firstLine="708" w:left="0" w:right="0"/>
      </w:pPr>
      <w:r>
        <w:rPr/>
        <w:t>Ahora, las mercancías se venden, no para comprar con su producto otras, sino para sustituir la forma mercancía por la forma dinero. De simple agente mediador del metabolismo, este cambio de forma se convierte en fin supremo. La forma enajenada de la mercancía tropieza con un obstáculo que le impide funcionar como su forma absolutamente enajenable, como su forma dinero, llamada constantemente a desaparecer. El dinero se petrifica, convirtiéndose en tesoro, y el vendedor de mercancías en atesorador.</w:t>
      </w:r>
    </w:p>
    <w:p>
      <w:pPr>
        <w:pStyle w:val="style0"/>
        <w:ind w:firstLine="708" w:left="0" w:right="0"/>
      </w:pPr>
      <w:r>
        <w:rPr/>
      </w:r>
    </w:p>
    <w:p>
      <w:pPr>
        <w:pStyle w:val="style0"/>
        <w:ind w:firstLine="708" w:left="0" w:right="0"/>
      </w:pPr>
      <w:r>
        <w:rPr/>
        <w:t>Para Ricoeur (1999) “El valor es una realidad central de la sociedad para la gente, piensan constantemente y hablan sobre el directamente o indirectamente, quieren alguna forma para transferirlo directamente entre ellos, separado de las mercancías particulares” (p.90). Así, una tasa de interés tiene que ver con el dinero pero no con el valor. Con las hipotecas sucede lo mismo.</w:t>
      </w:r>
    </w:p>
    <w:p>
      <w:pPr>
        <w:pStyle w:val="style0"/>
        <w:ind w:firstLine="708" w:left="0" w:right="0"/>
      </w:pPr>
      <w:r>
        <w:rPr/>
      </w:r>
    </w:p>
    <w:p>
      <w:pPr>
        <w:pStyle w:val="style0"/>
        <w:ind w:firstLine="708" w:left="0" w:right="0"/>
      </w:pPr>
      <w:r>
        <w:rPr/>
        <w:t>Esto es lo que se llama dinero, la expresión social del valor separada de las particularidades concretas de cualquier uso del valor. Con esta emergencia del dinero como la expresión social del valor, el dinero está, al contrario de las mercancías, como lo abstracto siempre lo está opuesto al particular. Se puede ver al valor en dos formas: como mercancías particulares o como dinero. Es importante reconocer que este desarrollo está latente en la forma de satisfacción de necesidades misma. El valor como relaciones de mercancías está bien desarrollado, por lo que el intercambio de productos es común y la gente está forzada a reconocer el valor de los productos separados de sus valores de uso, en donde también estará presente el dinero en forma de valor. No hay razón para pensar que la mercancía emerge antes que la forma de dinero</w:t>
      </w:r>
    </w:p>
    <w:p>
      <w:pPr>
        <w:pStyle w:val="style0"/>
        <w:ind w:firstLine="708" w:left="0" w:right="0"/>
      </w:pPr>
      <w:r>
        <w:rPr/>
      </w:r>
    </w:p>
    <w:p>
      <w:pPr>
        <w:pStyle w:val="style0"/>
        <w:ind w:firstLine="708" w:left="0" w:right="0"/>
      </w:pPr>
      <w:r>
        <w:rPr/>
        <w:t>Por otro lado, se tiene que el dinero es un medio de cambio y medida de valor en el pago de bienes y /o servicios, o como descargo de deudas y obligaciones. Por su aspecto externo puede ser moneda cuando es de metal, o billete cuando es de papel. Tiene cinco funciones; como medida del valor, medio de circulación, medio de acumulación o de atesoramiento, medio de pago y dinero mundial.</w:t>
      </w:r>
    </w:p>
    <w:p>
      <w:pPr>
        <w:pStyle w:val="style0"/>
        <w:ind w:firstLine="708" w:left="0" w:right="0"/>
      </w:pPr>
      <w:r>
        <w:rPr/>
      </w:r>
    </w:p>
    <w:p>
      <w:pPr>
        <w:pStyle w:val="style0"/>
        <w:ind w:firstLine="708" w:left="0" w:right="0"/>
      </w:pPr>
      <w:r>
        <w:rPr/>
        <w:t>Es difícil pensar que hubo una época en que no existía el dinero. Lo cierto es que hace miles de años nadie lo usaba. Para obtener los bienes que necesitaban, la gente de la antigüedad empleaba el trueque, es decir, cambiaban una cosa por otra. Esta forma de intercambio no siempre funcionaba bien, pues era necesario que cada persona poseyera algo que le interesara al otro. Aunque el trueque continúa usándose, la economía en la actualidad es principalmente monetaria.</w:t>
      </w:r>
    </w:p>
    <w:p>
      <w:pPr>
        <w:pStyle w:val="style0"/>
        <w:ind w:firstLine="708" w:left="0" w:right="0"/>
      </w:pPr>
      <w:r>
        <w:rPr/>
      </w:r>
    </w:p>
    <w:p>
      <w:pPr>
        <w:pStyle w:val="style0"/>
        <w:ind w:firstLine="708" w:left="0" w:right="0"/>
      </w:pPr>
      <w:r>
        <w:rPr/>
        <w:t>El historiador griego Herodoto (484 y el 425 a. C), citado por Ricoeur (1999). Les atribuye la invención del dinero a los lidios, un pueblo del Asia Menor, que circuló monedas hechas de una aleación de oro y plata. Mucho antes que ellos, en las distintas culturas del mundo ya se usaba una gran variedad de objetos como dinero: conchas de cauri en la India, arroz en China, discos de piedra caliza en la isla de Yap en el Pacífico, además de semillas, caracoles y herramientas en miniatura, entre muchas otras.</w:t>
      </w:r>
    </w:p>
    <w:p>
      <w:pPr>
        <w:pStyle w:val="style0"/>
        <w:ind w:firstLine="708" w:left="0" w:right="0"/>
      </w:pPr>
      <w:r>
        <w:rPr/>
      </w:r>
    </w:p>
    <w:p>
      <w:pPr>
        <w:pStyle w:val="style0"/>
        <w:ind w:firstLine="708" w:left="0" w:right="0"/>
      </w:pPr>
      <w:r>
        <w:rPr/>
        <w:t>Con el fin de facilitar el comercio, la gente comenzó a usar monedas hechas de metales valiosos para pagar por los bienes y servicios que necesitaban. Y fueron los chinos, que inventaron el papel y la tipografía, los primeros en usar el papel moneda, en el siglo IX. El valor de éste era garantizado por el oro y la plata del gobierno chino, con la gran ventaja de no ser tan pesado como las monedas.</w:t>
      </w:r>
    </w:p>
    <w:p>
      <w:pPr>
        <w:pStyle w:val="style0"/>
        <w:ind w:firstLine="708" w:left="0" w:right="0"/>
      </w:pPr>
      <w:r>
        <w:rPr/>
      </w:r>
    </w:p>
    <w:p>
      <w:pPr>
        <w:pStyle w:val="style0"/>
        <w:ind w:firstLine="708" w:left="0" w:right="0"/>
      </w:pPr>
      <w:r>
        <w:rPr/>
        <w:t>El papel moneda apareció en Europa durante el siglo XVI y su valor dependía de los depósitos en oro que poseía cada país. En el presente, la mayoría de los países tienen su propio sistema monetario e imprimen su propio dinero, que por estar hecho de papel tiene muy poco valor por si mismo. Los billetes de papel representan un valor monetario decretado por el gobierno de cada país. Los subjetivistas definen el dinero como todas aquellas cosas que son aceptadas en forma general a cambio de bienes y servicios. Los marxistas consideran el dinero como una mercancía que es equivalente general de todas las mercancías y que desempeñan varias funciones derivadas de su carácter de mercancía.</w:t>
      </w:r>
    </w:p>
    <w:p>
      <w:pPr>
        <w:pStyle w:val="style0"/>
        <w:ind w:firstLine="708" w:left="0" w:right="0"/>
      </w:pPr>
      <w:r>
        <w:rPr/>
      </w:r>
    </w:p>
    <w:p>
      <w:pPr>
        <w:pStyle w:val="style0"/>
      </w:pPr>
      <w:r>
        <w:rPr>
          <w:b/>
        </w:rPr>
        <w:t>El dinero como medio de cambio y circulación</w:t>
      </w:r>
    </w:p>
    <w:p>
      <w:pPr>
        <w:pStyle w:val="style0"/>
      </w:pPr>
      <w:r>
        <w:rPr>
          <w:b/>
        </w:rPr>
      </w:r>
    </w:p>
    <w:p>
      <w:pPr>
        <w:pStyle w:val="style0"/>
        <w:ind w:firstLine="708" w:left="0" w:right="0"/>
      </w:pPr>
      <w:r>
        <w:rPr/>
        <w:t>Al respecto de este tema, el autor Ricoeur (1999) plantea que:</w:t>
      </w:r>
    </w:p>
    <w:p>
      <w:pPr>
        <w:pStyle w:val="style0"/>
        <w:ind w:firstLine="708" w:left="0" w:right="0"/>
      </w:pPr>
      <w:r>
        <w:rPr/>
      </w:r>
    </w:p>
    <w:p>
      <w:pPr>
        <w:pStyle w:val="style80"/>
      </w:pPr>
      <w:r>
        <w:rPr/>
        <w:t>La existencia de dinero real permite el intercambio de mercancías , es decir, facilita el proceso de cambio, debido a que existe equivalente y que las mercancías tienen un precio. Lo que realmente se intercambia son los trabajos de los diferentes productores materializados en las mercancías. El dinero en efectivo sirve como intermediario en el proceso de circulación de las mercancías, antes de cambiar una mercancía por otra aparece el dinero que cumple esta función en forma momentánea, ya que una vez realizado el cambio de una mercancía interviene en el cambio de otra. (p.44)</w:t>
      </w:r>
    </w:p>
    <w:p>
      <w:pPr>
        <w:pStyle w:val="style0"/>
      </w:pPr>
      <w:r>
        <w:rPr>
          <w:b/>
        </w:rPr>
      </w:r>
    </w:p>
    <w:p>
      <w:pPr>
        <w:pStyle w:val="style0"/>
        <w:pageBreakBefore/>
      </w:pPr>
      <w:r>
        <w:rPr>
          <w:b/>
        </w:rPr>
        <w:t>Medio de atesoramiento y acumulación</w:t>
      </w:r>
    </w:p>
    <w:p>
      <w:pPr>
        <w:pStyle w:val="style0"/>
      </w:pPr>
      <w:r>
        <w:rPr/>
      </w:r>
    </w:p>
    <w:p>
      <w:pPr>
        <w:pStyle w:val="style0"/>
        <w:ind w:firstLine="708" w:left="0" w:right="0"/>
      </w:pPr>
      <w:r>
        <w:rPr/>
        <w:t>El dinero, al ser equivalente general de todas las demás mercancías , puede ser guardado o atesorado en un momento dado, ya que representa la riqueza de la sociedad y con el se puede comprar cualquier mercancía.</w:t>
      </w:r>
    </w:p>
    <w:p>
      <w:pPr>
        <w:pStyle w:val="style0"/>
        <w:ind w:firstLine="708" w:left="0" w:right="0"/>
      </w:pPr>
      <w:r>
        <w:rPr/>
      </w:r>
    </w:p>
    <w:p>
      <w:pPr>
        <w:pStyle w:val="style0"/>
        <w:ind w:firstLine="708" w:left="0" w:right="0"/>
      </w:pPr>
      <w:r>
        <w:rPr/>
        <w:t xml:space="preserve">En tal sentido, Ricoeur (1999) expone que: </w:t>
      </w:r>
    </w:p>
    <w:p>
      <w:pPr>
        <w:pStyle w:val="style0"/>
        <w:ind w:firstLine="708" w:left="0" w:right="0"/>
      </w:pPr>
      <w:r>
        <w:rPr/>
      </w:r>
    </w:p>
    <w:p>
      <w:pPr>
        <w:pStyle w:val="style80"/>
      </w:pPr>
      <w:r>
        <w:rPr/>
        <w:t>La gente puede gradar la cantidad de dinero que pueda y desee, lo cual representa una interrupción momentánea del proceso de circulación que pueda como; el dinero como instrumento de pago ayudó al desarrollo del dinero crédito que se manifiesta en varias formas: letras de cambio, certificados de depósito, billete blanco, cheques, etc. la cuales pueden transferirse a otras personas. Esto es debido a la función del dinero como medio de pago, solamente es necesario saldar las diferencias entre las cuentas lo cual reduce el uso de dinero o lo vuelve menos necesario. (p.45)</w:t>
      </w:r>
    </w:p>
    <w:p>
      <w:pPr>
        <w:pStyle w:val="style0"/>
        <w:ind w:firstLine="708" w:left="0" w:right="0"/>
      </w:pPr>
      <w:r>
        <w:rPr/>
      </w:r>
    </w:p>
    <w:p>
      <w:pPr>
        <w:pStyle w:val="style0"/>
        <w:ind w:firstLine="708" w:left="0" w:right="0"/>
      </w:pPr>
      <w:r>
        <w:rPr/>
        <w:t>De manera tal que el dinero también actúa como dinero mundial en el sistema de pagos de los países que realizan transacciones monetarias. Básicamente a nivel mundial el dinero se encuentra representado por los metales preciosos oro y plata, en forma de lingotes o barras, aunque no todos los sistemas monetarios tengan su base en oro, tiene cierta equivalencia con él. Las transacciones económicas entre los países del mundo hacen necesario a la existencia del dinero mundial que actúa en el sistema monetario mundial y que ayuda a la compra de mercancías y servicios de un país a otro, el pago de mercancías y servicios entre los países.</w:t>
      </w:r>
    </w:p>
    <w:p>
      <w:pPr>
        <w:pStyle w:val="style0"/>
        <w:ind w:firstLine="708" w:left="0" w:right="0"/>
      </w:pPr>
      <w:r>
        <w:rPr/>
      </w:r>
    </w:p>
    <w:p>
      <w:pPr>
        <w:pStyle w:val="style0"/>
        <w:ind w:firstLine="708" w:left="0" w:right="0"/>
      </w:pPr>
      <w:r>
        <w:rPr/>
        <w:t>Para el Banco Central de Venezuela (2009); los movimientos de las divisas (monedas de los diferentes países) se ven reflejados en la balanza de pagos de su país. Cuando el saldo de la balanza es negativo, quiere decir que salen más divisas de las que entran. Si el saldo de la balanza es positivo, la entrada de divisas es mayor que la salida. Es necesario que cada país cuente con un fondo monetario o reserva que le permita cumplir no sólo sus necesidades de dinero interno o nacional, sino la función de dinero mundial. Este fondo debe ser suficiente para cumplir con las funciones de una economía capitalista donde todo se intercambia por dinero, pero no debe rebasar ciertos límites que le ocasionarían problemas con la inflación, devaluación, pérdida del poder adquisitivo, entre otros.</w:t>
      </w:r>
    </w:p>
    <w:p>
      <w:pPr>
        <w:pStyle w:val="style0"/>
        <w:ind w:firstLine="708" w:left="0" w:right="0"/>
      </w:pPr>
      <w:r>
        <w:rPr/>
      </w:r>
    </w:p>
    <w:p>
      <w:pPr>
        <w:pStyle w:val="style0"/>
        <w:ind w:firstLine="708" w:left="0" w:right="0"/>
      </w:pPr>
      <w:r>
        <w:rPr/>
        <w:t>De esta manera; históricamente ha quedado evidenciado, que la economía se ha preocupado por estudiar el dinero, y la influencia de esta variable sobre el comportamiento de la actividad real. Plantea Maza Zavala (2005) Los clásicos liberales, desde Adam Smith hasta Arthur C Pigou, consideraban que las relaciones monetarias forman una cubierta, un velo que se extiende sobre las relaciones económicas, sin afectarlas; pero cumplen con la útil función de facilitar las transacciones entre los sujetos económicos.</w:t>
      </w:r>
    </w:p>
    <w:p>
      <w:pPr>
        <w:pStyle w:val="style0"/>
        <w:spacing w:line="480" w:lineRule="auto"/>
        <w:ind w:hanging="0" w:left="0" w:right="0"/>
      </w:pPr>
      <w:r>
        <w:rPr>
          <w:b/>
        </w:rPr>
      </w:r>
    </w:p>
    <w:p>
      <w:pPr>
        <w:pStyle w:val="style0"/>
        <w:ind w:hanging="0" w:left="0" w:right="0"/>
      </w:pPr>
      <w:r>
        <w:rPr>
          <w:b/>
        </w:rPr>
        <w:t xml:space="preserve">Sistema Bancario: Definición </w:t>
      </w:r>
    </w:p>
    <w:p>
      <w:pPr>
        <w:pStyle w:val="style0"/>
      </w:pPr>
      <w:r>
        <w:rPr/>
      </w:r>
    </w:p>
    <w:p>
      <w:pPr>
        <w:pStyle w:val="style0"/>
      </w:pPr>
      <w:r>
        <w:rPr/>
        <w:t xml:space="preserve">Desde una perspectiva general, el sistema bancario es el conjunto de instituciones que permiten el desarrollo de todas aquellas transacciones entre personas, empresas y organizaciones que impliquen el uso de dinero; se clasifican en públicas y privadas. Estas instituciones reciben depósitos en dinero, otorgan créditos y prestan otros servicios. Tratan de cubrir todas las necesidades financieras de la economía de un país. </w:t>
      </w:r>
    </w:p>
    <w:p>
      <w:pPr>
        <w:pStyle w:val="style0"/>
      </w:pPr>
      <w:r>
        <w:rPr/>
      </w:r>
    </w:p>
    <w:p>
      <w:pPr>
        <w:pStyle w:val="style0"/>
      </w:pPr>
      <w:r>
        <w:rPr/>
        <w:t xml:space="preserve">Al respecto de este tema y para sustentar lo anteriormente expuesto, el autor Otero (2008) establece que: </w:t>
      </w:r>
    </w:p>
    <w:p>
      <w:pPr>
        <w:pStyle w:val="style0"/>
      </w:pPr>
      <w:r>
        <w:rPr/>
      </w:r>
    </w:p>
    <w:p>
      <w:pPr>
        <w:pStyle w:val="style80"/>
      </w:pPr>
      <w:r>
        <w:rPr/>
        <w:t>El Sistema Bancario es un conjunto de instituciones de una economía que ayudan a conectar el ahorro y la inversión. Está integrado por las entidades de depósito: bancos, cajas de ahorro, las cooperativas de crédito y cajas rurales. La característica fundamental de estas instituciones es tener como principal fuente la financiación, la obtención de depósitos trasferibles, procedentes principalmente del sector privado, para así poder realizar inversiones y captación de recursos por cuenta propia e intermediar la gran mayoría de las transacciones financieras. Dicho en otras palabras: canalizan el ahorro que generan fundamentalmente las familias (unidades de gasto con superávit de ahorro), hacia las empresas (prestatarios o unidades de gasto con déficit de ahorro</w:t>
      </w:r>
      <w:r>
        <w:rPr>
          <w:szCs w:val="24"/>
        </w:rPr>
        <w:t xml:space="preserve">) (p.215). </w:t>
      </w:r>
    </w:p>
    <w:p>
      <w:pPr>
        <w:pStyle w:val="style76"/>
        <w:spacing w:line="360" w:lineRule="auto"/>
      </w:pPr>
      <w:r>
        <w:rPr>
          <w:rFonts w:ascii="Times New Roman" w:cs="Times New Roman" w:hAnsi="Times New Roman"/>
        </w:rPr>
      </w:r>
    </w:p>
    <w:p>
      <w:pPr>
        <w:pStyle w:val="style0"/>
      </w:pPr>
      <w:r>
        <w:rPr/>
        <w:t xml:space="preserve">De igual forma y en torno a la definición de sistema bancario, manera, </w:t>
      </w:r>
      <w:r>
        <w:rPr>
          <w:color w:val="000000"/>
        </w:rPr>
        <w:t>para Ordoñez (2004), es:</w:t>
      </w:r>
    </w:p>
    <w:p>
      <w:pPr>
        <w:pStyle w:val="style80"/>
      </w:pPr>
      <w:r>
        <w:rPr/>
      </w:r>
    </w:p>
    <w:p>
      <w:pPr>
        <w:pStyle w:val="style80"/>
      </w:pPr>
      <w:r>
        <w:rPr/>
        <w:t xml:space="preserve">El conjunto de instituciones y organizaciones públicas y privadas que se dedican al ejercicio de la banca y todas las funciones que son inherentes. </w:t>
      </w:r>
      <w:r>
        <w:rPr>
          <w:szCs w:val="24"/>
          <w:lang w:eastAsia="es-VE"/>
        </w:rPr>
        <w:t>Los bancos son instituciones públicas o privadas que realizan actos de intermediación profesional entre los dueños de dinero y capital y los usuarios de dicho dinero y capital. Es decir, los bancos actúan en el mercado de dinero y capitales (p.56).</w:t>
      </w:r>
    </w:p>
    <w:p>
      <w:pPr>
        <w:pStyle w:val="style0"/>
      </w:pPr>
      <w:r>
        <w:rPr/>
      </w:r>
    </w:p>
    <w:p>
      <w:pPr>
        <w:pStyle w:val="style0"/>
      </w:pPr>
      <w:r>
        <w:rPr/>
        <w:t xml:space="preserve">De manera tal que el principal papel de un banco consiste en guardar fondos ajenos en forma de depósitos, así como el de proporcionar cajas de seguridad, operaciones denominadas de pasivo. Por la salvaguarda de estos fondos, los bancos cobran una serie de comisiones, que también se aplican a los distintos servicios que los bancos modernos ofrecen a sus clientes en un marco cada vez más competitivo: tarjetas de crédito, posibilidad de descubierto, banco telefónico, entre otros. Sin embargo, puesto que el banco puede disponer del ahorro del depositante, remunera a este último mediante el pago de un interés. </w:t>
      </w:r>
    </w:p>
    <w:p>
      <w:pPr>
        <w:pStyle w:val="style0"/>
      </w:pPr>
      <w:r>
        <w:rPr/>
      </w:r>
    </w:p>
    <w:p>
      <w:pPr>
        <w:pStyle w:val="style0"/>
        <w:ind w:firstLine="708" w:left="0" w:right="0"/>
      </w:pPr>
      <w:r>
        <w:rPr/>
        <w:t>Ahora bien, de acuerdo con sus características y la distribución o el aporte de su capital, el sistema bancario detenta una clasificación específica, la cual, según Campos (2008) establece que:</w:t>
      </w:r>
    </w:p>
    <w:p>
      <w:pPr>
        <w:pStyle w:val="style80"/>
      </w:pPr>
      <w:r>
        <w:rPr/>
        <w:t>Dentro del sistema bancario podemos distinguir entre banca pública y banca privada que, a su vez, puede ser comercial, industrial o de negocios y mixta. La banca privada comercial se ocupa sobre todo de facilitar créditos a individuos privados. La industrial o de negocios invierte sus activos en empresas industriales, adquiriéndolas y dirigiéndolas. La banca privada mixta combina ambos tipos de actividades. En el siglo XIX fueron muy comunes los bancos industriales, aunque éstos han ido perdiendo fuerza a lo largo del siglo XX en favor de la banca mixta. Dentro de la banca pública debemos destacar, en primer lugar, el banco emisor o banco central, que tiene el monopolio de emisión de dinero y suele pertenecer al Estado. Asimismo, destacan las instituciones de ahorro y dentro de éstas, en España, las cajas de ahorro (p.122).</w:t>
      </w:r>
    </w:p>
    <w:p>
      <w:pPr>
        <w:pStyle w:val="style0"/>
      </w:pPr>
      <w:r>
        <w:rPr/>
      </w:r>
    </w:p>
    <w:p>
      <w:pPr>
        <w:pStyle w:val="style0"/>
      </w:pPr>
      <w:r>
        <w:rPr/>
        <w:t>La importancia del sistema  bancario se sustenta en sus funciones de intermediación, es decir, captar fondos de los ahorristas y otorgar préstamos que le proporcionen un interés que represente su utilidad. En base a lo anteriormente expuesto, Ordoñez (2004) establece que:</w:t>
      </w:r>
    </w:p>
    <w:p>
      <w:pPr>
        <w:pStyle w:val="style0"/>
      </w:pPr>
      <w:r>
        <w:rPr/>
      </w:r>
    </w:p>
    <w:p>
      <w:pPr>
        <w:pStyle w:val="style80"/>
      </w:pPr>
      <w:r>
        <w:rPr/>
        <w:t>El principal papel de un banco consiste en guardar fondos ajenos en forma de depósitos, así como el de proporcionar cajas de seguridad, operaciones denominadas de pasivo. Por la salvaguarda de estos fondos, los bancos cobran una serie de comisiones, que también se aplican a los distintos servicios que los bancos modernos ofrecen a sus clientes en un marco cada vez más competitivo. Sin embargo, puesto que el banco puede disponer del ahorro del depositante, remunera a este último mediante el pago de un interés. Se pueden distinguir varios tipos de depósitos. En primer lugar, los depósitos pueden materializarse en las denominadas cuentas corrientes. Tiempo atrás, hasta adquirir carácter histórico, este tipo de depósitos no estaban remunerados, pero la creciente competencia entre bancos ha hecho que esta tendencia haya cambiado de forma drástica en todos los países occidentales (p.67).</w:t>
      </w:r>
    </w:p>
    <w:p>
      <w:pPr>
        <w:pStyle w:val="style76"/>
        <w:spacing w:line="360" w:lineRule="auto"/>
      </w:pPr>
      <w:r>
        <w:rPr>
          <w:rFonts w:ascii="Times New Roman" w:cs="Times New Roman" w:hAnsi="Times New Roman"/>
          <w:color w:val="000000"/>
        </w:rPr>
      </w:r>
    </w:p>
    <w:p>
      <w:pPr>
        <w:pStyle w:val="style0"/>
      </w:pPr>
      <w:r>
        <w:rPr/>
        <w:t>De esta forma; se tiene que los bancos ofrecen cuentas de ahorro, que también son depósitos a la vista, es decir, que se puede disponer de ellos en cualquier momento según el requerimiento de las personas dueñas de esos depósitos. Los depósitos y reintegros se realizan y quedan registrados a través de una cartilla de ahorro, que tiene carácter de documento financiero. La disponibilidad de este tipo de depósitos es menor que la de las cuentas corrientes puesto que obligan a recurrir a la entidad bancaria para disponer de los fondos, mientras que las cuentas corrientes permiten la disposición de fondos mediante la utilización de cheques y tarjetas de crédito. De igual manera, hay que mencionar las denominadas cuentas a plazo fijo, en las que no existe una libre disposición de fondos, sino que éstos se recuperan a la fecha de vencimiento aunque, en la práctica, se puede disponer de estos fondos antes de la fecha prefijada, pero con una penalización.</w:t>
      </w:r>
    </w:p>
    <w:p>
      <w:pPr>
        <w:pStyle w:val="style76"/>
        <w:spacing w:line="360" w:lineRule="auto"/>
      </w:pPr>
      <w:r>
        <w:rPr>
          <w:rFonts w:ascii="Times New Roman" w:cs="Times New Roman" w:hAnsi="Times New Roman"/>
          <w:color w:val="000000"/>
        </w:rPr>
      </w:r>
    </w:p>
    <w:p>
      <w:pPr>
        <w:pStyle w:val="style0"/>
      </w:pPr>
      <w:r>
        <w:rPr/>
        <w:t>Existen los denominados certificados de depósito, instrumentos financieros muy parecidos a los depósitos o cuentas a plazo fijo; la principal diferencia viene dada por cómo se documentan. Los certificados se realizan a través de un documento escrito intercambiable, es decir, cuya propiedad se puede transferir. Por último, dentro de los distintos tipos de depósitos, los depósitos de ahorro vinculado son cuentas remuneradas relacionadas con operaciones bancarias de activo; es el caso de una cuenta vivienda las cantidades depositadas deben utilizarse para un fin concreto.</w:t>
      </w:r>
    </w:p>
    <w:p>
      <w:pPr>
        <w:pStyle w:val="style76"/>
        <w:spacing w:line="360" w:lineRule="auto"/>
        <w:ind w:firstLine="708" w:left="0" w:right="0"/>
      </w:pPr>
      <w:r>
        <w:rPr>
          <w:rFonts w:ascii="Times New Roman" w:cs="Times New Roman" w:hAnsi="Times New Roman"/>
          <w:color w:val="000000"/>
        </w:rPr>
      </w:r>
    </w:p>
    <w:p>
      <w:pPr>
        <w:pStyle w:val="style0"/>
      </w:pPr>
      <w:r>
        <w:rPr/>
        <w:t>Ahora bien; los bancos con estos fondos depositados, conceden préstamos y créditos a otros clientes, cobrando a cambio de estas operaciones otros tipos de interés. Estos préstamos pueden ser personales, hipotecarios o comerciales. La diferencia entre los intereses cobrados y los intereses pagados constituye la principal fuente de ingresos de los bancos.</w:t>
      </w:r>
    </w:p>
    <w:p>
      <w:pPr>
        <w:pStyle w:val="style0"/>
      </w:pPr>
      <w:r>
        <w:rPr/>
      </w:r>
    </w:p>
    <w:p>
      <w:pPr>
        <w:pStyle w:val="style0"/>
        <w:ind w:firstLine="708" w:left="0" w:right="0"/>
      </w:pPr>
      <w:r>
        <w:rPr/>
        <w:t>Es por ello que se establece que el sistema bancario juega un papel de gran importancia en la economía de un país, puesto que este el que rige las transacciones de esta índole que se realicen en el mismo; el sistema bancario de un país tiene instrumentos de cómo realizar un buen manejo de sus funciones y que dentro de las mismas. Sobre este tema, Hernández (2002) establece:</w:t>
      </w:r>
    </w:p>
    <w:p>
      <w:pPr>
        <w:pStyle w:val="style80"/>
      </w:pPr>
      <w:r>
        <w:rPr/>
      </w:r>
    </w:p>
    <w:p>
      <w:pPr>
        <w:pStyle w:val="style80"/>
      </w:pPr>
      <w:r>
        <w:rPr/>
        <w:t xml:space="preserve">El cobro de intereses es el pago de los deudores o cuentahabientes por un interés a un préstamo; recibir dinero de ahorradores. Como se sabe la mayor parte del dinero de los bancos viene por los depósitos de los ahorradores. El encaje legal es un depósito que los bancos tenían la obligación de entregar al banco central para que éste pudiera asegurara la existencia de fondos en efectivo a los bancos comerciantes, de tal manera que estos últimos pudieran enfrentar, cuando se necesitara, el retiro de grandes volúmenes de efectivo por parte de los cuentahabientes. </w:t>
      </w:r>
    </w:p>
    <w:p>
      <w:pPr>
        <w:pStyle w:val="style80"/>
      </w:pPr>
      <w:r>
        <w:rPr/>
      </w:r>
    </w:p>
    <w:p>
      <w:pPr>
        <w:pStyle w:val="style0"/>
        <w:ind w:hanging="0" w:left="0" w:right="0"/>
      </w:pPr>
      <w:r>
        <w:rPr/>
      </w:r>
    </w:p>
    <w:p>
      <w:pPr>
        <w:pStyle w:val="style0"/>
        <w:ind w:firstLine="708" w:left="0" w:right="0"/>
      </w:pPr>
      <w:r>
        <w:rPr/>
        <w:t xml:space="preserve">Es oportuno indicar que el coeficiente de liquidez del banco viene dado por el porcentaje de activos líquidos sobre pasivos; para un banco, éste estará determinado por la proporción de activos en efectivo sobre el total de activos, y a veces está sujeto a la regulación gubernamental. </w:t>
      </w:r>
    </w:p>
    <w:p>
      <w:pPr>
        <w:pStyle w:val="style0"/>
      </w:pPr>
      <w:r>
        <w:rPr/>
      </w:r>
    </w:p>
    <w:p>
      <w:pPr>
        <w:pStyle w:val="style0"/>
        <w:ind w:firstLine="708" w:left="0" w:right="0"/>
      </w:pPr>
      <w:r>
        <w:rPr/>
        <w:t>Dentro de los principales objetivos del sistema bancario, se tienen:</w:t>
      </w:r>
    </w:p>
    <w:p>
      <w:pPr>
        <w:pStyle w:val="style0"/>
        <w:ind w:firstLine="708" w:left="0" w:right="0"/>
      </w:pPr>
      <w:r>
        <w:rPr/>
      </w:r>
    </w:p>
    <w:p>
      <w:pPr>
        <w:pStyle w:val="style82"/>
        <w:numPr>
          <w:ilvl w:val="0"/>
          <w:numId w:val="8"/>
        </w:numPr>
        <w:spacing w:after="0" w:before="0" w:line="360" w:lineRule="auto"/>
        <w:jc w:val="both"/>
      </w:pPr>
      <w:r>
        <w:rPr>
          <w:rFonts w:ascii="Times New Roman" w:hAnsi="Times New Roman"/>
          <w:szCs w:val="24"/>
        </w:rPr>
        <w:t xml:space="preserve">Controlar las tasas de interés bancarias. </w:t>
      </w:r>
    </w:p>
    <w:p>
      <w:pPr>
        <w:pStyle w:val="style82"/>
        <w:numPr>
          <w:ilvl w:val="0"/>
          <w:numId w:val="8"/>
        </w:numPr>
        <w:spacing w:after="0" w:before="0" w:line="360" w:lineRule="auto"/>
        <w:jc w:val="both"/>
      </w:pPr>
      <w:r>
        <w:rPr>
          <w:rFonts w:ascii="Times New Roman" w:hAnsi="Times New Roman"/>
          <w:szCs w:val="24"/>
        </w:rPr>
        <w:t xml:space="preserve">Emisión y control de dinero, bonos, divisas y otros títulos de valor. </w:t>
      </w:r>
    </w:p>
    <w:p>
      <w:pPr>
        <w:pStyle w:val="style82"/>
        <w:numPr>
          <w:ilvl w:val="0"/>
          <w:numId w:val="8"/>
        </w:numPr>
        <w:spacing w:after="0" w:before="0" w:line="360" w:lineRule="auto"/>
        <w:jc w:val="both"/>
      </w:pPr>
      <w:r>
        <w:rPr>
          <w:rFonts w:ascii="Times New Roman" w:hAnsi="Times New Roman"/>
          <w:szCs w:val="24"/>
        </w:rPr>
        <w:t xml:space="preserve">Prestarse como fondo de apoyo a la economía de un país. </w:t>
      </w:r>
    </w:p>
    <w:p>
      <w:pPr>
        <w:pStyle w:val="style82"/>
        <w:numPr>
          <w:ilvl w:val="0"/>
          <w:numId w:val="8"/>
        </w:numPr>
        <w:spacing w:after="0" w:before="0" w:line="360" w:lineRule="auto"/>
        <w:jc w:val="both"/>
      </w:pPr>
      <w:r>
        <w:rPr>
          <w:rFonts w:ascii="Times New Roman" w:hAnsi="Times New Roman"/>
          <w:szCs w:val="24"/>
        </w:rPr>
        <w:t xml:space="preserve">Poner en circulación los signos monetarios. </w:t>
      </w:r>
    </w:p>
    <w:p>
      <w:pPr>
        <w:pStyle w:val="style82"/>
        <w:numPr>
          <w:ilvl w:val="0"/>
          <w:numId w:val="8"/>
        </w:numPr>
        <w:spacing w:after="0" w:before="0" w:line="360" w:lineRule="auto"/>
        <w:jc w:val="both"/>
      </w:pPr>
      <w:r>
        <w:rPr>
          <w:rFonts w:ascii="Times New Roman" w:hAnsi="Times New Roman"/>
          <w:szCs w:val="24"/>
        </w:rPr>
        <w:t>Poner fijas las tasas de interés de las instituciones bancarias de acuerdo a sus necesidades.</w:t>
      </w:r>
    </w:p>
    <w:p>
      <w:pPr>
        <w:pStyle w:val="style0"/>
        <w:ind w:hanging="0" w:left="0" w:right="0"/>
      </w:pPr>
      <w:r>
        <w:rPr>
          <w:b/>
        </w:rPr>
      </w:r>
    </w:p>
    <w:p>
      <w:pPr>
        <w:pStyle w:val="style0"/>
        <w:ind w:hanging="0" w:left="0" w:right="0"/>
      </w:pPr>
      <w:r>
        <w:rPr>
          <w:b/>
        </w:rPr>
        <w:t>Sistema Bancario Venezolano</w:t>
      </w:r>
    </w:p>
    <w:p>
      <w:pPr>
        <w:pStyle w:val="style0"/>
        <w:ind w:firstLine="708" w:left="0" w:right="0"/>
      </w:pPr>
      <w:r>
        <w:rPr/>
      </w:r>
    </w:p>
    <w:p>
      <w:pPr>
        <w:pStyle w:val="style0"/>
        <w:ind w:firstLine="708" w:left="0" w:right="0"/>
      </w:pPr>
      <w:r>
        <w:rPr/>
        <w:t xml:space="preserve">En todo sistema económico, el sistema bancario reviste una importancia trascendental, debido a que sirve de base para levar a cabo las transacciones y operaciones que facilitan el desarrollo de la sociedad, la cual se fundamenta en actividades productivas, bien sea de bienes o servicios que implican movimientos de capital, es por ello que la banca de una determinada sociedad se establece en función de brindar cierta estabilidad y opciones de desarrollo a todos los elementos que la integran. </w:t>
      </w:r>
    </w:p>
    <w:p>
      <w:pPr>
        <w:pStyle w:val="style0"/>
        <w:ind w:firstLine="708" w:left="0" w:right="0"/>
      </w:pPr>
      <w:r>
        <w:rPr/>
      </w:r>
    </w:p>
    <w:p>
      <w:pPr>
        <w:pStyle w:val="style0"/>
        <w:ind w:firstLine="708" w:left="0" w:right="0"/>
      </w:pPr>
      <w:r>
        <w:rPr/>
        <w:t xml:space="preserve">En consideración a estas funciones, su comportamiento queda definido en el marco de la política económica de cada sociedad. Según Torres (2007) el sistema bancario se define como: “el conjunto de instituciones que permiten el desarrollo de todas aquellas transacciones entre personas, empresas y organizaciones que impliquen el uso de dinero” (p.89). En función de esta definición, se plantea que el sistema bancario representa la base para facilitar las operaciones relacionadas con el desarrollo económico del país. </w:t>
      </w:r>
    </w:p>
    <w:p>
      <w:pPr>
        <w:pStyle w:val="style76"/>
        <w:spacing w:line="360" w:lineRule="auto"/>
      </w:pPr>
      <w:r>
        <w:rPr>
          <w:rFonts w:ascii="Times New Roman" w:cs="Times New Roman" w:hAnsi="Times New Roman"/>
          <w:bCs/>
          <w:color w:val="000000"/>
        </w:rPr>
      </w:r>
    </w:p>
    <w:p>
      <w:pPr>
        <w:pStyle w:val="style0"/>
      </w:pPr>
      <w:r>
        <w:rPr/>
        <w:t>Tradicionalmente, el sistema bancario ha sido considerado como un agente neutral, por cuanto se ha asumido que su función primordial no es otra que la de distribuir el volumen de crédito determinado a nivel nacional pero algunos autores sostiene que la función que desempeña el sistema bancario no es solamente la de distribuir regionalmente el crédito disponible, sino que, al menos en las economías más desarrolladas, éste también se ocupa de proporcionar crédito para financiar el crecimiento económico de todos los sectores.</w:t>
      </w:r>
    </w:p>
    <w:p>
      <w:pPr>
        <w:pStyle w:val="style76"/>
        <w:spacing w:line="360" w:lineRule="auto"/>
      </w:pPr>
      <w:r>
        <w:rPr>
          <w:rFonts w:ascii="Times New Roman" w:cs="Times New Roman" w:hAnsi="Times New Roman"/>
          <w:bCs/>
          <w:color w:val="000000"/>
        </w:rPr>
      </w:r>
    </w:p>
    <w:p>
      <w:pPr>
        <w:pStyle w:val="style0"/>
      </w:pPr>
      <w:r>
        <w:rPr/>
        <w:t xml:space="preserve">Ahora bien, las continuas guerras de religión que atravesaron y fragmentaron la Europa del siglo XVI marcaron e impulsaron el paso de la Edad Media a la modernidad. Aunque los antecedentes más remotos de las instituciones financieras y de la banca puedan remontarse a la antigüedad, con las primeras operaciones comerciales ligadas a los templos de Mesopotamia o al código babilónico sobre préstamos y depósitos del año 1800 a.C., el origen de los bancos tal como se conoce hoy en día data, precisamente, de esa Europa del siglo XVI caracterizada por la guerra. </w:t>
      </w:r>
    </w:p>
    <w:p>
      <w:pPr>
        <w:pStyle w:val="style0"/>
      </w:pPr>
      <w:r>
        <w:rPr/>
      </w:r>
    </w:p>
    <w:p>
      <w:pPr>
        <w:pStyle w:val="style0"/>
      </w:pPr>
      <w:r>
        <w:rPr/>
        <w:t>Al respecto, y desde el punto de vista histórico, el autor Campos (2008) establece que:</w:t>
      </w:r>
    </w:p>
    <w:p>
      <w:pPr>
        <w:pStyle w:val="style0"/>
      </w:pPr>
      <w:r>
        <w:rPr/>
      </w:r>
    </w:p>
    <w:p>
      <w:pPr>
        <w:pStyle w:val="style80"/>
      </w:pPr>
      <w:r>
        <w:rPr/>
        <w:t xml:space="preserve">Los bancos en la época romana no funcionaban como los modernos. La mayoría de las actividades bancarias se llevaron a cabo por particulares y no por instituciones. Las grandes inversiones fueron financiadas por los faeneratores, mientras que los que quienes trabajaban profesionalmente en el negocio del dinero y el crédito eran conocidos por varios nombres, tales como argentarii (banquero), nummularii (cambista), y coactores (cobradores) (p.278). </w:t>
      </w:r>
    </w:p>
    <w:p>
      <w:pPr>
        <w:pStyle w:val="style0"/>
      </w:pPr>
      <w:r>
        <w:rPr/>
      </w:r>
    </w:p>
    <w:p>
      <w:pPr>
        <w:pStyle w:val="style0"/>
      </w:pPr>
      <w:r>
        <w:rPr/>
        <w:t>Durante el Siglo I los bancos en Persia y otros territorios en el Imperio Sasánida emitieron letras de crédito conocidas como sakks. Se sabe que comerciantes musulmanes Karimi han utilizado el sistema de cheque o sakk desde la época del califato abas. Las Ferias medievales comercio, tales como la de Hamburgo, contribuyeron al crecimiento de la banca de una manera curiosa: cambistas expedían documentos disponibles con otras ferias, a cambio de divisas. Estos documentos podían ser cobrados en otra feria en un país diferente o en una feria del futuro en el mismo lugar. Eran rescatables en una fecha futura, a menudo eran descontados por una cantidad comparable a una tasa de interés.</w:t>
      </w:r>
    </w:p>
    <w:p>
      <w:pPr>
        <w:pStyle w:val="style0"/>
        <w:ind w:firstLine="708" w:left="0" w:right="0"/>
      </w:pPr>
      <w:r>
        <w:rPr/>
      </w:r>
    </w:p>
    <w:p>
      <w:pPr>
        <w:pStyle w:val="style0"/>
        <w:ind w:firstLine="708" w:left="0" w:right="0"/>
      </w:pPr>
      <w:r>
        <w:rPr/>
        <w:t>Ahora bien, la funciones actuales de los bancos, como la de guardar fondos, prestar dinero y garantizar préstamos, así como el cambio de monedas, pueden encontrarse hasta en la antigüedad. De acuerdo con datos e información presentada por el Banco Central de Venezuela (2006):</w:t>
      </w:r>
    </w:p>
    <w:p>
      <w:pPr>
        <w:pStyle w:val="style0"/>
        <w:ind w:firstLine="708" w:left="0" w:right="0"/>
      </w:pPr>
      <w:r>
        <w:rPr/>
      </w:r>
    </w:p>
    <w:p>
      <w:pPr>
        <w:pStyle w:val="style80"/>
      </w:pPr>
      <w:r>
        <w:rPr/>
        <w:t>Durante la edad media, los caballeros templarios, miembros de una orden militar y religiosa, no sólo almacenaban bienes de gran valor sino que también se encargaban de transportar dinero de un país a otro. Las grandes familias de banqueros del renacimiento, como los Medici de Florencia prestaban dinero y financiaban parte del comercio internacional. (p.429)</w:t>
      </w:r>
    </w:p>
    <w:p>
      <w:pPr>
        <w:pStyle w:val="style0"/>
        <w:ind w:firstLine="708" w:left="0" w:right="0"/>
      </w:pPr>
      <w:r>
        <w:rPr>
          <w:lang w:val="es-ES"/>
        </w:rPr>
      </w:r>
    </w:p>
    <w:p>
      <w:pPr>
        <w:pStyle w:val="style0"/>
        <w:widowControl w:val="false"/>
        <w:ind w:firstLine="709" w:left="0" w:right="0"/>
      </w:pPr>
      <w:r>
        <w:rPr/>
        <w:t xml:space="preserve">De manera tal que las operaciones del sistema bancario tienen su fundamento en el desarrollo económico de los países. En este orden de ideas y de acuerdo con Mendoza (2008):   </w:t>
      </w:r>
    </w:p>
    <w:p>
      <w:pPr>
        <w:pStyle w:val="style80"/>
      </w:pPr>
      <w:r>
        <w:rPr/>
        <w:t>Los orfebres ingleses del siglo XVII constituyeron el modelo de partida de la banca contemporánea. Guardaban oro para otras personas, a quienes tenían que devolvérselo si así les era requerido. Pronto descubrieron que la parte de oro que los depositantes querían recuperar era sólo una pequeña parte del total depositado. Así, podían prestar parte de este oro a otras personas, a cambio de un instrumento negociable o pagaré y de la devolución del principal y de un interés. Con el tiempo, estos instrumentos financieros que podían intercambiarse por oro pasaron a reemplazar a éste. Resulta evidente que el valor total de estos instrumentos financieros excedía el valor de oro que los respaldaba. (p.238)</w:t>
      </w:r>
    </w:p>
    <w:p>
      <w:pPr>
        <w:pStyle w:val="style0"/>
        <w:ind w:firstLine="708" w:left="0" w:right="0"/>
      </w:pPr>
      <w:r>
        <w:rPr/>
      </w:r>
    </w:p>
    <w:p>
      <w:pPr>
        <w:pStyle w:val="style0"/>
      </w:pPr>
      <w:r>
        <w:rPr/>
      </w:r>
    </w:p>
    <w:p>
      <w:pPr>
        <w:pStyle w:val="style0"/>
      </w:pPr>
      <w:r>
        <w:rPr/>
        <w:t xml:space="preserve">En tal sentido, hay registros existentes de préstamos en Babilonia durante el Siglo XVIII a. C., realizados por sacerdotes del templo a los comerciantes. Al respecto, el </w:t>
      </w:r>
      <w:r>
        <w:rPr>
          <w:rStyle w:val="style39"/>
          <w:color w:val="00000A"/>
          <w:sz w:val="24"/>
          <w:szCs w:val="24"/>
        </w:rPr>
        <w:t xml:space="preserve">sitio educativo de la Superintendencia de Bancos e Instituciones Financieras - SBIF (Chile) (2009) plantea: </w:t>
      </w:r>
    </w:p>
    <w:p>
      <w:pPr>
        <w:pStyle w:val="style0"/>
      </w:pPr>
      <w:r>
        <w:rPr/>
      </w:r>
    </w:p>
    <w:p>
      <w:pPr>
        <w:pStyle w:val="style80"/>
      </w:pPr>
      <w:r>
        <w:rPr/>
        <w:t>Los trapezitas eran los banqueros en la antigua Grecia. Trapeza era la mesa detrás de la que estaban en las tiendas, a veces destinadas a otro tipo de actividad comercial, pero muy a menudo a las transacciones bancarias. Los bancos más importantes seguían siendo sin embargo los grandes templos, donde los sacerdotes hacían fructificar el dinero que recibían en depósito de acuerdo a los préstamos concedidos a los particulares y a las ciudades (p.98).</w:t>
      </w:r>
    </w:p>
    <w:p>
      <w:pPr>
        <w:pStyle w:val="style0"/>
      </w:pPr>
      <w:r>
        <w:rPr/>
      </w:r>
    </w:p>
    <w:p>
      <w:pPr>
        <w:pStyle w:val="style0"/>
      </w:pPr>
      <w:r>
        <w:rPr/>
      </w:r>
    </w:p>
    <w:p>
      <w:pPr>
        <w:pStyle w:val="style0"/>
      </w:pPr>
      <w:r>
        <w:rPr/>
        <w:t>Durante los siglos XVIII y XIX se produjo un crecimiento masivo en la actividad bancaria. Los bancos jugaron un papel clave en el movimiento de monedas de oro y plata basado en papel moneda, canjeable por sus tenencias. Para la estabilidad económica general y como garantía para los clientes se hizo necesario durante el siglo XX el establecimiento de la regulación financiera en casi todos los países, para establecer las normas mínimas de la actividad bancaria y la competencia financiera y evitar o enfrentar las posibles quiebras bancarias, especialmente durante las crisis económicas.</w:t>
      </w:r>
    </w:p>
    <w:p>
      <w:pPr>
        <w:pStyle w:val="style0"/>
      </w:pPr>
      <w:r>
        <w:rPr/>
      </w:r>
    </w:p>
    <w:p>
      <w:pPr>
        <w:pStyle w:val="style0"/>
      </w:pPr>
      <w:r>
        <w:rPr/>
        <w:t xml:space="preserve">Es evidente que la información inicial sobre la actividad de los bancos y el sistema bancario se remonta años atrás, sin embargo, la esencia de sus operaciones ha permanecido igual con el transcurso del tiempo, lo cual refleja que su evolución se relaciona más con el uso de la tecnología que con el cambio en sus funciones y características definitorias. </w:t>
      </w:r>
      <w:r>
        <w:rPr>
          <w:bCs/>
          <w:color w:val="000000"/>
        </w:rPr>
        <w:t xml:space="preserve">Ahora bien; en la actualidad, el sistema bancario conserva dos características del sistema utilizado por los orfebres. </w:t>
      </w:r>
    </w:p>
    <w:p>
      <w:pPr>
        <w:pStyle w:val="style0"/>
      </w:pPr>
      <w:r>
        <w:rPr>
          <w:bCs/>
          <w:color w:val="000000"/>
        </w:rPr>
      </w:r>
    </w:p>
    <w:p>
      <w:pPr>
        <w:pStyle w:val="style0"/>
      </w:pPr>
      <w:r>
        <w:rPr>
          <w:bCs/>
          <w:color w:val="000000"/>
        </w:rPr>
        <w:t xml:space="preserve">En primer lugar, los pasivos monetarios del sistema bancario exceden las reservas; esta característica permitió, en parte, el proceso de industrialización occidental y sigue siendo un aspecto muy importante del actual crecimiento económico. Sin embargo, la excesiva creación de dinero puede acarrear un crecimiento de la inflación. </w:t>
      </w:r>
    </w:p>
    <w:p>
      <w:pPr>
        <w:pStyle w:val="style76"/>
        <w:spacing w:line="360" w:lineRule="auto"/>
      </w:pPr>
      <w:r>
        <w:rPr>
          <w:rFonts w:ascii="Times New Roman" w:cs="Times New Roman" w:hAnsi="Times New Roman"/>
          <w:bCs/>
          <w:color w:val="000000"/>
        </w:rPr>
      </w:r>
    </w:p>
    <w:p>
      <w:pPr>
        <w:pStyle w:val="style0"/>
      </w:pPr>
      <w:r>
        <w:rPr/>
        <w:t xml:space="preserve">De esta forma, se tiene que; en segundo lugar, los pasivos de los bancos sean estos depósitos o dinero prestado son más líquidos, es decir, se pueden convertir con mayor facilidad que el oro en dinero en efectivo que los activos, préstamos a terceros e inversiones; que aparecen en su balance. Esta característica permite que los consumidores, los empresarios y los gobiernos financien actividades que, de lo contrario, serían canceladas o diferidas; sin embargo, ello suele provocar crisis de liquidez recurrentes. </w:t>
      </w:r>
    </w:p>
    <w:p>
      <w:pPr>
        <w:pStyle w:val="style0"/>
        <w:ind w:hanging="0" w:left="0" w:right="0"/>
      </w:pPr>
      <w:r>
        <w:rPr>
          <w:b/>
        </w:rPr>
      </w:r>
    </w:p>
    <w:p>
      <w:pPr>
        <w:pStyle w:val="style0"/>
        <w:pageBreakBefore/>
        <w:ind w:hanging="0" w:left="0" w:right="0"/>
      </w:pPr>
      <w:r>
        <w:rPr>
          <w:b/>
        </w:rPr>
        <w:t>Principios de Administración Financiera</w:t>
      </w:r>
    </w:p>
    <w:p>
      <w:pPr>
        <w:pStyle w:val="style0"/>
        <w:ind w:firstLine="708" w:left="0" w:right="0"/>
      </w:pPr>
      <w:r>
        <w:rPr>
          <w:lang w:val="es-ES"/>
        </w:rPr>
      </w:r>
    </w:p>
    <w:p>
      <w:pPr>
        <w:pStyle w:val="style0"/>
      </w:pPr>
      <w:r>
        <w:rPr>
          <w:lang w:val="es-ES"/>
        </w:rPr>
        <w:t>Las áreas principales de las finanzas pueden dividirse en dos categorías para destacar mejor las posibilidades de desarrollo que cada una ofrece al administrador financiero: Servicios Financieros y Administración Financiera. Servicios Financieros. Son el área de las finanzas que se ocupa de proporcionar asesoría y productos financieros a las personas, las empresas y los gobiernos. Los servicios financieros comprenden a Bancos e Instituciones afines, planeación financiera personal, inversiones, bienes raíces y compañías aseguradoras.</w:t>
      </w:r>
    </w:p>
    <w:p>
      <w:pPr>
        <w:pStyle w:val="style0"/>
        <w:ind w:firstLine="708" w:left="0" w:right="0"/>
      </w:pPr>
      <w:r>
        <w:rPr>
          <w:lang w:val="es-ES"/>
        </w:rPr>
      </w:r>
    </w:p>
    <w:p>
      <w:pPr>
        <w:pStyle w:val="style0"/>
        <w:ind w:firstLine="708" w:left="0" w:right="0"/>
      </w:pPr>
      <w:r>
        <w:rPr>
          <w:lang w:val="es-ES"/>
        </w:rPr>
        <w:t xml:space="preserve">Para Serrano y Villarreal (2003), la Administración Financiera: </w:t>
      </w:r>
    </w:p>
    <w:p>
      <w:pPr>
        <w:pStyle w:val="style0"/>
        <w:ind w:firstLine="708" w:left="0" w:right="0"/>
      </w:pPr>
      <w:r>
        <w:rPr>
          <w:lang w:val="es-ES"/>
        </w:rPr>
      </w:r>
    </w:p>
    <w:p>
      <w:pPr>
        <w:pStyle w:val="style86"/>
      </w:pPr>
      <w:r>
        <w:rPr/>
        <w:t>Se refiere a las tareas del administrador financiero de una empresa. Su trabajo va desde la presupuestación, la predicción financiera y el manejo de efectivo, hasta la administración crediticia, el análisis de inversiones y el procuramiento de fondos. Dado que la mayor parte de las decisiones empresariales se miden en términos financieros, el papel del administrador financiero en la operación de la empresa resulta de vital importancia. Así pues, todas aquéllas áreas que constituyen la organización de negocios, contabilidad, manufactura, mercado, personal, investigación y otras, requieren de un conocimiento mínimo de la función administrativa financiera (p.178)</w:t>
      </w:r>
    </w:p>
    <w:p>
      <w:pPr>
        <w:pStyle w:val="style0"/>
      </w:pPr>
      <w:r>
        <w:rPr>
          <w:lang w:val="es-ES"/>
        </w:rPr>
      </w:r>
    </w:p>
    <w:p>
      <w:pPr>
        <w:pStyle w:val="style0"/>
      </w:pPr>
      <w:r>
        <w:rPr>
          <w:lang w:val="es-ES"/>
        </w:rPr>
        <w:t>La importancia de la función financiera depende en gran medida del tamaño de la empresa. En las empresas pequeñas, la función financiera suele encomendarse al departamento de contabilidad, pero a medida que la empresa crece, es necesario crear un departamento especial para trabajar el área financiera. El funcionario que se ocupa de la actividad financiera de la empresa se le denomina Tesorero, a quién  corresponde  la  planeación  financiera y la percepción de fondos, la administración del efectivo, las decisiones de gastos de capital, el manejo de créditos y la administración de la cartera de inversiones. El Contralor es el funcionario responsable de la actividad contable de la empresa, su función consiste en la administración fiscal, el procesamiento de datos y la contabilidad de costos y financiera.</w:t>
      </w:r>
    </w:p>
    <w:p>
      <w:pPr>
        <w:pStyle w:val="style0"/>
      </w:pPr>
      <w:r>
        <w:rPr>
          <w:lang w:val="es-ES"/>
        </w:rPr>
      </w:r>
    </w:p>
    <w:p>
      <w:pPr>
        <w:pStyle w:val="style0"/>
      </w:pPr>
      <w:r>
        <w:rPr>
          <w:lang w:val="es-ES"/>
        </w:rPr>
        <w:t>El administrador financiero debe dominar los fundamentos tanto de la Economía como de la Contabilidad. Se debe conocer el marco de referencia económico imperante, los niveles cambiantes de la actividad económica y los cambios en la política, por mencionar algunos. La segunda diferencia principal entre las finanzas y la contabilidad es la toma de decisiones. En tanto que el contador se concentra en recolectar y presentar información financiera, el administrador financiero evalúa los estados de resultados del contador, elabora información adicional y toma decisiones basadas en análisis subsecuentes.</w:t>
      </w:r>
    </w:p>
    <w:p>
      <w:pPr>
        <w:pStyle w:val="style0"/>
        <w:ind w:firstLine="708" w:left="0" w:right="0"/>
      </w:pPr>
      <w:r>
        <w:rPr>
          <w:lang w:val="es-ES"/>
        </w:rPr>
      </w:r>
    </w:p>
    <w:p>
      <w:pPr>
        <w:pStyle w:val="style0"/>
      </w:pPr>
      <w:r>
        <w:rPr>
          <w:lang w:val="es-ES"/>
        </w:rPr>
        <w:t xml:space="preserve">El objetivo de los administradores financieros debe ser el de lograr los objetivos de los propietarios (accionistas) de la empresa. De aquí se deduce que si los administradores logran lo anterior, alcanzarán asimismo sus propios objetivos financieros  y  profesionales. Sobre este particular de ideas, el autor Ferrer (2009) expone lo siguiente:   </w:t>
      </w:r>
    </w:p>
    <w:p>
      <w:pPr>
        <w:pStyle w:val="style0"/>
        <w:ind w:firstLine="708" w:left="0" w:right="0"/>
      </w:pPr>
      <w:r>
        <w:rPr>
          <w:lang w:val="es-ES"/>
        </w:rPr>
      </w:r>
    </w:p>
    <w:p>
      <w:pPr>
        <w:pStyle w:val="style86"/>
      </w:pPr>
      <w:r>
        <w:rPr/>
        <w:t>Muchos creen que el objetivo de los propietarios de una empresa es siempre el de la maximización de las utilidades; otros, que se trata más bien de maximizar la riqueza. Para alcanzar la meta de la maximización de utilidades, el administrador financiero habrá de tomar aquéllas iniciativas de las que se espera una mayor contribución a las utilidades globales de la empresa. De tal suerte, el administrador financiero habrá de elegir una entre varias alternativas la que conduzca al rendimiento monetario más alto posible. En las corporaciones, las utilidades suelen medirse en términos de utilidades por acción (UPA), las cuales representan el total de las utilidades disponibles para los accionistas comunes de la empresa, que son los propietarios, dividido entre el número de acciones comunes vigentes (p.210).</w:t>
      </w:r>
    </w:p>
    <w:p>
      <w:pPr>
        <w:pStyle w:val="style0"/>
      </w:pPr>
      <w:r>
        <w:rPr>
          <w:lang w:val="es-ES"/>
        </w:rPr>
      </w:r>
    </w:p>
    <w:p>
      <w:pPr>
        <w:pStyle w:val="style0"/>
      </w:pPr>
      <w:r>
        <w:rPr>
          <w:lang w:val="es-ES"/>
        </w:rPr>
        <w:t>Por ende, la maximización de utilidades se deriva del hecho de que las percepciones de una empresa no representan flujos de efectivo disponibles para los accionistas. Esta clase de propietarios percibe rendimientos ya sea mediante dividendos en efectivo pagados en intervalos regulares, o por medio de la venta de sus acciones a un precio más alto que originalmente pagaron. UPA más altas no implican necesariamente que los pagos de dividendos se elevarán, ya que éstos dependen exclusivamente de la junta directiva. Por lo demás, UPA más altas no tienen que traducirse en un precio más alto de las acciones. Las empresas a menudo experimentan aumentos en sus ingresos sin ningún cambio favorable correspondiente en el precio de las acciones.</w:t>
      </w:r>
    </w:p>
    <w:p>
      <w:pPr>
        <w:pStyle w:val="style0"/>
      </w:pPr>
      <w:r>
        <w:rPr>
          <w:lang w:val="es-ES"/>
        </w:rPr>
      </w:r>
    </w:p>
    <w:p>
      <w:pPr>
        <w:pStyle w:val="style0"/>
        <w:ind w:firstLine="708" w:left="0" w:right="0"/>
      </w:pPr>
      <w:r>
        <w:rPr>
          <w:lang w:val="es-ES"/>
        </w:rPr>
        <w:t xml:space="preserve">Para Emery y Finnerty (2000): </w:t>
      </w:r>
    </w:p>
    <w:p>
      <w:pPr>
        <w:pStyle w:val="style0"/>
        <w:ind w:firstLine="708" w:left="0" w:right="0"/>
      </w:pPr>
      <w:r>
        <w:rPr>
          <w:lang w:val="es-ES"/>
        </w:rPr>
      </w:r>
    </w:p>
    <w:p>
      <w:pPr>
        <w:pStyle w:val="style86"/>
      </w:pPr>
      <w:r>
        <w:rPr/>
        <w:t xml:space="preserve">La maximización de utilidades no toma en cuenta el riesgo -la posibilidad de que los resultados reales difieran de los esperados. (La maximización de la riqueza, por su parte, sí considera el riesgo.) Una premisa básica de la administración financiera es que existe una relación de intercambio entre rendimiento (utilidades) y riesgo. El rendimiento y el riesgo vienen siendo los determinantes clave del precio de las acciones, que, a su vez, invariablemente representa la riqueza del propietario de la empresa (p.98). </w:t>
      </w:r>
    </w:p>
    <w:p>
      <w:pPr>
        <w:pStyle w:val="style0"/>
        <w:spacing w:line="480" w:lineRule="auto"/>
      </w:pPr>
      <w:r>
        <w:rPr>
          <w:lang w:val="es-ES"/>
        </w:rPr>
      </w:r>
    </w:p>
    <w:p>
      <w:pPr>
        <w:pStyle w:val="style0"/>
      </w:pPr>
      <w:r>
        <w:rPr>
          <w:lang w:val="es-ES"/>
        </w:rPr>
        <w:t xml:space="preserve">Por tal razón, las utilidades más altas tienden a resultar en un precio más alto, en tanto que el riesgo más alto da por resultado un precio más bajo, debido a que el accionista debe ser compensado por el riesgo más alto. En general, los accionistas procuran evitar el riesgo; no obstante, dónde éste existe, son de esperarse rendimientos más altos.         </w:t>
      </w:r>
    </w:p>
    <w:p>
      <w:pPr>
        <w:pStyle w:val="style0"/>
        <w:ind w:firstLine="708" w:left="0" w:right="0"/>
      </w:pPr>
      <w:r>
        <w:rPr>
          <w:lang w:val="es-ES"/>
        </w:rPr>
      </w:r>
    </w:p>
    <w:p>
      <w:pPr>
        <w:pStyle w:val="style0"/>
      </w:pPr>
      <w:r>
        <w:rPr>
          <w:lang w:val="es-ES"/>
        </w:rPr>
        <w:t>El objetivo del administrador financiero consiste en maximizar la riqueza de los propietarios para quienes se administra la empresa. La riqueza de los propietarios de una corporación se mide por el precio de las acciones, que se basa a su vez en:</w:t>
      </w:r>
    </w:p>
    <w:p>
      <w:pPr>
        <w:pStyle w:val="style0"/>
        <w:ind w:firstLine="708" w:left="0" w:right="0"/>
      </w:pPr>
      <w:r>
        <w:rPr>
          <w:lang w:val="es-ES"/>
        </w:rPr>
        <w:t>- La regularidad de los rendimientos.</w:t>
      </w:r>
    </w:p>
    <w:p>
      <w:pPr>
        <w:pStyle w:val="style0"/>
        <w:ind w:firstLine="708" w:left="0" w:right="0"/>
      </w:pPr>
      <w:r>
        <w:rPr>
          <w:lang w:val="es-ES"/>
        </w:rPr>
        <w:t>-  Los flujos de efectivo.</w:t>
      </w:r>
    </w:p>
    <w:p>
      <w:pPr>
        <w:pStyle w:val="style0"/>
        <w:ind w:firstLine="708" w:left="0" w:right="0"/>
      </w:pPr>
      <w:r>
        <w:rPr>
          <w:lang w:val="es-ES"/>
        </w:rPr>
        <w:t xml:space="preserve">-  El riesgo.   </w:t>
      </w:r>
    </w:p>
    <w:p>
      <w:pPr>
        <w:pStyle w:val="style0"/>
      </w:pPr>
      <w:r>
        <w:rPr>
          <w:lang w:val="es-ES"/>
        </w:rPr>
      </w:r>
    </w:p>
    <w:p>
      <w:pPr>
        <w:pStyle w:val="style0"/>
      </w:pPr>
      <w:r>
        <w:rPr>
          <w:lang w:val="es-ES"/>
        </w:rPr>
        <w:t>Al considerar cada alternativa de decisión o posible iniciativa en términos de sus efectos en el precio de las acciones de la empresa, sólo deben emprenderse acciones que tiendan a aumentar su precio. Los administradores financieros se basan en dos dimensiones: Riesgo y Rendimiento, para tomar las decisiones en lo referente al precio de las acciones.</w:t>
      </w:r>
    </w:p>
    <w:p>
      <w:pPr>
        <w:pStyle w:val="style0"/>
        <w:ind w:firstLine="708" w:left="0" w:right="0"/>
      </w:pPr>
      <w:r>
        <w:rPr>
          <w:lang w:val="es-ES"/>
        </w:rPr>
      </w:r>
    </w:p>
    <w:p>
      <w:pPr>
        <w:pStyle w:val="style0"/>
        <w:ind w:firstLine="708" w:left="0" w:right="0"/>
      </w:pPr>
      <w:r>
        <w:rPr>
          <w:lang w:val="es-ES"/>
        </w:rPr>
        <w:t xml:space="preserve">Sobre este particular de ideas, Emery y Finnerty (2000) plantean: </w:t>
      </w:r>
    </w:p>
    <w:p>
      <w:pPr>
        <w:pStyle w:val="style86"/>
        <w:ind w:firstLine="238" w:left="329" w:right="567"/>
      </w:pPr>
      <w:r>
        <w:rPr>
          <w:lang w:eastAsia="es-ES" w:val="es-ES"/>
        </w:rPr>
      </w:r>
    </w:p>
    <w:p>
      <w:pPr>
        <w:pStyle w:val="style86"/>
      </w:pPr>
      <w:r>
        <w:rPr/>
        <w:t xml:space="preserve">El análisis y la planeación financieros tienen por objeto: </w:t>
      </w:r>
    </w:p>
    <w:p>
      <w:pPr>
        <w:pStyle w:val="style86"/>
      </w:pPr>
      <w:r>
        <w:rPr/>
        <w:t>a) Transformar la información financiera de modo que pueda utilizársela para estar al tanto de la posición financiera de la empresa. b) Evaluar los requerimientos de producción, y hasta que punto es posible satisfacerlos. c) Determinar si se habrá de requerir financiamiento adicional. Estas funciones comprenden la elaboración del balance general, al igual que el estado de resultados y otros estados financieros relacionados con el desempeño de la empresa (p.321).</w:t>
      </w:r>
    </w:p>
    <w:p>
      <w:pPr>
        <w:pStyle w:val="style0"/>
      </w:pPr>
      <w:r>
        <w:rPr>
          <w:lang w:val="es-ES"/>
        </w:rPr>
      </w:r>
    </w:p>
    <w:p>
      <w:pPr>
        <w:pStyle w:val="style0"/>
      </w:pPr>
      <w:r>
        <w:rPr>
          <w:lang w:val="es-ES"/>
        </w:rPr>
        <w:t>Las instituciones financieras son intermediarios que se ocupan de encausar los ahorros de personas, empresas y gobiernos a préstamos o inversiones. La diversidad de servicios que prestan las instituciones financieras se debe a la tolerancia de las leyes nacionales, las cuales propician la competencia en el mercado financiero.</w:t>
      </w:r>
    </w:p>
    <w:p>
      <w:pPr>
        <w:pStyle w:val="style0"/>
        <w:ind w:firstLine="708" w:left="0" w:right="0"/>
      </w:pPr>
      <w:r>
        <w:rPr>
          <w:lang w:val="es-ES"/>
        </w:rPr>
      </w:r>
    </w:p>
    <w:p>
      <w:pPr>
        <w:pStyle w:val="style0"/>
      </w:pPr>
      <w:r>
        <w:rPr>
          <w:lang w:val="es-ES"/>
        </w:rPr>
        <w:t>Los mercados financieros proporcionan un foro donde los proveedores y demandadores de fondos pueden realizar sus transacciones directamente. Entre estas instituciones se encuentran los mercados monetarios, que es donde se negocian las obligaciones a corto plazo, y los mercados de capital, donde se opera con deuda a largo plazo (bonos) y capital social de aportación (acciones comunes y preferentes).</w:t>
      </w:r>
    </w:p>
    <w:p>
      <w:pPr>
        <w:pStyle w:val="style0"/>
      </w:pPr>
      <w:r>
        <w:rPr>
          <w:lang w:val="es-ES"/>
        </w:rPr>
        <w:t>En relación con el tema de las funciones de la banca en el contexto del</w:t>
      </w:r>
      <w:r>
        <w:rPr>
          <w:rStyle w:val="style36"/>
          <w:rFonts w:cs="Times New Roman"/>
          <w:sz w:val="24"/>
          <w:szCs w:val="24"/>
        </w:rPr>
        <w:t xml:space="preserve"> área de crédito, </w:t>
      </w:r>
      <w:r>
        <w:rPr>
          <w:lang w:val="es-ES"/>
        </w:rPr>
        <w:t xml:space="preserve">los autores Emery y Finnerty (2000): </w:t>
      </w:r>
    </w:p>
    <w:p>
      <w:pPr>
        <w:pStyle w:val="style86"/>
        <w:ind w:hanging="0" w:left="567" w:right="567"/>
      </w:pPr>
      <w:r>
        <w:rPr>
          <w:lang w:eastAsia="es-ES" w:val="es-ES"/>
        </w:rPr>
      </w:r>
    </w:p>
    <w:p>
      <w:pPr>
        <w:pStyle w:val="style86"/>
        <w:ind w:hanging="0" w:left="567" w:right="567"/>
      </w:pPr>
      <w:r>
        <w:rPr>
          <w:lang w:eastAsia="es-ES" w:val="es-ES"/>
        </w:rPr>
      </w:r>
    </w:p>
    <w:p>
      <w:pPr>
        <w:pStyle w:val="style86"/>
      </w:pPr>
      <w:r>
        <w:rPr/>
        <w:t>Las tareas de los banqueros de inversiones consisten en asumir los riesgos que implica el buscar clientes para nuevas emisiones de obligaciones y proporcionar asesoría. Realizan asimismo colocaciones en privado y ofrecimientos públicos para las empresas que los contratan. La parte medular de los mercados de capital constituyen las bolsas de valores. Las formas dominantes de estas instituciones son las bolsas de valores organizadas, donde se realizan las transacciones de valores. La bolsa de valores no organizada es una alternativa para la negociación de valores, así como para la emisión de nuevos valores (p.321).</w:t>
      </w:r>
    </w:p>
    <w:p>
      <w:pPr>
        <w:pStyle w:val="style0"/>
        <w:spacing w:line="480" w:lineRule="auto"/>
      </w:pPr>
      <w:r>
        <w:rPr>
          <w:lang w:val="es-ES"/>
        </w:rPr>
      </w:r>
    </w:p>
    <w:p>
      <w:pPr>
        <w:pStyle w:val="style0"/>
      </w:pPr>
      <w:r>
        <w:rPr>
          <w:lang w:val="es-ES"/>
        </w:rPr>
        <w:t xml:space="preserve">Las tasas de interés y los rendimientos requeridos regulan la circulación de fondos entre ahorradores (proveedores) e inversionistas (demandadores). Para cualquier tipo de obligaciones de riesgo similar, la estructura temporal de las tasas de interés refleja la relación entre la tasa de interés, o tasa de rendimiento, y la fecha de vencimiento. Debido a que los inversionistas esperan una compensación por adoptar planes de inversión de riesgo más ó menos alto, tal compensación habrá de expresarse en términos de rendimientos más altos cuanto mayor sea el riesgo. Cada tipo de obligación tiene cierto grado de relación de intercambio riesgo-rendimiento.      </w:t>
      </w:r>
    </w:p>
    <w:p>
      <w:pPr>
        <w:pStyle w:val="style0"/>
      </w:pPr>
      <w:r>
        <w:rPr>
          <w:lang w:val="es-ES"/>
        </w:rPr>
        <w:t> </w:t>
      </w:r>
    </w:p>
    <w:p>
      <w:pPr>
        <w:pStyle w:val="style0"/>
      </w:pPr>
      <w:r>
        <w:rPr>
          <w:lang w:val="es-ES"/>
        </w:rPr>
        <w:t xml:space="preserve">Los flujos de efectivo suelen dividirse en: Los flujos de operaciones son los influjos y desembolsos que forman parte del ciclo de producción de la empresa. Los flujos financieros y legales comprenden el pago y la percepción de intereses; pagos y reembolsos de impuestos; las deudas contraídas y sus pagos; el efecto de las distribuciones de capital social o aportaciones mediante el pago de dividendos y compra de acciones; y, por último, los ingresos de efectivo resultantes de la venta de acciones. El Estado de Cambios en la Posición Financiera con base en los flujos de efectivo describe los orígenes y utilizaciones del efectivo durante un periodo específico. </w:t>
      </w:r>
    </w:p>
    <w:p>
      <w:pPr>
        <w:pStyle w:val="style0"/>
      </w:pPr>
      <w:r>
        <w:rPr>
          <w:lang w:val="es-ES"/>
        </w:rPr>
      </w:r>
    </w:p>
    <w:p>
      <w:pPr>
        <w:pStyle w:val="style0"/>
      </w:pPr>
      <w:r>
        <w:rPr>
          <w:lang w:val="es-ES"/>
        </w:rPr>
        <w:t xml:space="preserve">Es oportuno indicar que el estado preliminar de cambios en la posición financiera se elabora mediante la ubicación de cambios, su clasificación en orígenes y utilizaciones y su totalización en el balance general de un periodo específico. El estado definitivo de cambios se obtiene sustituyendo las utilidades netas después de impuestos y dividendos por el cambio en las utilidades retenidas, y el cambio en los activos fijos brutos y los gastos por depreciación por el cambio en los activos fijos netos. La interpretación del Estado de Cambios en la Posición Financiera requiere la evaluación de los diversos orígenes y utilizaciones, así como la relación que guardan entre sí. </w:t>
      </w:r>
    </w:p>
    <w:p>
      <w:pPr>
        <w:pStyle w:val="style0"/>
        <w:ind w:firstLine="708" w:left="0" w:right="0"/>
      </w:pPr>
      <w:r>
        <w:rPr>
          <w:lang w:val="es-ES"/>
        </w:rPr>
      </w:r>
    </w:p>
    <w:p>
      <w:pPr>
        <w:pStyle w:val="style0"/>
      </w:pPr>
      <w:r>
        <w:rPr>
          <w:lang w:val="es-ES"/>
        </w:rPr>
        <w:t xml:space="preserve">El análisis de los estados financieros se basa en el conocimiento y uso de razones o valores relativos. El análisis de razones comprende los métodos de cálculo e interpretación de razones financieras con el fin de determinar el desempeño y posición de la empresa. Los elementos básicos para el análisis de razones son el estado de resultados y el balance general de los periodos por analizar.     </w:t>
      </w:r>
    </w:p>
    <w:p>
      <w:pPr>
        <w:pStyle w:val="style0"/>
        <w:ind w:firstLine="708" w:left="0" w:right="0"/>
      </w:pPr>
      <w:r>
        <w:rPr>
          <w:lang w:val="es-ES"/>
        </w:rPr>
      </w:r>
    </w:p>
    <w:p>
      <w:pPr>
        <w:pStyle w:val="style0"/>
      </w:pPr>
      <w:r>
        <w:rPr>
          <w:lang w:val="es-ES"/>
        </w:rPr>
        <w:t xml:space="preserve">El análisis de razones de los estados financieros de una empresa resulta de interés tanto para accionistas y acreedores como para la administración misma de la empresa. Los accionistas presentes, al igual que los futuros, se interesan por los niveles de riesgo presentes y futuros, así como por los rendimientos, estas dos dimensiones determinan el precio de las acciones. Los acreedores de la empresa, por su parte, se concentran tanto en el grado de liquidez a corto plazo de la compañía como en su capacidad para cumplir con el pago de intereses y adeudos. </w:t>
      </w:r>
    </w:p>
    <w:p>
      <w:pPr>
        <w:pStyle w:val="style0"/>
      </w:pPr>
      <w:r>
        <w:rPr>
          <w:lang w:val="es-ES"/>
        </w:rPr>
      </w:r>
    </w:p>
    <w:p>
      <w:pPr>
        <w:pStyle w:val="style0"/>
      </w:pPr>
      <w:r>
        <w:rPr>
          <w:lang w:val="es-ES"/>
        </w:rPr>
        <w:t>En términos generales, lo que preocupa a los acreedores es la rentabilidad de la empresa; si ésta es redituable en el presente, lo ideal es que reúna las condiciones para seguir siéndolo. Por último, la administración, a semejanza de los accionistas, debe dirigir sus esfuerzos al apuntalamiento de la situación financiera de la empresa, de modo tal que ello resulte en razones financieras que acreedores y propietarios consideren favorables.</w:t>
      </w:r>
    </w:p>
    <w:p>
      <w:pPr>
        <w:pStyle w:val="style0"/>
      </w:pPr>
      <w:r>
        <w:rPr>
          <w:lang w:val="es-ES"/>
        </w:rPr>
      </w:r>
    </w:p>
    <w:p>
      <w:pPr>
        <w:pStyle w:val="style0"/>
        <w:ind w:hanging="0" w:left="0" w:right="0"/>
      </w:pPr>
      <w:r>
        <w:rPr>
          <w:b/>
        </w:rPr>
        <w:t>Fundamentos de la Valoración</w:t>
      </w:r>
    </w:p>
    <w:p>
      <w:pPr>
        <w:pStyle w:val="style51"/>
      </w:pPr>
      <w:r>
        <w:rPr/>
      </w:r>
    </w:p>
    <w:p>
      <w:pPr>
        <w:pStyle w:val="style51"/>
      </w:pPr>
      <w:r>
        <w:rPr/>
        <w:t>En este aparte se hace referencia a cuatro (04) fundamentos básicos que reúnen el planteamiento teórico de las reglas de valoración, a saber:</w:t>
      </w:r>
    </w:p>
    <w:p>
      <w:pPr>
        <w:pStyle w:val="style51"/>
      </w:pPr>
      <w:r>
        <w:rPr/>
      </w:r>
    </w:p>
    <w:p>
      <w:pPr>
        <w:pStyle w:val="style0"/>
      </w:pPr>
      <w:r>
        <w:rPr/>
        <w:t>- Un activo vale por lo que produce;</w:t>
      </w:r>
    </w:p>
    <w:p>
      <w:pPr>
        <w:pStyle w:val="style0"/>
      </w:pPr>
      <w:r>
        <w:rPr/>
        <w:t>- El efectivo es el único indicador de la riqueza;</w:t>
      </w:r>
    </w:p>
    <w:p>
      <w:pPr>
        <w:pStyle w:val="style0"/>
      </w:pPr>
      <w:r>
        <w:rPr/>
        <w:t>- El valor del dinero cambia a lo largo del tiempo, y</w:t>
      </w:r>
    </w:p>
    <w:p>
      <w:pPr>
        <w:pStyle w:val="style0"/>
      </w:pPr>
      <w:r>
        <w:rPr/>
        <w:t>- El rendimiento es una función del riesgo. Ferrer (2009)</w:t>
      </w:r>
    </w:p>
    <w:p>
      <w:pPr>
        <w:pStyle w:val="style0"/>
      </w:pPr>
      <w:r>
        <w:rPr/>
      </w:r>
    </w:p>
    <w:p>
      <w:pPr>
        <w:pStyle w:val="style0"/>
      </w:pPr>
      <w:r>
        <w:rPr/>
        <w:t xml:space="preserve">Estos fundamentos, descubiertos de manera progresiva por practicantes e investigadores de los temas financieros, apoyan la red de criterios y proposiciones que establecen las reglas parar valorar los proyectos. Vista su importancia, a continuación se presentan algunas referencias que destacan su interpretación y alcance. Para Serrano y Villarreal (2003): </w:t>
      </w:r>
    </w:p>
    <w:p>
      <w:pPr>
        <w:pStyle w:val="style0"/>
      </w:pPr>
      <w:r>
        <w:rPr/>
      </w:r>
    </w:p>
    <w:p>
      <w:pPr>
        <w:pStyle w:val="style86"/>
      </w:pPr>
      <w:r>
        <w:rPr/>
        <w:t>Un activo vale por lo que produce: La costumbre adoptada por la gerencia para transar los bienes y servicios a través de un precio ha determinado en buena medida la forma en que concebimos el valor de las cosas. Debe tomarse en cuenta que el precio de un bien es el producto de superponer un margen de ganancia sobre el costo de los insumos y trabajo necesarios para su fabricación, o sobre el precio pagado por estos si se refiere a una simple intermediación (p.231).</w:t>
      </w:r>
    </w:p>
    <w:p>
      <w:pPr>
        <w:pStyle w:val="style0"/>
        <w:spacing w:line="480" w:lineRule="auto"/>
      </w:pPr>
      <w:r>
        <w:rPr/>
      </w:r>
    </w:p>
    <w:p>
      <w:pPr>
        <w:pStyle w:val="style0"/>
      </w:pPr>
      <w:r>
        <w:rPr/>
        <w:t>Esta modalidad, que ha trascendido para asignar el valor económico de los bienes, en realidad resulta parcial para tales propósitos,  pues con ella sólo se atiende la creación de una ganancia a la hora de transar diversos activos, pero no propone una pauta explicita para establecer la utilidad, riqueza o satisfacción por recibir, que es, en todo caso, la verdadera esencia del concepto valor.</w:t>
      </w:r>
    </w:p>
    <w:p>
      <w:pPr>
        <w:pStyle w:val="style0"/>
      </w:pPr>
      <w:r>
        <w:rPr/>
      </w:r>
    </w:p>
    <w:p>
      <w:pPr>
        <w:pStyle w:val="style0"/>
      </w:pPr>
      <w:r>
        <w:rPr/>
        <w:t>Es así como resulta muy común confundir ambos conceptos, toda vez que cuantificar el valor de las cosas por lo que costó obtenerlas resulta más sencillo que hacerlo en función de su beneficio prometido. El pasado, ya total  y perfectamente cuantificado, contrasta con la incómoda incertidumbre de manejar el futuro de una actividad.</w:t>
      </w:r>
    </w:p>
    <w:p>
      <w:pPr>
        <w:pStyle w:val="style0"/>
      </w:pPr>
      <w:r>
        <w:rPr/>
      </w:r>
    </w:p>
    <w:p>
      <w:pPr>
        <w:pStyle w:val="style0"/>
      </w:pPr>
      <w:r>
        <w:rPr/>
        <w:t>Cuando se hace referencia a la valoración de un proyecto estos enfoques vuelven, de alguna manera, a confrontarse. Tiempo atrás se suponía que el valor de un negocio dependía de los resultados obtenidos, expresados estos a través de los estados contables. Ello se limitaba a verificar la condición de su patrimonio, por ser éste el elemento que incluye la utilidad obtenida en los ejercicios pasados. La regla sugería que mientras mayor fuera el patrimonio, mejores habrían sido los resultados de la empresa y, por lo tanto, mayor seria su valor.</w:t>
      </w:r>
    </w:p>
    <w:p>
      <w:pPr>
        <w:pStyle w:val="style0"/>
      </w:pPr>
      <w:r>
        <w:rPr/>
      </w:r>
    </w:p>
    <w:p>
      <w:pPr>
        <w:pStyle w:val="style0"/>
      </w:pPr>
      <w:r>
        <w:rPr/>
        <w:t>En contraposición, la nueva escuela financiera sugiere establecer el valor de los activos en función del beneficio que prometen. Este enfoque resulta más amplio, ya que la oferta de retorno será medida a partir de los resultados obtenidos, pero proyectados de cara al futuro. Como bien se observa, el ofrecimiento es la piedra angular de este primer fundamento y ella trasciende en toda decisión de inversión. Esto se evidencia por los diversos estudios que han demostrado que los mercados siguen estas pautas cuando establecen vínculos estrechos entre las expectativas y la formación del precio de los títulos que estos se transan.</w:t>
      </w:r>
    </w:p>
    <w:p>
      <w:pPr>
        <w:pStyle w:val="style0"/>
      </w:pPr>
      <w:r>
        <w:rPr/>
        <w:t xml:space="preserve">En líneas generales, los aspectos anteriormente mencionados, son de suma importancia dentro de esta investigación ya que éstos establecen los lineamientos básicos que permiten a los gerentes identificar las metas financieras, así como las oportunidades de inversión (compra de activos) endeudamientos, además que contribuyen al mejoramiento de los procesos administrativos que son manejados dentro de las instituciones bancarias dentro de las cuales se podría encontrar la planeación, organización, dirección y control las cuales permiten tomar la mejor decisión en base a los riesgos.  </w:t>
      </w:r>
    </w:p>
    <w:p>
      <w:pPr>
        <w:pStyle w:val="style0"/>
      </w:pPr>
      <w:r>
        <w:rPr/>
      </w:r>
    </w:p>
    <w:p>
      <w:pPr>
        <w:pStyle w:val="style0"/>
        <w:ind w:hanging="0" w:left="0" w:right="0"/>
      </w:pPr>
      <w:r>
        <w:rPr>
          <w:b/>
          <w:bCs/>
        </w:rPr>
        <w:t>Análisis de Riesgos Crediticios</w:t>
      </w:r>
      <w:r>
        <w:rPr>
          <w:rStyle w:val="style37"/>
          <w:rFonts w:ascii="Arial" w:cs="Arial" w:hAnsi="Arial"/>
          <w:color w:val="000000"/>
          <w:sz w:val="18"/>
          <w:szCs w:val="18"/>
        </w:rPr>
        <w:t> </w:t>
      </w:r>
    </w:p>
    <w:p>
      <w:pPr>
        <w:pStyle w:val="style0"/>
        <w:ind w:hanging="0" w:left="0" w:right="0"/>
      </w:pPr>
      <w:r>
        <w:rPr/>
      </w:r>
    </w:p>
    <w:p>
      <w:pPr>
        <w:pStyle w:val="style0"/>
      </w:pPr>
      <w:r>
        <w:rPr/>
        <w:t>Desde una perspectiva general se puede indicar que los créditos vienen de la necesidad de capital, ya sean para inversiones a corto o largo plazo. Al solicitar un crédito serán evaluados tanto el solicitante, como el destino que se le dará a este préstamo, aquí es donde entra el evaluador donde es el encargado de hablar con el solicitante y explicarle los pro y los contras, de las condiciones en la que se encuentra el sector en el que él trabaja.</w:t>
      </w:r>
    </w:p>
    <w:p>
      <w:pPr>
        <w:pStyle w:val="style0"/>
      </w:pPr>
      <w:r>
        <w:rPr/>
      </w:r>
    </w:p>
    <w:p>
      <w:pPr>
        <w:pStyle w:val="style0"/>
      </w:pPr>
      <w:r>
        <w:rPr/>
        <w:t>El otorgamiento de créditos no pasa necesariamente por las entidades bancarias, muchas veces el financista es el propio comprador o proveedor, en este caso de igual modo se fijan una serie de dimensiones, como lo</w:t>
      </w:r>
      <w:r>
        <w:rPr>
          <w:rStyle w:val="style37"/>
          <w:rFonts w:ascii="Arial" w:cs="Arial" w:hAnsi="Arial"/>
          <w:color w:val="000000"/>
          <w:sz w:val="18"/>
          <w:szCs w:val="18"/>
        </w:rPr>
        <w:t> </w:t>
      </w:r>
      <w:r>
        <w:rPr/>
        <w:t xml:space="preserve">moral, lo económico, el entorno, los antecedentes, claro que ello enmarcado en las estrictas dimensiones del negocio, es decir el análisis es menos sofisticado pero se da, aun cuando sea de manera poco formal en quien provee el dinero, partiendo de los siguientes análisis: </w:t>
      </w:r>
    </w:p>
    <w:p>
      <w:pPr>
        <w:pStyle w:val="style0"/>
      </w:pPr>
      <w:r>
        <w:rPr/>
      </w:r>
    </w:p>
    <w:p>
      <w:pPr>
        <w:pStyle w:val="style0"/>
      </w:pPr>
      <w:r>
        <w:rPr/>
        <w:t>Ahora bien, el papel que desempeña el</w:t>
      </w:r>
      <w:r>
        <w:rPr>
          <w:rStyle w:val="style37"/>
          <w:rFonts w:ascii="Arial" w:cs="Arial" w:hAnsi="Arial"/>
          <w:color w:val="000000"/>
          <w:sz w:val="18"/>
          <w:szCs w:val="18"/>
        </w:rPr>
        <w:t> </w:t>
      </w:r>
      <w:r>
        <w:rPr/>
        <w:t>crédito</w:t>
      </w:r>
      <w:r>
        <w:rPr>
          <w:rStyle w:val="style37"/>
          <w:rFonts w:ascii="Arial" w:cs="Arial" w:hAnsi="Arial"/>
          <w:color w:val="000000"/>
          <w:sz w:val="18"/>
          <w:szCs w:val="18"/>
        </w:rPr>
        <w:t> </w:t>
      </w:r>
      <w:r>
        <w:rPr/>
        <w:t>dentro de la</w:t>
      </w:r>
      <w:r>
        <w:rPr>
          <w:rStyle w:val="style37"/>
          <w:rFonts w:ascii="Arial" w:cs="Arial" w:hAnsi="Arial"/>
          <w:color w:val="000000"/>
          <w:sz w:val="18"/>
          <w:szCs w:val="18"/>
        </w:rPr>
        <w:t> </w:t>
      </w:r>
      <w:r>
        <w:rPr/>
        <w:t>economía</w:t>
      </w:r>
      <w:r>
        <w:rPr>
          <w:rStyle w:val="style37"/>
          <w:rFonts w:ascii="Arial" w:cs="Arial" w:hAnsi="Arial"/>
          <w:color w:val="000000"/>
          <w:sz w:val="18"/>
          <w:szCs w:val="18"/>
        </w:rPr>
        <w:t> </w:t>
      </w:r>
      <w:r>
        <w:rPr/>
        <w:t>es de gran importancia, debido a que, entre otras cosas, es un instrumento muy eficaz en el</w:t>
      </w:r>
      <w:r>
        <w:rPr>
          <w:rStyle w:val="style37"/>
          <w:rFonts w:ascii="Arial" w:cs="Arial" w:hAnsi="Arial"/>
          <w:color w:val="000000"/>
          <w:sz w:val="18"/>
          <w:szCs w:val="18"/>
        </w:rPr>
        <w:t> </w:t>
      </w:r>
      <w:r>
        <w:rPr/>
        <w:t>proceso</w:t>
      </w:r>
      <w:r>
        <w:rPr>
          <w:rStyle w:val="style37"/>
          <w:rFonts w:ascii="Arial" w:cs="Arial" w:hAnsi="Arial"/>
          <w:color w:val="000000"/>
          <w:sz w:val="18"/>
          <w:szCs w:val="18"/>
        </w:rPr>
        <w:t> </w:t>
      </w:r>
      <w:r>
        <w:rPr/>
        <w:t>de reactivación económica, ya que es mediante el crédito una de las formas más eficaces en cómo puede impulsarse el</w:t>
      </w:r>
      <w:r>
        <w:rPr>
          <w:rStyle w:val="style37"/>
          <w:rFonts w:ascii="Arial" w:cs="Arial" w:hAnsi="Arial"/>
          <w:color w:val="000000"/>
          <w:sz w:val="18"/>
          <w:szCs w:val="18"/>
        </w:rPr>
        <w:t> </w:t>
      </w:r>
      <w:r>
        <w:rPr/>
        <w:t>desarrollo</w:t>
      </w:r>
      <w:r>
        <w:rPr>
          <w:rStyle w:val="style37"/>
          <w:rFonts w:ascii="Arial" w:cs="Arial" w:hAnsi="Arial"/>
          <w:color w:val="000000"/>
          <w:sz w:val="18"/>
          <w:szCs w:val="18"/>
        </w:rPr>
        <w:t> </w:t>
      </w:r>
      <w:r>
        <w:rPr/>
        <w:t>de una economía. Sin lugar a dudas que la calidad de una economía de un país es observable, entre otros indicadores, a través de la calidad de su sistema financiero y los servicios crediticios que la misma ofrece a los diversos agentes económicos.</w:t>
      </w:r>
    </w:p>
    <w:p>
      <w:pPr>
        <w:pStyle w:val="style0"/>
      </w:pPr>
      <w:r>
        <w:rPr/>
      </w:r>
    </w:p>
    <w:p>
      <w:pPr>
        <w:pStyle w:val="style0"/>
      </w:pPr>
      <w:r>
        <w:rPr/>
        <w:t>También se puede mencionar que solamente a través de esquemas crediticios adecuados será posible que la economía recupere el dinamismo que tanta falta hace hoy día, ello con la finalidad de dar solución, entre otras, a las necesidades de</w:t>
      </w:r>
      <w:r>
        <w:rPr>
          <w:rStyle w:val="style37"/>
          <w:rFonts w:ascii="Arial" w:cs="Arial" w:hAnsi="Arial"/>
          <w:color w:val="000000"/>
          <w:sz w:val="18"/>
          <w:szCs w:val="18"/>
        </w:rPr>
        <w:t> </w:t>
      </w:r>
      <w:r>
        <w:rPr/>
        <w:t>trabajo</w:t>
      </w:r>
      <w:r>
        <w:rPr>
          <w:rStyle w:val="style37"/>
          <w:rFonts w:ascii="Arial" w:cs="Arial" w:hAnsi="Arial"/>
          <w:color w:val="000000"/>
          <w:sz w:val="18"/>
          <w:szCs w:val="18"/>
        </w:rPr>
        <w:t> </w:t>
      </w:r>
      <w:r>
        <w:rPr/>
        <w:t>y desarrollo del país. Es necesario por lo tanto crear las bases de un sistema financiero integral que impulse el crecimiento de los diversos sectores de la economía.</w:t>
      </w:r>
    </w:p>
    <w:p>
      <w:pPr>
        <w:pStyle w:val="style0"/>
      </w:pPr>
      <w:r>
        <w:rPr/>
      </w:r>
    </w:p>
    <w:p>
      <w:pPr>
        <w:pStyle w:val="style0"/>
      </w:pPr>
      <w:r>
        <w:rPr/>
        <w:t>El área de riesgo</w:t>
      </w:r>
      <w:r>
        <w:rPr>
          <w:rStyle w:val="style37"/>
          <w:rFonts w:ascii="Arial" w:cs="Arial" w:hAnsi="Arial"/>
          <w:color w:val="000000"/>
          <w:sz w:val="18"/>
          <w:szCs w:val="18"/>
        </w:rPr>
        <w:t> </w:t>
      </w:r>
      <w:r>
        <w:rPr/>
        <w:t xml:space="preserve">crediticio de una institución bancaria debe perseguir los siguientes objetivos: que los riesgos de la institución financiera se mantengan en niveles razonables que permitan la rentabilidad de la misma; formación del personal en análisis de crédito permite dar solidez al momento de emitir un criterio. De acuerdo con Emery y Finnerty (2000): </w:t>
      </w:r>
    </w:p>
    <w:p>
      <w:pPr>
        <w:pStyle w:val="style0"/>
      </w:pPr>
      <w:r>
        <w:rPr/>
      </w:r>
    </w:p>
    <w:p>
      <w:pPr>
        <w:pStyle w:val="style80"/>
      </w:pPr>
      <w:r>
        <w:rPr/>
        <w:t>La principal</w:t>
      </w:r>
      <w:r>
        <w:rPr>
          <w:rStyle w:val="style37"/>
          <w:rFonts w:ascii="Arial" w:cs="Arial" w:hAnsi="Arial"/>
          <w:color w:val="000000"/>
          <w:sz w:val="18"/>
          <w:szCs w:val="18"/>
        </w:rPr>
        <w:t> </w:t>
      </w:r>
      <w:r>
        <w:rPr/>
        <w:t>función</w:t>
      </w:r>
      <w:r>
        <w:rPr>
          <w:rStyle w:val="style37"/>
          <w:rFonts w:ascii="Arial" w:cs="Arial" w:hAnsi="Arial"/>
          <w:color w:val="000000"/>
          <w:sz w:val="18"/>
          <w:szCs w:val="18"/>
        </w:rPr>
        <w:t> </w:t>
      </w:r>
      <w:r>
        <w:rPr/>
        <w:t>de los departamentos y/o áreas de riesgos crediticio   es determinar el riesgo que significará  para la institución otorgar un determinado crédito y para ello es necesario conocer a través de un análisis cuidadoso los estados financieros del</w:t>
      </w:r>
      <w:r>
        <w:rPr>
          <w:rStyle w:val="style37"/>
          <w:rFonts w:ascii="Arial" w:cs="Arial" w:hAnsi="Arial"/>
          <w:color w:val="000000"/>
          <w:sz w:val="18"/>
          <w:szCs w:val="18"/>
        </w:rPr>
        <w:t> </w:t>
      </w:r>
      <w:r>
        <w:rPr/>
        <w:t>cliente, análisis de los diversos puntos tanto cualitativos como cuantitativos que en conjunto permitirá tener una mejor visión sobre el cliente y la capacidad para</w:t>
      </w:r>
      <w:r>
        <w:rPr>
          <w:rStyle w:val="style37"/>
          <w:rFonts w:ascii="Arial" w:cs="Arial" w:hAnsi="Arial"/>
          <w:color w:val="000000"/>
          <w:sz w:val="18"/>
          <w:szCs w:val="18"/>
        </w:rPr>
        <w:t> </w:t>
      </w:r>
      <w:r>
        <w:rPr/>
        <w:t>poder</w:t>
      </w:r>
      <w:r>
        <w:rPr>
          <w:rStyle w:val="style37"/>
          <w:rFonts w:ascii="Arial" w:cs="Arial" w:hAnsi="Arial"/>
          <w:color w:val="000000"/>
          <w:sz w:val="18"/>
          <w:szCs w:val="18"/>
        </w:rPr>
        <w:t> </w:t>
      </w:r>
      <w:r>
        <w:rPr/>
        <w:t>pagar dicho crédito. (p.98)</w:t>
      </w:r>
    </w:p>
    <w:p>
      <w:pPr>
        <w:pStyle w:val="style80"/>
      </w:pPr>
      <w:r>
        <w:rPr/>
      </w:r>
    </w:p>
    <w:p>
      <w:pPr>
        <w:pStyle w:val="style0"/>
      </w:pPr>
      <w:r>
        <w:rPr/>
      </w:r>
    </w:p>
    <w:p>
      <w:pPr>
        <w:pStyle w:val="style0"/>
      </w:pPr>
      <w:r>
        <w:rPr/>
        <w:t>Dentro de los objetivos y funciones del departamento de riesgo se encuentran las siguientes</w:t>
      </w:r>
      <w:r>
        <w:rPr>
          <w:b/>
          <w:bCs/>
        </w:rPr>
        <w:t xml:space="preserve">: </w:t>
      </w:r>
      <w:r>
        <w:rPr/>
        <w:t>Mantener niveles relativamente bajos de un riesgo crediticio, además que permitan tener una buena rentabilidad y permanencia del mismo. Es muy importante mantener al personal con</w:t>
      </w:r>
      <w:r>
        <w:rPr>
          <w:rStyle w:val="style37"/>
          <w:rFonts w:ascii="Arial" w:cs="Arial" w:hAnsi="Arial"/>
          <w:color w:val="000000"/>
          <w:sz w:val="18"/>
          <w:szCs w:val="18"/>
        </w:rPr>
        <w:t> </w:t>
      </w:r>
      <w:r>
        <w:rPr/>
        <w:t>capacitación</w:t>
      </w:r>
      <w:r>
        <w:rPr>
          <w:rStyle w:val="style37"/>
          <w:rFonts w:ascii="Arial" w:cs="Arial" w:hAnsi="Arial"/>
          <w:color w:val="000000"/>
          <w:sz w:val="18"/>
          <w:szCs w:val="18"/>
        </w:rPr>
        <w:t> </w:t>
      </w:r>
      <w:r>
        <w:rPr/>
        <w:t>constante sobre las tendencias de las economías en el país y tener constante capacitación en el tema de</w:t>
      </w:r>
      <w:r>
        <w:rPr>
          <w:rStyle w:val="style37"/>
          <w:rFonts w:ascii="Arial" w:cs="Arial" w:hAnsi="Arial"/>
          <w:color w:val="000000"/>
          <w:sz w:val="18"/>
          <w:szCs w:val="18"/>
        </w:rPr>
        <w:t> </w:t>
      </w:r>
      <w:r>
        <w:rPr/>
        <w:t>finanzas</w:t>
      </w:r>
      <w:r>
        <w:rPr>
          <w:rStyle w:val="style37"/>
          <w:rFonts w:ascii="Arial" w:cs="Arial" w:hAnsi="Arial"/>
          <w:color w:val="000000"/>
          <w:sz w:val="18"/>
          <w:szCs w:val="18"/>
        </w:rPr>
        <w:t> </w:t>
      </w:r>
      <w:r>
        <w:rPr/>
        <w:t>y decisiones financieras. Es importante que los departamentos de tener a mano estudios de</w:t>
      </w:r>
      <w:r>
        <w:rPr>
          <w:rStyle w:val="style37"/>
          <w:rFonts w:ascii="Arial" w:cs="Arial" w:hAnsi="Arial"/>
          <w:color w:val="000000"/>
          <w:sz w:val="18"/>
          <w:szCs w:val="18"/>
        </w:rPr>
        <w:t> </w:t>
      </w:r>
      <w:r>
        <w:rPr/>
        <w:t>mercado</w:t>
      </w:r>
      <w:r>
        <w:rPr>
          <w:rStyle w:val="style37"/>
          <w:rFonts w:ascii="Arial" w:cs="Arial" w:hAnsi="Arial"/>
          <w:color w:val="000000"/>
          <w:sz w:val="18"/>
          <w:szCs w:val="18"/>
        </w:rPr>
        <w:t> </w:t>
      </w:r>
      <w:r>
        <w:rPr/>
        <w:t xml:space="preserve">y estudios sectoriales. </w:t>
      </w:r>
    </w:p>
    <w:p>
      <w:pPr>
        <w:pStyle w:val="style0"/>
      </w:pPr>
      <w:r>
        <w:rPr/>
      </w:r>
    </w:p>
    <w:p>
      <w:pPr>
        <w:pStyle w:val="style0"/>
      </w:pPr>
      <w:r>
        <w:rPr/>
        <w:t>De igual manera, dentro de esta área se desarrollan actividades para Crear</w:t>
      </w:r>
      <w:r>
        <w:rPr>
          <w:rStyle w:val="style37"/>
          <w:rFonts w:ascii="Arial" w:cs="Arial" w:hAnsi="Arial"/>
          <w:color w:val="000000"/>
          <w:sz w:val="18"/>
          <w:szCs w:val="18"/>
        </w:rPr>
        <w:t> </w:t>
      </w:r>
      <w:r>
        <w:rPr/>
        <w:t>sistemas</w:t>
      </w:r>
      <w:r>
        <w:rPr>
          <w:rStyle w:val="style37"/>
          <w:rFonts w:ascii="Arial" w:cs="Arial" w:hAnsi="Arial"/>
          <w:color w:val="000000"/>
          <w:sz w:val="18"/>
          <w:szCs w:val="18"/>
        </w:rPr>
        <w:t> </w:t>
      </w:r>
      <w:r>
        <w:rPr/>
        <w:t>estándares de</w:t>
      </w:r>
      <w:r>
        <w:rPr>
          <w:rStyle w:val="style37"/>
          <w:rFonts w:ascii="Arial" w:cs="Arial" w:hAnsi="Arial"/>
          <w:color w:val="000000"/>
          <w:sz w:val="18"/>
          <w:szCs w:val="18"/>
        </w:rPr>
        <w:t> </w:t>
      </w:r>
      <w:r>
        <w:rPr/>
        <w:t>evaluación</w:t>
      </w:r>
      <w:r>
        <w:rPr>
          <w:rStyle w:val="style37"/>
          <w:rFonts w:ascii="Arial" w:cs="Arial" w:hAnsi="Arial"/>
          <w:color w:val="000000"/>
          <w:sz w:val="18"/>
          <w:szCs w:val="18"/>
        </w:rPr>
        <w:t> </w:t>
      </w:r>
      <w:r>
        <w:rPr/>
        <w:t>de</w:t>
      </w:r>
      <w:r>
        <w:rPr>
          <w:rStyle w:val="style37"/>
          <w:rFonts w:ascii="Arial" w:cs="Arial" w:hAnsi="Arial"/>
          <w:color w:val="000000"/>
          <w:sz w:val="18"/>
          <w:szCs w:val="18"/>
        </w:rPr>
        <w:t> </w:t>
      </w:r>
      <w:r>
        <w:rPr/>
        <w:t>créditos, realizar estudios de segmento y detectar aquellos créditos con riesgos superiores a lo normal, para hacerles seguimiento más minucioso. Otras actividades es preparar un sin número de análisis para futuros ejecutivos de</w:t>
      </w:r>
      <w:r>
        <w:rPr>
          <w:rStyle w:val="style37"/>
          <w:rFonts w:ascii="Arial" w:cs="Arial" w:hAnsi="Arial"/>
          <w:color w:val="000000"/>
          <w:sz w:val="18"/>
          <w:szCs w:val="18"/>
        </w:rPr>
        <w:t> </w:t>
      </w:r>
      <w:r>
        <w:rPr/>
        <w:t>cuentas, realizar estudios sectoriales y contar con información bibliográfica al alcance para posibles consultas, además de estar al tanto y al día de las publicaciones de la prensa en lo que se refiere al movimiento macroeconómico y las tendencias</w:t>
      </w:r>
      <w:r>
        <w:rPr>
          <w:rStyle w:val="style37"/>
          <w:rFonts w:ascii="Arial" w:cs="Arial" w:hAnsi="Arial"/>
          <w:color w:val="000000"/>
          <w:sz w:val="18"/>
          <w:szCs w:val="18"/>
        </w:rPr>
        <w:t> </w:t>
      </w:r>
      <w:r>
        <w:rPr/>
        <w:t>políticas</w:t>
      </w:r>
      <w:r>
        <w:rPr>
          <w:rStyle w:val="style37"/>
          <w:rFonts w:ascii="Arial" w:cs="Arial" w:hAnsi="Arial"/>
          <w:color w:val="000000"/>
          <w:sz w:val="18"/>
          <w:szCs w:val="18"/>
        </w:rPr>
        <w:t> </w:t>
      </w:r>
      <w:r>
        <w:rPr/>
        <w:t>y monetarias.</w:t>
      </w:r>
    </w:p>
    <w:p>
      <w:pPr>
        <w:pStyle w:val="style0"/>
      </w:pPr>
      <w:r>
        <w:rPr/>
      </w:r>
    </w:p>
    <w:p>
      <w:pPr>
        <w:pStyle w:val="style0"/>
      </w:pPr>
      <w:r>
        <w:rPr/>
        <w:t>En cuanto a las clases de créditos, se puede decir que existe en el mercado diversidad de créditos los cuales se clasifican de acuerdo con el destino que se financian, el plazo la fuente de pago y las garantías que se requieren; por lo tanto se dividen en dos grandes</w:t>
      </w:r>
      <w:r>
        <w:rPr>
          <w:rStyle w:val="style37"/>
          <w:rFonts w:ascii="Arial" w:cs="Arial" w:hAnsi="Arial"/>
          <w:color w:val="000000"/>
          <w:sz w:val="18"/>
          <w:szCs w:val="18"/>
        </w:rPr>
        <w:t> </w:t>
      </w:r>
      <w:r>
        <w:rPr/>
        <w:t>grupos: Préstamo o</w:t>
      </w:r>
      <w:r>
        <w:rPr>
          <w:rStyle w:val="style37"/>
          <w:rFonts w:ascii="Arial" w:cs="Arial" w:hAnsi="Arial"/>
          <w:color w:val="000000"/>
          <w:sz w:val="18"/>
          <w:szCs w:val="18"/>
        </w:rPr>
        <w:t> </w:t>
      </w:r>
      <w:r>
        <w:rPr/>
        <w:t>financiamiento: consiste en la entrega de</w:t>
      </w:r>
      <w:r>
        <w:rPr>
          <w:rStyle w:val="style37"/>
          <w:rFonts w:ascii="Arial" w:cs="Arial" w:hAnsi="Arial"/>
          <w:color w:val="000000"/>
          <w:sz w:val="18"/>
          <w:szCs w:val="18"/>
        </w:rPr>
        <w:t> </w:t>
      </w:r>
      <w:r>
        <w:rPr/>
        <w:t>dinero</w:t>
      </w:r>
      <w:r>
        <w:rPr>
          <w:rStyle w:val="style37"/>
          <w:rFonts w:ascii="Arial" w:cs="Arial" w:hAnsi="Arial"/>
          <w:color w:val="000000"/>
          <w:sz w:val="18"/>
          <w:szCs w:val="18"/>
        </w:rPr>
        <w:t> </w:t>
      </w:r>
      <w:r>
        <w:rPr/>
        <w:t>con la promesa de ser devuelto en una fecha señalada, abonando los intereses. Ventas a crédito: es la entrega de un bien para cancelar su</w:t>
      </w:r>
      <w:r>
        <w:rPr>
          <w:rStyle w:val="style37"/>
          <w:rFonts w:ascii="Arial" w:cs="Arial" w:hAnsi="Arial"/>
          <w:color w:val="000000"/>
          <w:sz w:val="18"/>
          <w:szCs w:val="18"/>
        </w:rPr>
        <w:t> </w:t>
      </w:r>
      <w:r>
        <w:rPr/>
        <w:t>valor</w:t>
      </w:r>
      <w:r>
        <w:rPr>
          <w:rStyle w:val="style37"/>
          <w:rFonts w:ascii="Arial" w:cs="Arial" w:hAnsi="Arial"/>
          <w:color w:val="000000"/>
          <w:sz w:val="18"/>
          <w:szCs w:val="18"/>
        </w:rPr>
        <w:t> </w:t>
      </w:r>
      <w:r>
        <w:rPr/>
        <w:t>en el futuro. Esta última forma de crédito, es la que trata este</w:t>
      </w:r>
      <w:r>
        <w:rPr>
          <w:rStyle w:val="style37"/>
          <w:rFonts w:ascii="Arial" w:cs="Arial" w:hAnsi="Arial"/>
          <w:color w:val="000000"/>
          <w:sz w:val="18"/>
          <w:szCs w:val="18"/>
        </w:rPr>
        <w:t> </w:t>
      </w:r>
      <w:r>
        <w:rPr/>
        <w:t>proyecto.</w:t>
      </w:r>
    </w:p>
    <w:p>
      <w:pPr>
        <w:pStyle w:val="style0"/>
      </w:pPr>
      <w:r>
        <w:rPr/>
      </w:r>
    </w:p>
    <w:p>
      <w:pPr>
        <w:pStyle w:val="style0"/>
      </w:pPr>
      <w:r>
        <w:rPr/>
        <w:t>El crédito no es simplemente un</w:t>
      </w:r>
      <w:r>
        <w:rPr>
          <w:rStyle w:val="style37"/>
          <w:rFonts w:ascii="Arial" w:cs="Arial" w:hAnsi="Arial"/>
          <w:color w:val="000000"/>
          <w:sz w:val="18"/>
          <w:szCs w:val="18"/>
        </w:rPr>
        <w:t> </w:t>
      </w:r>
      <w:r>
        <w:rPr/>
        <w:t>concepto, sino una</w:t>
      </w:r>
      <w:r>
        <w:rPr>
          <w:rStyle w:val="style37"/>
          <w:rFonts w:ascii="Arial" w:cs="Arial" w:hAnsi="Arial"/>
          <w:color w:val="000000"/>
          <w:sz w:val="18"/>
          <w:szCs w:val="18"/>
        </w:rPr>
        <w:t> </w:t>
      </w:r>
      <w:r>
        <w:rPr/>
        <w:t>acción</w:t>
      </w:r>
      <w:r>
        <w:rPr>
          <w:rStyle w:val="style37"/>
          <w:rFonts w:ascii="Arial" w:cs="Arial" w:hAnsi="Arial"/>
          <w:color w:val="000000"/>
          <w:sz w:val="18"/>
          <w:szCs w:val="18"/>
        </w:rPr>
        <w:t> </w:t>
      </w:r>
      <w:r>
        <w:rPr/>
        <w:t>que dinamiza los diferentes sectores de la economía; canaliza el efectivo disponible hacia las unidades que necesitan fortalecerse por medio de él. Esta funciona como un medio de financiamiento para obtener los</w:t>
      </w:r>
      <w:r>
        <w:rPr>
          <w:rStyle w:val="style37"/>
          <w:rFonts w:ascii="Arial" w:cs="Arial" w:hAnsi="Arial"/>
          <w:color w:val="000000"/>
          <w:sz w:val="18"/>
          <w:szCs w:val="18"/>
        </w:rPr>
        <w:t> </w:t>
      </w:r>
      <w:r>
        <w:rPr/>
        <w:t>bienes</w:t>
      </w:r>
      <w:r>
        <w:rPr>
          <w:rStyle w:val="style37"/>
          <w:rFonts w:ascii="Arial" w:cs="Arial" w:hAnsi="Arial"/>
          <w:color w:val="000000"/>
          <w:sz w:val="18"/>
          <w:szCs w:val="18"/>
        </w:rPr>
        <w:t> </w:t>
      </w:r>
      <w:r>
        <w:rPr/>
        <w:t>que ofrece el fabricante por medio de un pago futuro, donde las pequeñas</w:t>
      </w:r>
      <w:r>
        <w:rPr>
          <w:rStyle w:val="style37"/>
          <w:rFonts w:ascii="Arial" w:cs="Arial" w:hAnsi="Arial"/>
          <w:color w:val="000000"/>
          <w:sz w:val="18"/>
          <w:szCs w:val="18"/>
        </w:rPr>
        <w:t> </w:t>
      </w:r>
      <w:r>
        <w:rPr/>
        <w:t>empresas</w:t>
      </w:r>
      <w:r>
        <w:rPr>
          <w:rStyle w:val="style37"/>
          <w:rFonts w:ascii="Arial" w:cs="Arial" w:hAnsi="Arial"/>
          <w:color w:val="000000"/>
          <w:sz w:val="18"/>
          <w:szCs w:val="18"/>
        </w:rPr>
        <w:t> </w:t>
      </w:r>
      <w:r>
        <w:rPr/>
        <w:t>adquieren los productos o materias primas para seguir realizando sus actividades comerciales. El pequeño comerciante adquiere sus bienes a crédito del fabricante, a su vez obtiene refacciones y materias primas por medio de transacciones a crédito.</w:t>
      </w:r>
    </w:p>
    <w:p>
      <w:pPr>
        <w:pStyle w:val="style0"/>
      </w:pPr>
      <w:r>
        <w:rPr/>
        <w:t>Entre las ventajas que ofrece el crédito se deben señalar las siguientes: incrementa las actividades económicas a través de un mayor dinamismo de la producción, el comercio y el financiamiento; impulsa el desarrollo de las empresas a través del aumento que se registra en las ventas, lo que a su vez permite mayor concentración de capitales que pueden ser invertidos en otras compañías o negociación.</w:t>
      </w:r>
    </w:p>
    <w:p>
      <w:pPr>
        <w:pStyle w:val="style0"/>
      </w:pPr>
      <w:r>
        <w:rPr/>
      </w:r>
    </w:p>
    <w:p>
      <w:pPr>
        <w:pStyle w:val="style0"/>
      </w:pPr>
      <w:r>
        <w:rPr/>
        <w:t>Cabe destacar que todo crédito tiene sus desventajas, entre estas están las siguientes: existe siempre el riesgo de que un cliente resulte moroso o insolvente, lo que produce</w:t>
      </w:r>
      <w:r>
        <w:rPr>
          <w:rStyle w:val="style37"/>
          <w:rFonts w:ascii="Arial" w:cs="Arial" w:hAnsi="Arial"/>
          <w:color w:val="000000"/>
          <w:sz w:val="18"/>
          <w:szCs w:val="18"/>
        </w:rPr>
        <w:t> </w:t>
      </w:r>
      <w:r>
        <w:rPr/>
        <w:t>gastos</w:t>
      </w:r>
      <w:r>
        <w:rPr>
          <w:rStyle w:val="style37"/>
          <w:rFonts w:ascii="Arial" w:cs="Arial" w:hAnsi="Arial"/>
          <w:color w:val="000000"/>
          <w:sz w:val="18"/>
          <w:szCs w:val="18"/>
        </w:rPr>
        <w:t> </w:t>
      </w:r>
      <w:r>
        <w:rPr/>
        <w:t>pos cuentas malas o incobrables, si el cliente no se presenta nunca a pagar. El tipo de cliente debe corresponder al mercado objetivo definido  por la institución, ya que la evaluación y</w:t>
      </w:r>
      <w:r>
        <w:rPr>
          <w:rStyle w:val="style37"/>
          <w:rFonts w:ascii="Arial" w:cs="Arial" w:hAnsi="Arial"/>
          <w:color w:val="000000"/>
          <w:sz w:val="18"/>
          <w:szCs w:val="18"/>
        </w:rPr>
        <w:t> </w:t>
      </w:r>
      <w:r>
        <w:rPr/>
        <w:t>administración</w:t>
      </w:r>
      <w:r>
        <w:rPr>
          <w:rStyle w:val="style37"/>
          <w:rFonts w:ascii="Arial" w:cs="Arial" w:hAnsi="Arial"/>
          <w:color w:val="000000"/>
          <w:sz w:val="18"/>
          <w:szCs w:val="18"/>
        </w:rPr>
        <w:t> </w:t>
      </w:r>
      <w:r>
        <w:rPr/>
        <w:t>es completamente distinta.</w:t>
      </w:r>
    </w:p>
    <w:p>
      <w:pPr>
        <w:pStyle w:val="style0"/>
      </w:pPr>
      <w:r>
        <w:rPr/>
      </w:r>
    </w:p>
    <w:p>
      <w:pPr>
        <w:pStyle w:val="style0"/>
      </w:pPr>
      <w:r>
        <w:rPr/>
        <w:t>De tal manera si se desarrolla el proceso de crédito conforme a lo estipulado por la política, el resultado final de una operación será el esperado, es decir, que se cumpla en los términos estipulado originalmente. Para el autor Braghan (2006): “La Política de crédito es un</w:t>
      </w:r>
      <w:r>
        <w:rPr>
          <w:rStyle w:val="style37"/>
          <w:rFonts w:ascii="Arial" w:cs="Arial" w:hAnsi="Arial"/>
          <w:color w:val="000000"/>
          <w:sz w:val="18"/>
          <w:szCs w:val="18"/>
        </w:rPr>
        <w:t> </w:t>
      </w:r>
      <w:r>
        <w:rPr/>
        <w:t>grupo</w:t>
      </w:r>
      <w:r>
        <w:rPr>
          <w:rStyle w:val="style37"/>
          <w:rFonts w:ascii="Arial" w:cs="Arial" w:hAnsi="Arial"/>
          <w:color w:val="000000"/>
          <w:sz w:val="18"/>
          <w:szCs w:val="18"/>
        </w:rPr>
        <w:t> </w:t>
      </w:r>
      <w:r>
        <w:rPr/>
        <w:t>de decisiones que abarcan el periodo de crédito de la compañía, sus</w:t>
      </w:r>
      <w:r>
        <w:rPr>
          <w:rStyle w:val="style37"/>
          <w:rFonts w:ascii="Arial" w:cs="Arial" w:hAnsi="Arial"/>
          <w:color w:val="000000"/>
          <w:sz w:val="18"/>
          <w:szCs w:val="18"/>
        </w:rPr>
        <w:t> </w:t>
      </w:r>
      <w:r>
        <w:rPr/>
        <w:t>normas</w:t>
      </w:r>
      <w:r>
        <w:rPr>
          <w:rStyle w:val="style37"/>
          <w:rFonts w:ascii="Arial" w:cs="Arial" w:hAnsi="Arial"/>
          <w:color w:val="000000"/>
          <w:sz w:val="18"/>
          <w:szCs w:val="18"/>
        </w:rPr>
        <w:t> </w:t>
      </w:r>
      <w:r>
        <w:rPr/>
        <w:t>de crédito, el</w:t>
      </w:r>
      <w:r>
        <w:rPr>
          <w:rStyle w:val="style37"/>
          <w:rFonts w:ascii="Arial" w:cs="Arial" w:hAnsi="Arial"/>
          <w:color w:val="000000"/>
          <w:sz w:val="18"/>
          <w:szCs w:val="18"/>
        </w:rPr>
        <w:t> </w:t>
      </w:r>
      <w:r>
        <w:rPr/>
        <w:t>procedimiento</w:t>
      </w:r>
      <w:r>
        <w:rPr>
          <w:rStyle w:val="style37"/>
          <w:rFonts w:ascii="Arial" w:cs="Arial" w:hAnsi="Arial"/>
          <w:color w:val="000000"/>
          <w:sz w:val="18"/>
          <w:szCs w:val="18"/>
        </w:rPr>
        <w:t> </w:t>
      </w:r>
      <w:r>
        <w:rPr/>
        <w:t>de las cobranzas y sus descuentos y los simuladores de riesgos” (p.596)</w:t>
      </w:r>
    </w:p>
    <w:p>
      <w:pPr>
        <w:pStyle w:val="style0"/>
      </w:pPr>
      <w:r>
        <w:rPr/>
      </w:r>
    </w:p>
    <w:p>
      <w:pPr>
        <w:pStyle w:val="style0"/>
      </w:pPr>
      <w:r>
        <w:rPr/>
        <w:t>Estas políticas de crédito dependen de</w:t>
      </w:r>
      <w:r>
        <w:rPr>
          <w:rStyle w:val="style37"/>
          <w:rFonts w:ascii="Arial" w:cs="Arial" w:hAnsi="Arial"/>
          <w:color w:val="000000"/>
          <w:sz w:val="18"/>
          <w:szCs w:val="18"/>
        </w:rPr>
        <w:t> </w:t>
      </w:r>
      <w:r>
        <w:rPr/>
        <w:t>variables</w:t>
      </w:r>
      <w:r>
        <w:rPr>
          <w:rStyle w:val="style37"/>
          <w:rFonts w:ascii="Arial" w:cs="Arial" w:hAnsi="Arial"/>
          <w:color w:val="000000"/>
          <w:sz w:val="18"/>
          <w:szCs w:val="18"/>
        </w:rPr>
        <w:t> </w:t>
      </w:r>
      <w:r>
        <w:rPr/>
        <w:t>como el tipo de negocio y el mercado al cual esté dirigido; estas, también incluyen las condiciones que exigen al momento de otorgar el crédito. El mercado objetivo debe al menos  definir un mercado objetivo de clientes</w:t>
      </w:r>
      <w:r>
        <w:rPr>
          <w:rStyle w:val="style37"/>
          <w:rFonts w:ascii="Arial" w:cs="Arial" w:hAnsi="Arial"/>
          <w:color w:val="000000"/>
          <w:sz w:val="18"/>
          <w:szCs w:val="18"/>
        </w:rPr>
        <w:t> </w:t>
      </w:r>
      <w:r>
        <w:rPr/>
        <w:t>a operar, el riesgo que está dispuesto a aceptar, la rentabilidad mínima con que se trabajará, el</w:t>
      </w:r>
      <w:r>
        <w:rPr>
          <w:rStyle w:val="style37"/>
          <w:rFonts w:ascii="Arial" w:cs="Arial" w:hAnsi="Arial"/>
          <w:color w:val="000000"/>
          <w:sz w:val="18"/>
          <w:szCs w:val="18"/>
        </w:rPr>
        <w:t> </w:t>
      </w:r>
      <w:r>
        <w:rPr/>
        <w:t>control</w:t>
      </w:r>
      <w:r>
        <w:rPr>
          <w:rStyle w:val="style37"/>
          <w:rFonts w:ascii="Arial" w:cs="Arial" w:hAnsi="Arial"/>
          <w:color w:val="000000"/>
          <w:sz w:val="18"/>
          <w:szCs w:val="18"/>
        </w:rPr>
        <w:t> </w:t>
      </w:r>
      <w:r>
        <w:rPr/>
        <w:t>y seguimiento que se tendrán; salvo excepciones no debe otorgarse crédito a empresas sin fines de lucro, como</w:t>
      </w:r>
      <w:r>
        <w:rPr>
          <w:rStyle w:val="style37"/>
          <w:rFonts w:ascii="Arial" w:cs="Arial" w:hAnsi="Arial"/>
          <w:color w:val="000000"/>
          <w:sz w:val="18"/>
          <w:szCs w:val="18"/>
        </w:rPr>
        <w:t> </w:t>
      </w:r>
      <w:r>
        <w:rPr/>
        <w:t>cooperativas, clubes, etc.</w:t>
      </w:r>
    </w:p>
    <w:p>
      <w:pPr>
        <w:pStyle w:val="style0"/>
        <w:pageBreakBefore/>
      </w:pPr>
      <w:r>
        <w:rPr>
          <w:b/>
        </w:rPr>
        <w:t>Análisis de créditos</w:t>
      </w:r>
    </w:p>
    <w:p>
      <w:pPr>
        <w:pStyle w:val="style0"/>
      </w:pPr>
      <w:r>
        <w:rPr/>
      </w:r>
    </w:p>
    <w:p>
      <w:pPr>
        <w:pStyle w:val="style0"/>
      </w:pPr>
      <w:r>
        <w:rPr/>
        <w:t>El análisis de crédito se dedica a la recopilación y evaluación de información de crédito de los solicitantes para determinar si estos están a la altura de los estándares de crédito de</w:t>
      </w:r>
      <w:r>
        <w:rPr>
          <w:rStyle w:val="style37"/>
          <w:rFonts w:ascii="Arial" w:cs="Arial" w:hAnsi="Arial"/>
          <w:color w:val="000000"/>
          <w:sz w:val="18"/>
          <w:szCs w:val="18"/>
        </w:rPr>
        <w:t> </w:t>
      </w:r>
      <w:r>
        <w:rPr/>
        <w:t>la empresa. Además de los dos pasos básicos en el proceso de la</w:t>
      </w:r>
      <w:r>
        <w:rPr>
          <w:rStyle w:val="style37"/>
          <w:rFonts w:ascii="Arial" w:cs="Arial" w:hAnsi="Arial"/>
          <w:color w:val="000000"/>
          <w:sz w:val="18"/>
          <w:szCs w:val="18"/>
        </w:rPr>
        <w:t> </w:t>
      </w:r>
      <w:r>
        <w:rPr/>
        <w:t>investigación</w:t>
      </w:r>
      <w:r>
        <w:rPr>
          <w:rStyle w:val="style37"/>
          <w:rFonts w:ascii="Arial" w:cs="Arial" w:hAnsi="Arial"/>
          <w:color w:val="000000"/>
          <w:sz w:val="18"/>
          <w:szCs w:val="18"/>
        </w:rPr>
        <w:t> </w:t>
      </w:r>
      <w:r>
        <w:rPr/>
        <w:t>del crédito que son: obtener información de crédito y analizar la información para tomar la decisión del crédito, es necesario tomar en cuenta lo siguientes puntos: Todo crédito debe pasar por una etapa de evaluación previa por simple y rápida que ésta sea. Todo crédito por fácil y bueno y bien garantizado que parezca tiene riesgo. El análisis de crédito no pretende acabar con el 100%  de la incertidumbre del futuro, sino que disminuya. Es necesario e importante contar con buen criterio.</w:t>
      </w:r>
    </w:p>
    <w:p>
      <w:pPr>
        <w:pStyle w:val="style0"/>
      </w:pPr>
      <w:r>
        <w:rPr/>
      </w:r>
    </w:p>
    <w:p>
      <w:pPr>
        <w:pStyle w:val="style0"/>
      </w:pPr>
      <w:r>
        <w:rPr/>
        <w:t>Entre los aspectos necesarios en la evaluación de un crédito, de acuerdo con Lama (2011): “En el proceso de evaluación de un crédito para</w:t>
      </w:r>
      <w:r>
        <w:rPr>
          <w:rStyle w:val="style37"/>
          <w:rFonts w:ascii="Arial" w:cs="Arial" w:hAnsi="Arial"/>
          <w:color w:val="000000"/>
          <w:sz w:val="18"/>
          <w:szCs w:val="18"/>
        </w:rPr>
        <w:t> </w:t>
      </w:r>
      <w:r>
        <w:rPr/>
        <w:t>una empresa</w:t>
      </w:r>
      <w:r>
        <w:rPr>
          <w:rStyle w:val="style37"/>
          <w:rFonts w:ascii="Arial" w:cs="Arial" w:hAnsi="Arial"/>
          <w:color w:val="000000"/>
          <w:sz w:val="18"/>
          <w:szCs w:val="18"/>
        </w:rPr>
        <w:t> </w:t>
      </w:r>
      <w:r>
        <w:rPr/>
        <w:t>se debe contemplar una evaluación profunda tanto en sus aspectos cuantitativos como cualitativos”.</w:t>
      </w:r>
    </w:p>
    <w:p>
      <w:pPr>
        <w:pStyle w:val="style0"/>
      </w:pPr>
      <w:r>
        <w:rPr/>
      </w:r>
    </w:p>
    <w:p>
      <w:pPr>
        <w:pStyle w:val="style0"/>
      </w:pPr>
      <w:r>
        <w:rPr/>
        <w:t>Cuando un cliente que desee obtener crédito se acerca a una</w:t>
      </w:r>
      <w:r>
        <w:rPr>
          <w:rStyle w:val="style37"/>
          <w:rFonts w:ascii="Arial" w:cs="Arial" w:hAnsi="Arial"/>
          <w:color w:val="000000"/>
          <w:sz w:val="18"/>
          <w:szCs w:val="18"/>
        </w:rPr>
        <w:t> </w:t>
      </w:r>
      <w:r>
        <w:rPr/>
        <w:t>empresa, normalmente el departamento de crédito da comienzo a un proceso de evaluación del crédito pidiéndole al solicitante que llene diferentes</w:t>
      </w:r>
      <w:r>
        <w:rPr>
          <w:rStyle w:val="style37"/>
          <w:rFonts w:ascii="Arial" w:cs="Arial" w:hAnsi="Arial"/>
          <w:color w:val="000000"/>
          <w:sz w:val="18"/>
          <w:szCs w:val="18"/>
        </w:rPr>
        <w:t> </w:t>
      </w:r>
      <w:r>
        <w:rPr/>
        <w:t>formularios</w:t>
      </w:r>
      <w:r>
        <w:rPr>
          <w:rStyle w:val="style37"/>
          <w:rFonts w:ascii="Arial" w:cs="Arial" w:hAnsi="Arial"/>
          <w:color w:val="000000"/>
          <w:sz w:val="18"/>
          <w:szCs w:val="18"/>
        </w:rPr>
        <w:t> </w:t>
      </w:r>
      <w:r>
        <w:rPr/>
        <w:t>en los cuales se solicita información financiera y crediticia junto con referencias de crédito. Trabajando con base en la solicitud de crédito, la empresa obtiene entonces información adicional del crédito de otras</w:t>
      </w:r>
      <w:r>
        <w:rPr>
          <w:rStyle w:val="style37"/>
          <w:rFonts w:ascii="Arial" w:cs="Arial" w:hAnsi="Arial"/>
          <w:color w:val="000000"/>
          <w:sz w:val="18"/>
          <w:szCs w:val="18"/>
        </w:rPr>
        <w:t> </w:t>
      </w:r>
      <w:r>
        <w:rPr/>
        <w:t>fuentes.</w:t>
      </w:r>
    </w:p>
    <w:p>
      <w:pPr>
        <w:pStyle w:val="style0"/>
      </w:pPr>
      <w:r>
        <w:rPr/>
      </w:r>
    </w:p>
    <w:p>
      <w:pPr>
        <w:pStyle w:val="style0"/>
      </w:pPr>
      <w:r>
        <w:rPr/>
        <w:t>Si la empresa ya le ha concedido anteriormente crédito al solicitante, ya tiene su información histórica acerca de los patrones de pago del solicitante. Las fuentes externas principales de información crediticia es la brindada por los</w:t>
      </w:r>
      <w:r>
        <w:rPr>
          <w:rStyle w:val="style37"/>
          <w:rFonts w:ascii="Arial" w:cs="Arial" w:hAnsi="Arial"/>
          <w:color w:val="000000"/>
          <w:sz w:val="18"/>
          <w:szCs w:val="18"/>
        </w:rPr>
        <w:t> </w:t>
      </w:r>
      <w:r>
        <w:rPr/>
        <w:t>estados financieros, por las oficinas de referencias comerciales, las bolsas de información crediticia, la verificación bancaria y la consulta de otros</w:t>
      </w:r>
      <w:r>
        <w:rPr>
          <w:rStyle w:val="style37"/>
          <w:rFonts w:ascii="Arial" w:cs="Arial" w:hAnsi="Arial"/>
          <w:color w:val="000000"/>
          <w:sz w:val="18"/>
          <w:szCs w:val="18"/>
        </w:rPr>
        <w:t> </w:t>
      </w:r>
      <w:r>
        <w:rPr/>
        <w:t>proveedores.</w:t>
      </w:r>
    </w:p>
    <w:p>
      <w:pPr>
        <w:pStyle w:val="style0"/>
      </w:pPr>
      <w:r>
        <w:rPr/>
      </w:r>
    </w:p>
    <w:p>
      <w:pPr>
        <w:pStyle w:val="style0"/>
      </w:pPr>
      <w:r>
        <w:rPr/>
        <w:t>En el proceso de evaluación de un crédito se debe contemplar una evaluación profunda tanto de sus aspectos cualitativos como cuantitativos. De igual forma, es necesario considerar el comportamiento pasado del cliente tanto como cliente de la misma institución como de las demás instituciones. La decisión crediticia se la debe tomar en base a antecedentes históricos o  presentes.</w:t>
      </w:r>
    </w:p>
    <w:p>
      <w:pPr>
        <w:pStyle w:val="style0"/>
      </w:pPr>
      <w:r>
        <w:rPr/>
      </w:r>
    </w:p>
    <w:p>
      <w:pPr>
        <w:pStyle w:val="style0"/>
      </w:pPr>
      <w:r>
        <w:rPr/>
        <w:t>Es necesario considerar en los análisis de crédito diferentes consideraciones que se pueden dar con el fin de anticipar los</w:t>
      </w:r>
      <w:r>
        <w:rPr>
          <w:rStyle w:val="style37"/>
          <w:rFonts w:ascii="Arial" w:cs="Arial" w:hAnsi="Arial"/>
          <w:color w:val="000000"/>
          <w:sz w:val="18"/>
          <w:szCs w:val="18"/>
        </w:rPr>
        <w:t> </w:t>
      </w:r>
      <w:r>
        <w:rPr/>
        <w:t>problemas. Después de haber realizado un análisis concienzudo del crédito es necesario tomar una decisión por lo que se recomienda escoger 4 o 5 variables de las tantas que se dieron para su elaboración. En lo que se refiere a casos de garantía, debe tratarse en la mejor forma posible tener la mejor garantía y que tenga una relación con el préstamo de 2 a 1 esto con el fin de poder cubrir ampliamente el crédito.</w:t>
      </w:r>
    </w:p>
    <w:p>
      <w:pPr>
        <w:pStyle w:val="style0"/>
      </w:pPr>
      <w:r>
        <w:rPr/>
      </w:r>
    </w:p>
    <w:p>
      <w:pPr>
        <w:pStyle w:val="style0"/>
      </w:pPr>
      <w:r>
        <w:rPr/>
        <w:t>Para finalizar este tema se puede indicar que el desarrollo de la</w:t>
      </w:r>
      <w:r>
        <w:rPr>
          <w:rStyle w:val="style37"/>
          <w:rFonts w:ascii="Arial" w:cs="Arial" w:hAnsi="Arial"/>
          <w:color w:val="000000"/>
          <w:sz w:val="18"/>
          <w:szCs w:val="18"/>
        </w:rPr>
        <w:t> </w:t>
      </w:r>
      <w:r>
        <w:rPr/>
        <w:t>teoría</w:t>
      </w:r>
      <w:r>
        <w:rPr>
          <w:rStyle w:val="style37"/>
          <w:rFonts w:ascii="Arial" w:cs="Arial" w:hAnsi="Arial"/>
          <w:color w:val="000000"/>
          <w:sz w:val="18"/>
          <w:szCs w:val="18"/>
        </w:rPr>
        <w:t> </w:t>
      </w:r>
      <w:r>
        <w:rPr/>
        <w:t>de riesgos ha permitido a las</w:t>
      </w:r>
      <w:r>
        <w:rPr>
          <w:rStyle w:val="style37"/>
          <w:rFonts w:ascii="Arial" w:cs="Arial" w:hAnsi="Arial"/>
          <w:color w:val="000000"/>
          <w:sz w:val="18"/>
          <w:szCs w:val="18"/>
        </w:rPr>
        <w:t> </w:t>
      </w:r>
      <w:r>
        <w:rPr/>
        <w:t>instituciones</w:t>
      </w:r>
      <w:r>
        <w:rPr>
          <w:rStyle w:val="style37"/>
          <w:rFonts w:ascii="Arial" w:cs="Arial" w:hAnsi="Arial"/>
          <w:color w:val="000000"/>
          <w:sz w:val="18"/>
          <w:szCs w:val="18"/>
        </w:rPr>
        <w:t> </w:t>
      </w:r>
      <w:r>
        <w:rPr/>
        <w:t>financieras conocer mejor la</w:t>
      </w:r>
      <w:r>
        <w:rPr>
          <w:rStyle w:val="style37"/>
          <w:rFonts w:ascii="Arial" w:cs="Arial" w:hAnsi="Arial"/>
          <w:color w:val="000000"/>
          <w:sz w:val="18"/>
          <w:szCs w:val="18"/>
        </w:rPr>
        <w:t> </w:t>
      </w:r>
      <w:r>
        <w:rPr/>
        <w:t>exposición</w:t>
      </w:r>
      <w:r>
        <w:rPr>
          <w:rStyle w:val="style37"/>
          <w:rFonts w:ascii="Arial" w:cs="Arial" w:hAnsi="Arial"/>
          <w:color w:val="000000"/>
          <w:sz w:val="18"/>
          <w:szCs w:val="18"/>
        </w:rPr>
        <w:t> </w:t>
      </w:r>
      <w:r>
        <w:rPr/>
        <w:t>de su cartera de productos y establecer las pérdidas a las cuales se expone. Sólo en tiempos recientes se ha explotado esta herramienta en el ámbito financiero debido a la similitud existente con uno de los principales riesgos que las instituciones financieras enfrentan, el riesgo operacional, vinculando a esto los</w:t>
      </w:r>
      <w:r>
        <w:rPr>
          <w:rStyle w:val="style37"/>
          <w:rFonts w:ascii="Arial" w:cs="Arial" w:hAnsi="Arial"/>
          <w:color w:val="000000"/>
          <w:sz w:val="18"/>
          <w:szCs w:val="18"/>
        </w:rPr>
        <w:t> </w:t>
      </w:r>
      <w:r>
        <w:rPr/>
        <w:t>análisis</w:t>
      </w:r>
      <w:r>
        <w:rPr>
          <w:rStyle w:val="style37"/>
          <w:rFonts w:ascii="Arial" w:cs="Arial" w:hAnsi="Arial"/>
          <w:color w:val="000000"/>
          <w:sz w:val="18"/>
          <w:szCs w:val="18"/>
        </w:rPr>
        <w:t> </w:t>
      </w:r>
      <w:r>
        <w:rPr/>
        <w:t>financieros los cuales hoy en día ofrecen gran incertidumbre.</w:t>
      </w:r>
    </w:p>
    <w:p>
      <w:pPr>
        <w:pStyle w:val="style0"/>
      </w:pPr>
      <w:r>
        <w:rPr/>
      </w:r>
    </w:p>
    <w:p>
      <w:pPr>
        <w:pStyle w:val="style0"/>
      </w:pPr>
      <w:r>
        <w:rPr/>
        <w:t>Las finanzas, como disciplina científica, estudia la manera como se asignan recursos</w:t>
      </w:r>
      <w:r>
        <w:rPr>
          <w:rStyle w:val="style37"/>
          <w:rFonts w:ascii="Arial" w:cs="Arial" w:hAnsi="Arial"/>
          <w:color w:val="000000"/>
          <w:sz w:val="18"/>
          <w:szCs w:val="18"/>
        </w:rPr>
        <w:t> </w:t>
      </w:r>
      <w:r>
        <w:rPr/>
        <w:t>escasos a lo largo del tiempo en condiciones de incertidumbre; siendo una de las características principales con las cuales debe convivir una institución financiera. Todas las decisiones que se toman en el mundo de los negocios implican cierto grado de incertidumbre o de riesgo, por lo tanto, es importante evaluar los riesgos inherentes, antes de efectuar cada operación.</w:t>
      </w:r>
    </w:p>
    <w:p>
      <w:pPr>
        <w:pStyle w:val="style0"/>
      </w:pPr>
      <w:r>
        <w:rPr/>
      </w:r>
    </w:p>
    <w:p>
      <w:pPr>
        <w:pStyle w:val="style0"/>
      </w:pPr>
      <w:r>
        <w:rPr/>
        <w:t>Una amplia serie de fenómenos, cuyo</w:t>
      </w:r>
      <w:r>
        <w:rPr>
          <w:rStyle w:val="style37"/>
          <w:rFonts w:ascii="Arial" w:cs="Arial" w:hAnsi="Arial"/>
          <w:color w:val="000000"/>
          <w:sz w:val="18"/>
          <w:szCs w:val="18"/>
        </w:rPr>
        <w:t> </w:t>
      </w:r>
      <w:r>
        <w:rPr/>
        <w:t>comportamiento</w:t>
      </w:r>
      <w:r>
        <w:rPr>
          <w:rStyle w:val="style37"/>
          <w:rFonts w:ascii="Arial" w:cs="Arial" w:hAnsi="Arial"/>
          <w:color w:val="000000"/>
          <w:sz w:val="18"/>
          <w:szCs w:val="18"/>
        </w:rPr>
        <w:t> </w:t>
      </w:r>
      <w:r>
        <w:rPr/>
        <w:t>es impredecible, tiene un impacto directo en el desempeño de dichas instituciones. En el caso de las instituciones bancarias, ellas tienen que hacer provisiones de capital para hacer frente a pérdidas originadas tanto por la</w:t>
      </w:r>
      <w:r>
        <w:rPr>
          <w:rStyle w:val="style37"/>
          <w:rFonts w:ascii="Arial" w:cs="Arial" w:hAnsi="Arial"/>
          <w:color w:val="000000"/>
          <w:sz w:val="18"/>
          <w:szCs w:val="18"/>
        </w:rPr>
        <w:t> </w:t>
      </w:r>
      <w:r>
        <w:rPr/>
        <w:t>calidad</w:t>
      </w:r>
      <w:r>
        <w:rPr>
          <w:rStyle w:val="style37"/>
          <w:rFonts w:ascii="Arial" w:cs="Arial" w:hAnsi="Arial"/>
          <w:color w:val="000000"/>
          <w:sz w:val="18"/>
          <w:szCs w:val="18"/>
        </w:rPr>
        <w:t> </w:t>
      </w:r>
      <w:r>
        <w:rPr/>
        <w:t>crediticia de sus deudores como por los cambios en los factores de</w:t>
      </w:r>
      <w:r>
        <w:rPr>
          <w:rStyle w:val="style37"/>
          <w:rFonts w:ascii="Arial" w:cs="Arial" w:hAnsi="Arial"/>
          <w:color w:val="000000"/>
          <w:sz w:val="18"/>
          <w:szCs w:val="18"/>
        </w:rPr>
        <w:t> </w:t>
      </w:r>
      <w:r>
        <w:rPr/>
        <w:t>mercado</w:t>
      </w:r>
      <w:r>
        <w:rPr>
          <w:rStyle w:val="style37"/>
          <w:rFonts w:ascii="Arial" w:cs="Arial" w:hAnsi="Arial"/>
          <w:color w:val="000000"/>
          <w:sz w:val="18"/>
          <w:szCs w:val="18"/>
        </w:rPr>
        <w:t> </w:t>
      </w:r>
      <w:r>
        <w:rPr/>
        <w:t>que afectan su cartera de productos y servicios, como es el caso de las tarjetas de crédito.</w:t>
      </w:r>
    </w:p>
    <w:p>
      <w:pPr>
        <w:pStyle w:val="style0"/>
      </w:pPr>
      <w:r>
        <w:rPr>
          <w:rFonts w:ascii="Arial" w:cs="Arial" w:hAnsi="Arial"/>
          <w:color w:val="000000"/>
          <w:sz w:val="18"/>
          <w:szCs w:val="18"/>
        </w:rPr>
        <w:br/>
      </w:r>
      <w:r>
        <w:rPr>
          <w:b/>
        </w:rPr>
        <w:t>Indicadores de Gestión</w:t>
      </w:r>
    </w:p>
    <w:p>
      <w:pPr>
        <w:pStyle w:val="style89"/>
      </w:pPr>
      <w:r>
        <w:rPr>
          <w:b/>
          <w:szCs w:val="24"/>
        </w:rPr>
      </w:r>
    </w:p>
    <w:p>
      <w:pPr>
        <w:pStyle w:val="style0"/>
      </w:pPr>
      <w:r>
        <w:rPr/>
        <w:t>Los indicadores de gestión, están relacionados con la administración de procesos, lográndose obtener resultados esperados a través de uno de los mejores más eficientes y económicos, que proporcionan información sobre el desempeño de las actividades ejecutadas. En tal sentido Beltrán (1998) señala que los “Indicadores de gestión, son, ante todo, información, es decir, agregan valor no sólo datos” (p.36). De acuerdo con el autor, los indicadores de gestión permiten administrar y establecer acciones concretas para hacer realidad tareas y trabajos programados y planificados.</w:t>
      </w:r>
    </w:p>
    <w:p>
      <w:pPr>
        <w:pStyle w:val="style89"/>
      </w:pPr>
      <w:r>
        <w:rPr>
          <w:szCs w:val="24"/>
        </w:rPr>
      </w:r>
    </w:p>
    <w:p>
      <w:pPr>
        <w:pStyle w:val="style0"/>
      </w:pPr>
      <w:r>
        <w:rPr/>
        <w:t>En este sentido, los indicadores de gestión son expresiones cuantitativas que permiten analizar cuán bien se está administrando la empresa. Un indicador queda expresado por un atributo, un medidor, una meta y un horizonte temporal, lo nuevo no está en los indicadores mismos, sino en la escala de importancia o prioridad con que se consideran en el proceso de gestión. Entre los indicadores comúnmente utilizados en la evaluación del desempeño de un sistema aparecen aquellos que apuntan hacia la eficacia, eficiencia, efectividad, estabilidad y mejora del valor, en concordancia con el triángulo de desempeño.</w:t>
      </w:r>
    </w:p>
    <w:p>
      <w:pPr>
        <w:pStyle w:val="style0"/>
      </w:pPr>
      <w:r>
        <w:rPr/>
        <w:t>Sin embargo, es necesario condicionar la definición de los indicadores a la precisión clara de los objetivos de la compañía, priorizando primero la importancia de lo que se mide y luego su indicador. En segundo lugar, los indicadores seleccionados deben permitir juzgar el impacto de las decisiones locales sobre la meta global de la compañía. En este sentido, los indicadores de gestión más eficaces son aquellos que se comparan contra sí mismos en un período anterior. De esta manera se puede verificar si las cosas hicieron de acuerdo con lo establecido, si hubo mejoras en el proceso o, por el contrario, un estancamiento.</w:t>
      </w:r>
    </w:p>
    <w:p>
      <w:pPr>
        <w:pStyle w:val="style0"/>
      </w:pPr>
      <w:r>
        <w:rPr/>
      </w:r>
    </w:p>
    <w:p>
      <w:pPr>
        <w:pStyle w:val="style0"/>
      </w:pPr>
      <w:r>
        <w:rPr/>
        <w:t>Los indicadores de gestión son ante todo, información, es decir; agregan valor, no son sólo datos.  Siendo información, los indicadores de gestión deben tener los atributos de la información, tanto el informe individual como cuando se presentan agrupados. Beltrán (1998),  propone los siguientes atributos para la información se tiene:</w:t>
      </w:r>
    </w:p>
    <w:p>
      <w:pPr>
        <w:pStyle w:val="style0"/>
      </w:pPr>
      <w:r>
        <w:rPr/>
      </w:r>
    </w:p>
    <w:p>
      <w:pPr>
        <w:pStyle w:val="style80"/>
        <w:numPr>
          <w:ilvl w:val="0"/>
          <w:numId w:val="9"/>
        </w:numPr>
        <w:ind w:hanging="357" w:left="1281" w:right="567"/>
      </w:pPr>
      <w:r>
        <w:rPr>
          <w:b/>
        </w:rPr>
        <w:t>Exactitud:</w:t>
      </w:r>
      <w:r>
        <w:rPr/>
        <w:t xml:space="preserve"> La información debe representar la situación o el estado como realmente es.</w:t>
      </w:r>
    </w:p>
    <w:p>
      <w:pPr>
        <w:pStyle w:val="style80"/>
        <w:numPr>
          <w:ilvl w:val="0"/>
          <w:numId w:val="9"/>
        </w:numPr>
        <w:ind w:hanging="357" w:left="1281" w:right="567"/>
      </w:pPr>
      <w:r>
        <w:rPr>
          <w:b/>
        </w:rPr>
        <w:t>Extensión</w:t>
      </w:r>
      <w:r>
        <w:rPr/>
        <w:t>: Se refiere al alcance en términos de cobertura del área de interés. Además tiene que ver con la brevedad requerida, según el tópico de que se trate.  La calidad de la información no es directamente proporcional con su extensión.</w:t>
      </w:r>
    </w:p>
    <w:p>
      <w:pPr>
        <w:pStyle w:val="style80"/>
        <w:numPr>
          <w:ilvl w:val="0"/>
          <w:numId w:val="9"/>
        </w:numPr>
        <w:ind w:hanging="357" w:left="1281" w:right="567"/>
      </w:pPr>
      <w:r>
        <w:rPr>
          <w:b/>
        </w:rPr>
        <w:t>Forma:</w:t>
      </w:r>
      <w:r>
        <w:rPr/>
        <w:t xml:space="preserve"> Existen diversas formas de presentación de la información, que pueden ser cualitativas o cuantitativas, numéricas o graficas, impresas o visualizadas, resumidas y detalladas. Realmente las formas debe ser elegida según la situación, necesidades y habilidades de quien las recibe y procesa. </w:t>
      </w:r>
    </w:p>
    <w:p>
      <w:pPr>
        <w:pStyle w:val="style80"/>
        <w:numPr>
          <w:ilvl w:val="0"/>
          <w:numId w:val="9"/>
        </w:numPr>
        <w:ind w:hanging="357" w:left="1281" w:right="567"/>
      </w:pPr>
      <w:r>
        <w:rPr>
          <w:b/>
        </w:rPr>
        <w:t>Frecuencia:</w:t>
      </w:r>
      <w:r>
        <w:rPr/>
        <w:t xml:space="preserve"> Es la medida de cuán a menudo se requiere, se recaba, se produce o se analiza. </w:t>
      </w:r>
    </w:p>
    <w:p>
      <w:pPr>
        <w:pStyle w:val="style80"/>
        <w:numPr>
          <w:ilvl w:val="0"/>
          <w:numId w:val="9"/>
        </w:numPr>
        <w:ind w:hanging="357" w:left="1281" w:right="567"/>
      </w:pPr>
      <w:r>
        <w:rPr>
          <w:b/>
        </w:rPr>
        <w:t>Integridad:</w:t>
      </w:r>
      <w:r>
        <w:rPr/>
        <w:t xml:space="preserve"> Es la información completa que proporciona al usuario el panorama integral de lo que necesita saber acerca de una situación determinada. </w:t>
      </w:r>
    </w:p>
    <w:p>
      <w:pPr>
        <w:pStyle w:val="style80"/>
        <w:numPr>
          <w:ilvl w:val="0"/>
          <w:numId w:val="9"/>
        </w:numPr>
        <w:ind w:hanging="357" w:left="1281" w:right="567"/>
      </w:pPr>
      <w:r>
        <w:rPr>
          <w:b/>
        </w:rPr>
        <w:t>Oportunidad:</w:t>
      </w:r>
      <w:r>
        <w:rPr/>
        <w:t xml:space="preserve"> Para ser considerada oportuna una información debe  estar disponible y actualizada </w:t>
      </w:r>
    </w:p>
    <w:p>
      <w:pPr>
        <w:pStyle w:val="style80"/>
        <w:numPr>
          <w:ilvl w:val="0"/>
          <w:numId w:val="9"/>
        </w:numPr>
        <w:ind w:hanging="357" w:left="1281" w:right="567"/>
      </w:pPr>
      <w:r>
        <w:rPr/>
        <w:t xml:space="preserve">cuando se la necesita. </w:t>
      </w:r>
    </w:p>
    <w:p>
      <w:pPr>
        <w:pStyle w:val="style80"/>
        <w:numPr>
          <w:ilvl w:val="0"/>
          <w:numId w:val="9"/>
        </w:numPr>
        <w:ind w:hanging="357" w:left="1281" w:right="567"/>
      </w:pPr>
      <w:r>
        <w:rPr>
          <w:b/>
        </w:rPr>
        <w:t>Origen</w:t>
      </w:r>
      <w:r>
        <w:rPr/>
        <w:t>: Puede originarse dentro o fuera de la organización. Lo fundamental es que la fuente que la genera sea la fuente correcta.</w:t>
      </w:r>
    </w:p>
    <w:p>
      <w:pPr>
        <w:pStyle w:val="style80"/>
        <w:numPr>
          <w:ilvl w:val="0"/>
          <w:numId w:val="9"/>
        </w:numPr>
        <w:ind w:hanging="357" w:left="1281" w:right="567"/>
      </w:pPr>
      <w:r>
        <w:rPr>
          <w:b/>
        </w:rPr>
        <w:t>Relevancia:</w:t>
      </w:r>
      <w:r>
        <w:rPr/>
        <w:t xml:space="preserve"> La información relevante si es necesaria para situación particular. </w:t>
      </w:r>
    </w:p>
    <w:p>
      <w:pPr>
        <w:pStyle w:val="style80"/>
        <w:numPr>
          <w:ilvl w:val="0"/>
          <w:numId w:val="9"/>
        </w:numPr>
        <w:ind w:hanging="357" w:left="1281" w:right="567"/>
      </w:pPr>
      <w:r>
        <w:rPr>
          <w:b/>
        </w:rPr>
        <w:t>Temporalidad:</w:t>
      </w:r>
      <w:r>
        <w:rPr/>
        <w:t xml:space="preserve"> La información puede “Hablarnos” del pasado, de los sucesos actuales o de las actividades o sucesos futuros (p.63).</w:t>
      </w:r>
    </w:p>
    <w:p>
      <w:pPr>
        <w:pStyle w:val="style0"/>
        <w:spacing w:after="200" w:before="0" w:line="276" w:lineRule="auto"/>
      </w:pPr>
      <w:r>
        <w:rPr/>
      </w:r>
    </w:p>
    <w:p>
      <w:pPr>
        <w:pStyle w:val="style0"/>
      </w:pPr>
      <w:r>
        <w:rPr>
          <w:b/>
        </w:rPr>
        <w:t xml:space="preserve">Características Indicadores de Gestión </w:t>
      </w:r>
    </w:p>
    <w:p>
      <w:pPr>
        <w:pStyle w:val="style0"/>
      </w:pPr>
      <w:r>
        <w:rPr>
          <w:b/>
        </w:rPr>
      </w:r>
    </w:p>
    <w:p>
      <w:pPr>
        <w:pStyle w:val="style0"/>
        <w:tabs>
          <w:tab w:leader="none" w:pos="975" w:val="left"/>
        </w:tabs>
      </w:pPr>
      <w:r>
        <w:rPr/>
        <w:t>Al respecto de este aspecto, el autor Beltrán (1998), indica que un indicador esta correctamente compuesto cuando tiene las siguientes características:</w:t>
      </w:r>
    </w:p>
    <w:p>
      <w:pPr>
        <w:pStyle w:val="style0"/>
      </w:pPr>
      <w:r>
        <w:rPr/>
      </w:r>
    </w:p>
    <w:p>
      <w:pPr>
        <w:pStyle w:val="style80"/>
      </w:pPr>
      <w:r>
        <w:rPr>
          <w:b/>
        </w:rPr>
        <w:t xml:space="preserve">Nombre: </w:t>
      </w:r>
      <w:r>
        <w:rPr/>
        <w:t>La identificación de un indicador debe definir claramente su objetivo y utilidad.</w:t>
      </w:r>
    </w:p>
    <w:p>
      <w:pPr>
        <w:pStyle w:val="style80"/>
      </w:pPr>
      <w:r>
        <w:rPr>
          <w:b/>
        </w:rPr>
        <w:t xml:space="preserve">Forma de cálculo: </w:t>
      </w:r>
      <w:r>
        <w:rPr/>
        <w:t>Cuando se trata de indicadores cuantitativos se debe tener muy claro la fórmula matemática para el cálculo de su valor.</w:t>
      </w:r>
    </w:p>
    <w:p>
      <w:pPr>
        <w:pStyle w:val="style80"/>
      </w:pPr>
      <w:r>
        <w:rPr>
          <w:b/>
        </w:rPr>
        <w:t xml:space="preserve">Unidades: </w:t>
      </w:r>
      <w:r>
        <w:rPr/>
        <w:t>Es la manera como se expresa el valor del indicador está dada por las unidades.</w:t>
      </w:r>
    </w:p>
    <w:p>
      <w:pPr>
        <w:pStyle w:val="style80"/>
      </w:pPr>
      <w:r>
        <w:rPr>
          <w:b/>
        </w:rPr>
        <w:t xml:space="preserve">Glosario: </w:t>
      </w:r>
      <w:r>
        <w:rPr/>
        <w:t>El indicador tiene que estar documentado en términos de especificar de manera precisa los factores que se relacionan en su cálculo. (p.72)</w:t>
      </w:r>
    </w:p>
    <w:p>
      <w:pPr>
        <w:pStyle w:val="style80"/>
      </w:pPr>
      <w:r>
        <w:rPr>
          <w:b/>
        </w:rPr>
      </w:r>
    </w:p>
    <w:p>
      <w:pPr>
        <w:pStyle w:val="style0"/>
      </w:pPr>
      <w:r>
        <w:rPr>
          <w:b/>
        </w:rPr>
      </w:r>
    </w:p>
    <w:p>
      <w:pPr>
        <w:pStyle w:val="style0"/>
      </w:pPr>
      <w:r>
        <w:rPr/>
        <w:t>Los indicadores se clasifican según los factores claves del éxito.  Los indicadores de gestión deben reflejar el comportamiento de los factores claves, vistos desde estas perspectivas se encuentra indicadores de efectividad, de eficacia (resultados), eficiencia  (actividad) y de productividad. Contar con un conjunto de indicadores que abarquen los factores claves es garantizar la integridad de la función de apoyo para la toma de decisiones, al referirse a integridad, se hace mención de no sólo ejercer control basado en los resultados (eficacia), sino en las restantes dimensiones de una gestión integrada.</w:t>
      </w:r>
    </w:p>
    <w:p>
      <w:pPr>
        <w:pStyle w:val="style0"/>
      </w:pPr>
      <w:r>
        <w:rPr/>
      </w:r>
    </w:p>
    <w:p>
      <w:pPr>
        <w:pStyle w:val="style0"/>
        <w:widowControl w:val="false"/>
      </w:pPr>
      <w:r>
        <w:rPr/>
        <w:t>En cuanto a la vigencia de los indicadores de gestión, según Beltrán (1998), la vigencia los indicadores se clasifican en temporales y permanentes.</w:t>
      </w:r>
    </w:p>
    <w:p>
      <w:pPr>
        <w:pStyle w:val="style80"/>
      </w:pPr>
      <w:r>
        <w:rPr>
          <w:b/>
        </w:rPr>
        <w:t xml:space="preserve">Temporales: </w:t>
      </w:r>
      <w:r>
        <w:rPr/>
        <w:t>Cuando su validez tiene un lapso finito, por lo general cuando se asocia al logro de un objetivo, a la ejecución de un proyecto.</w:t>
      </w:r>
    </w:p>
    <w:p>
      <w:pPr>
        <w:pStyle w:val="style80"/>
      </w:pPr>
      <w:r>
        <w:rPr>
          <w:b/>
        </w:rPr>
        <w:t xml:space="preserve">Permanente: </w:t>
      </w:r>
      <w:r>
        <w:rPr/>
        <w:t>Se asocian a variables o factores que están siempre presentes en la organización y se asocian por lo general a procesos. (p.75)</w:t>
      </w:r>
    </w:p>
    <w:p>
      <w:pPr>
        <w:pStyle w:val="style0"/>
        <w:spacing w:after="200" w:before="0" w:line="276" w:lineRule="auto"/>
      </w:pPr>
      <w:r>
        <w:rPr/>
      </w:r>
    </w:p>
    <w:p>
      <w:pPr>
        <w:pStyle w:val="style0"/>
      </w:pPr>
      <w:r>
        <w:rPr/>
        <w:t xml:space="preserve">Es corriente encontrar organizaciones en las cuales se han establecido indicadores asociados a proyectos que ya han culminado y a objetivos que ya se alcanzaron o desecharon por cualquier razón, de modo que tanto el indicador por si mismo como los valores asociados a él deben ser objeto de constante revisión y comparación con las características cambiantes del entorno y de la organización. </w:t>
      </w:r>
    </w:p>
    <w:p>
      <w:pPr>
        <w:pStyle w:val="style0"/>
        <w:ind w:firstLine="567" w:left="720" w:right="0"/>
      </w:pPr>
      <w:r>
        <w:rPr>
          <w:b/>
        </w:rPr>
      </w:r>
    </w:p>
    <w:p>
      <w:pPr>
        <w:pStyle w:val="style0"/>
      </w:pPr>
      <w:r>
        <w:rPr/>
        <w:t>Entre las ventajas que tiene contar con Indicadores de Gestión, se tiene que evidentemente, las ventajas de los indicadores de gestión permiten determinar variables e hipótesis, relacionadas con cada sector en donde se apliquen con el único fin de terminar a tiempo las posibles causas que afecten, así como también alcanzar los objetivos planteados y la satisfacción global de la organización. Según argumentaciones de Beltrán (1998).</w:t>
      </w:r>
    </w:p>
    <w:p>
      <w:pPr>
        <w:pStyle w:val="style0"/>
      </w:pPr>
      <w:r>
        <w:rPr/>
      </w:r>
    </w:p>
    <w:p>
      <w:pPr>
        <w:pStyle w:val="style0"/>
      </w:pPr>
      <w:r>
        <w:rPr/>
        <w:t xml:space="preserve">Quizá la ventaja fundamental derivada del uso de  indicadores de gestión se resuma en la reducción drástica de la incertidumbre, de la angustia y de la subjetividad, con el consecuente incremento de la efectividad de la organización y el bienestar de todos los trabajadores.  </w:t>
      </w:r>
    </w:p>
    <w:p>
      <w:pPr>
        <w:pStyle w:val="style0"/>
        <w:ind w:firstLine="340" w:left="0" w:right="0"/>
      </w:pPr>
      <w:r>
        <w:rPr>
          <w:b/>
        </w:rPr>
      </w:r>
    </w:p>
    <w:p>
      <w:pPr>
        <w:pStyle w:val="style0"/>
        <w:ind w:firstLine="340" w:left="0" w:right="0"/>
      </w:pPr>
      <w:r>
        <w:rPr>
          <w:b/>
        </w:rPr>
        <w:t>Metodología de los Indicadores de Gestión</w:t>
      </w:r>
    </w:p>
    <w:p>
      <w:pPr>
        <w:pStyle w:val="style0"/>
      </w:pPr>
      <w:r>
        <w:rPr>
          <w:b/>
        </w:rPr>
      </w:r>
    </w:p>
    <w:p>
      <w:pPr>
        <w:pStyle w:val="style0"/>
      </w:pPr>
      <w:r>
        <w:rPr/>
        <w:t>Para establecer indicadores de gestión a cualquier nivel, es vital tener claro qué es lo correcto y cómo hacer correctamente. Lo correcto se vincula con los resultados específicos que se esperan, cuáles son las características específicas de esos resultados y esto representaría el conjunto de factores claves para lograr la eficacia. En cuanto a cómo sería hacer las cosas correctamente significa tener presente la capacidad de gestión actual, la secuencia de pasos que llevaran a los resultados y los recursos disponibles teniendo en cuenta  factores óptimos de aprovechamiento. Esto sería el conjunto de factores claves para lograr la eficiencia.</w:t>
      </w:r>
    </w:p>
    <w:p>
      <w:pPr>
        <w:pStyle w:val="style0"/>
      </w:pPr>
      <w:r>
        <w:rPr/>
      </w:r>
    </w:p>
    <w:p>
      <w:pPr>
        <w:pStyle w:val="style0"/>
      </w:pPr>
      <w:r>
        <w:rPr>
          <w:b/>
        </w:rPr>
        <w:t>Clasificación de los indicadores</w:t>
      </w:r>
    </w:p>
    <w:p>
      <w:pPr>
        <w:pStyle w:val="style0"/>
      </w:pPr>
      <w:r>
        <w:rPr>
          <w:b/>
        </w:rPr>
      </w:r>
    </w:p>
    <w:p>
      <w:pPr>
        <w:pStyle w:val="style0"/>
      </w:pPr>
      <w:r>
        <w:rPr/>
        <w:t>Según América (2000) los indicadores se clasifican de dos maneras, indicadores financieros e indicadores no financieros. Entre los Indicadores financieros se tienen: Solvencia o liquidez, Actividad, Endeudamiento y Rentabilidad</w:t>
      </w:r>
    </w:p>
    <w:p>
      <w:pPr>
        <w:pStyle w:val="style0"/>
      </w:pPr>
      <w:r>
        <w:rPr>
          <w:b/>
        </w:rPr>
      </w:r>
    </w:p>
    <w:p>
      <w:pPr>
        <w:pStyle w:val="style0"/>
      </w:pPr>
      <w:r>
        <w:rPr>
          <w:b/>
        </w:rPr>
        <w:t>Análisis de liquidez:</w:t>
      </w:r>
    </w:p>
    <w:p>
      <w:pPr>
        <w:pStyle w:val="style0"/>
      </w:pPr>
      <w:r>
        <w:rPr/>
        <w:t>Refleja la capacidad de una empresa para hacer frente a sus obligaciones a corto plazo conforme se vencen.  La liquidez se refiere a la solvencia de la posición financiera general de la empresa, es decir, la facilidad con la que paga sus facturas.</w:t>
      </w:r>
    </w:p>
    <w:p>
      <w:pPr>
        <w:pStyle w:val="style0"/>
      </w:pPr>
      <w:r>
        <w:rPr>
          <w:b/>
        </w:rPr>
      </w:r>
    </w:p>
    <w:p>
      <w:pPr>
        <w:pStyle w:val="style0"/>
      </w:pPr>
      <w:r>
        <w:rPr>
          <w:b/>
        </w:rPr>
        <w:t>Análisis de actividad:</w:t>
      </w:r>
    </w:p>
    <w:p>
      <w:pPr>
        <w:pStyle w:val="style0"/>
      </w:pPr>
      <w:r>
        <w:rPr/>
        <w:t xml:space="preserve">Mide la velocidad con que diversas cuentas se convierten en ventas o efectivos. Con respecto a las cuentas corrientes, las medidas de liquidez son generalmente inadecuadas, porque las diferencias de la composición de las cuentas corrientes de una empresa afectan de modo significativo su verdadera liquidez. El índice de actividad mide la forma en cómo la empresa emplea los recursos a su disposición. Contiene comparaciones entre el nivel de ventas y la inversión en varias cuentas de activo (Inventarios, cuentas por cobrar, activos fijos). </w:t>
      </w:r>
    </w:p>
    <w:p>
      <w:pPr>
        <w:pStyle w:val="style0"/>
      </w:pPr>
      <w:r>
        <w:rPr>
          <w:b/>
        </w:rPr>
      </w:r>
    </w:p>
    <w:p>
      <w:pPr>
        <w:pStyle w:val="style0"/>
      </w:pPr>
      <w:r>
        <w:rPr>
          <w:b/>
        </w:rPr>
        <w:t>Análisis de  endeudamiento:</w:t>
      </w:r>
    </w:p>
    <w:p>
      <w:pPr>
        <w:pStyle w:val="style0"/>
      </w:pPr>
      <w:r>
        <w:rPr/>
        <w:t>Puede definirse como la relación que existe entre el pasivo de una empresa y su capital efectivo (activo), esto  constituye una de las formas más eficientes para apreciar la situación de la empresa.  En algunos casos se considera el financiamiento total incluyendo el aporte de los socios.  También se efectúa el análisis separando la deuda a corto plazo.</w:t>
      </w:r>
    </w:p>
    <w:p>
      <w:pPr>
        <w:pStyle w:val="style0"/>
      </w:pPr>
      <w:r>
        <w:rPr>
          <w:b/>
        </w:rPr>
      </w:r>
    </w:p>
    <w:p>
      <w:pPr>
        <w:pStyle w:val="style0"/>
      </w:pPr>
      <w:r>
        <w:rPr>
          <w:b/>
        </w:rPr>
        <w:t>Análisis de rentabilidad</w:t>
      </w:r>
    </w:p>
    <w:p>
      <w:pPr>
        <w:pStyle w:val="style0"/>
      </w:pPr>
      <w:r>
        <w:rPr/>
        <w:t>Son aquellos en los que cada partida se expresa como un porcentaje de las ventas, son útiles para comparar el rendimiento a través del tiempo.  El índice de rentabilidad es la tasa con que la empresa remunera todos los capitales a su disposición. En cuanto a los Indicadores no financieros la selección de indicadores debe realizarse de acuerdo con el conjunto de los objetivos estratégicos de la organización, del tipo de actividad y del entorno competitivo en que toca actuar.</w:t>
      </w:r>
    </w:p>
    <w:p>
      <w:pPr>
        <w:pStyle w:val="style0"/>
      </w:pPr>
      <w:r>
        <w:rPr/>
        <w:t>Entre los indicadores No Financieros se tiene: Competitividad, Innovación y Calidad del Servicio</w:t>
      </w:r>
    </w:p>
    <w:p>
      <w:pPr>
        <w:pStyle w:val="style89"/>
      </w:pPr>
      <w:r>
        <w:rPr>
          <w:szCs w:val="24"/>
        </w:rPr>
      </w:r>
    </w:p>
    <w:p>
      <w:pPr>
        <w:pStyle w:val="style0"/>
      </w:pPr>
      <w:r>
        <w:rPr/>
        <w:t>No obstante la utilidad de los indicadores no financieros, en muchos casos existen reticencias para su uso por preferirse otros de observación más directa y por la dificultad para diseñar y, en ocasiones, relacionar uno con el otro. Pero individualmente utilizados, todos son incompletos, y es conveniente el uso de indicadores múltiples.</w:t>
      </w:r>
    </w:p>
    <w:p>
      <w:pPr>
        <w:pStyle w:val="style89"/>
        <w:ind w:hanging="0" w:left="0" w:right="0"/>
      </w:pPr>
      <w:r>
        <w:rPr>
          <w:szCs w:val="24"/>
        </w:rPr>
      </w:r>
    </w:p>
    <w:p>
      <w:pPr>
        <w:pStyle w:val="style0"/>
      </w:pPr>
      <w:r>
        <w:rPr/>
        <w:t>Los indicadores no financieros describen Según América (2000): “Producción y productividad. Ventas y estudios de mercado. Personas: clientes, empleados. Investigación y desarrollo. El entorno”. (p.231)</w:t>
      </w:r>
    </w:p>
    <w:p>
      <w:pPr>
        <w:pStyle w:val="style0"/>
      </w:pPr>
      <w:r>
        <w:rPr>
          <w:b/>
        </w:rPr>
      </w:r>
    </w:p>
    <w:p>
      <w:pPr>
        <w:pStyle w:val="style0"/>
      </w:pPr>
      <w:r>
        <w:rPr>
          <w:b/>
        </w:rPr>
        <w:t xml:space="preserve">Tipos de Indicadores de Gestión </w:t>
      </w:r>
    </w:p>
    <w:p>
      <w:pPr>
        <w:pStyle w:val="style0"/>
      </w:pPr>
      <w:r>
        <w:rPr>
          <w:b/>
        </w:rPr>
      </w:r>
    </w:p>
    <w:p>
      <w:pPr>
        <w:pStyle w:val="style0"/>
      </w:pPr>
      <w:r>
        <w:rPr/>
        <w:t>Los indicadores pueden ser clasificados de diversas formas de acuerdo con el objeto; los indicadores son agrupados de acuerdo con el sujeto de medición o evaluación, actualmente existen diversos tipos y partiendo de las consideraciones que señala Serna y Martinic (1997), los indicadores orientados a un modelo integral de gestión se clasifican en:</w:t>
      </w:r>
    </w:p>
    <w:p>
      <w:pPr>
        <w:pStyle w:val="style89"/>
      </w:pPr>
      <w:r>
        <w:rPr>
          <w:szCs w:val="24"/>
        </w:rPr>
        <w:t xml:space="preserve">   </w:t>
      </w:r>
    </w:p>
    <w:p>
      <w:pPr>
        <w:pStyle w:val="style80"/>
      </w:pPr>
      <w:r>
        <w:rPr>
          <w:b/>
        </w:rPr>
        <w:t xml:space="preserve">Indicadores de estructura: </w:t>
      </w:r>
      <w:r>
        <w:rPr/>
        <w:t>Buscan evaluar el costo y la utilización de los recursos.</w:t>
      </w:r>
    </w:p>
    <w:p>
      <w:pPr>
        <w:pStyle w:val="style80"/>
      </w:pPr>
      <w:r>
        <w:rPr>
          <w:b/>
        </w:rPr>
        <w:t xml:space="preserve">Indicadores estratégicos: </w:t>
      </w:r>
      <w:r>
        <w:rPr/>
        <w:t>Procuran evaluar los aspectos no realizados directamente con las actividades desarrolladas, pero que tienen efectos sobre los resultados.</w:t>
      </w:r>
    </w:p>
    <w:p>
      <w:pPr>
        <w:pStyle w:val="style80"/>
      </w:pPr>
      <w:r>
        <w:rPr>
          <w:b/>
        </w:rPr>
        <w:t xml:space="preserve">Indicadores de resultados: </w:t>
      </w:r>
      <w:r>
        <w:rPr/>
        <w:t>Que conforman los resultados obtenidos contra los resultados esperados, normalmente están referidos a indicadores de eficiencia considerando el alcance de los objetivos fijados.</w:t>
      </w:r>
    </w:p>
    <w:p>
      <w:pPr>
        <w:pStyle w:val="style80"/>
      </w:pPr>
      <w:r>
        <w:rPr>
          <w:b/>
        </w:rPr>
        <w:t xml:space="preserve">Indicadores de proceso: </w:t>
      </w:r>
      <w:r>
        <w:rPr/>
        <w:t>Referidos a los indicadores de eficiencia y son utilizados normalmente cuando no es posible utilizar indicadores de resultado.</w:t>
      </w:r>
    </w:p>
    <w:p>
      <w:pPr>
        <w:pStyle w:val="style80"/>
      </w:pPr>
      <w:r>
        <w:rPr>
          <w:b/>
        </w:rPr>
        <w:t xml:space="preserve">Indicadores de calidad: </w:t>
      </w:r>
      <w:r>
        <w:rPr/>
        <w:t>Relaciona características del bien o servicio frente al grado de satisfacción de necesidades requeridas por el usuario.  Por ejemplo: reclamos, documentación en trámite, procesamiento de información y grado de satisfacción, entre otros.</w:t>
      </w:r>
    </w:p>
    <w:p>
      <w:pPr>
        <w:pStyle w:val="style80"/>
      </w:pPr>
      <w:r>
        <w:rPr>
          <w:b/>
        </w:rPr>
        <w:t xml:space="preserve">Indicadores de oportunidad: </w:t>
      </w:r>
      <w:r>
        <w:rPr/>
        <w:t>Muestra el grado de cumplimiento con respecto al tiempo programado.  Un margen de desviación amplio en esta relación genera un incremento en los costos, así como de mora en la prestación de los servicios.</w:t>
      </w:r>
    </w:p>
    <w:p>
      <w:pPr>
        <w:pStyle w:val="style80"/>
      </w:pPr>
      <w:r>
        <w:rPr>
          <w:b/>
        </w:rPr>
        <w:t xml:space="preserve">Indicadores de cantidad: </w:t>
      </w:r>
      <w:r>
        <w:rPr/>
        <w:t>Muestra el volumen de recursos utilizados frente a lo planeado, es decir; relaciona el volumen del bien o servicio programado frente al volumen de los servicios atendidos o ejecutados.</w:t>
      </w:r>
    </w:p>
    <w:p>
      <w:pPr>
        <w:pStyle w:val="style80"/>
      </w:pPr>
      <w:r>
        <w:rPr>
          <w:b/>
        </w:rPr>
        <w:t xml:space="preserve">Indicadores de insumo: </w:t>
      </w:r>
      <w:r>
        <w:rPr/>
        <w:t>Establece relaciones entre los insumos y recursos necesarios en el desarrollo de la entidad, por ejemplo: el número total de personas que laboran en la entidad, es por sí solo un indicador histórico permite medir los incrementos o reducciones de la organización; al relacionarse con otras como el financiero, determina el nivel promedio de salario,  los salarios por niveles, entre otros (p.98)</w:t>
      </w:r>
    </w:p>
    <w:p>
      <w:pPr>
        <w:pStyle w:val="style0"/>
      </w:pPr>
      <w:r>
        <w:rPr/>
      </w:r>
    </w:p>
    <w:p>
      <w:pPr>
        <w:pStyle w:val="style0"/>
      </w:pPr>
      <w:r>
        <w:rPr/>
        <w:t xml:space="preserve">De acuerdo con el ámbito de aplicación los indicadores son: </w:t>
      </w:r>
    </w:p>
    <w:p>
      <w:pPr>
        <w:pStyle w:val="style0"/>
      </w:pPr>
      <w:r>
        <w:rPr/>
      </w:r>
    </w:p>
    <w:p>
      <w:pPr>
        <w:pStyle w:val="style0"/>
        <w:numPr>
          <w:ilvl w:val="0"/>
          <w:numId w:val="7"/>
        </w:numPr>
        <w:spacing w:line="276" w:lineRule="auto"/>
      </w:pPr>
      <w:r>
        <w:rPr>
          <w:b/>
        </w:rPr>
        <w:t xml:space="preserve">Internos: </w:t>
      </w:r>
      <w:r>
        <w:rPr/>
        <w:t>Consideran variables de funcionamiento interno de la entidad u organización.</w:t>
      </w:r>
    </w:p>
    <w:p>
      <w:pPr>
        <w:pStyle w:val="style0"/>
        <w:spacing w:line="276" w:lineRule="auto"/>
        <w:ind w:hanging="0" w:left="720" w:right="0"/>
      </w:pPr>
      <w:r>
        <w:rPr/>
      </w:r>
    </w:p>
    <w:p>
      <w:pPr>
        <w:pStyle w:val="style0"/>
        <w:numPr>
          <w:ilvl w:val="0"/>
          <w:numId w:val="7"/>
        </w:numPr>
        <w:spacing w:line="276" w:lineRule="auto"/>
      </w:pPr>
      <w:r>
        <w:rPr>
          <w:b/>
        </w:rPr>
        <w:t xml:space="preserve">Externos: </w:t>
      </w:r>
      <w:r>
        <w:rPr/>
        <w:t xml:space="preserve">Consideran el efecto o impacto de las actividades y servicios prestados fuera de la entidad. </w:t>
      </w:r>
    </w:p>
    <w:p>
      <w:pPr>
        <w:pStyle w:val="style0"/>
      </w:pPr>
      <w:r>
        <w:rPr/>
        <w:t xml:space="preserve">Otros indicadores de gestión son denominados indicadores numéricos, entendido por Pacheco (2002) como: “La relación entre dos o más datos significativos que tienen un nexo lógico entre ellos” (p.53). Entre ellos se destacan: Razones, porcentajes, promedios y números índices. Los indicadores de razones, según Pacheco (2002) expresa la relación entre dos datos y dicha relación se obtiene a dividir un dato, el numerador, por una base, el denominador. El numerador y el denominador deben ser expresados en unidades de medida de la misma naturaleza. </w:t>
      </w:r>
    </w:p>
    <w:p>
      <w:pPr>
        <w:pStyle w:val="style0"/>
      </w:pPr>
      <w:r>
        <w:rPr/>
      </w:r>
    </w:p>
    <w:p>
      <w:pPr>
        <w:pStyle w:val="style0"/>
      </w:pPr>
      <w:r>
        <w:rPr/>
        <w:t xml:space="preserve">Ahora bien también están los porcentajes. Ellos presentan el valor relativo de una cifra con respecto a un valor de referencia igual a cien.  En otros términos, muestra el valor relativo de una parte con relación al todo, al cual se le atribuye el valor de cien. Finalmente, Pacheco (2002) “El porcentaje puede referirse al valor relativo de una parte del todo, con relación a otra parte a la cual se le asigna el valor de cien” (p.58). </w:t>
      </w:r>
    </w:p>
    <w:p>
      <w:pPr>
        <w:pStyle w:val="style89"/>
      </w:pPr>
      <w:r>
        <w:rPr>
          <w:szCs w:val="24"/>
        </w:rPr>
      </w:r>
    </w:p>
    <w:p>
      <w:pPr>
        <w:pStyle w:val="style0"/>
      </w:pPr>
      <w:r>
        <w:rPr/>
        <w:t>En cuanto al indicador de promedio, existen diferentes conceptos de él y no pueden utilizarse de manera indiscriminada para todos los casos.  Los más usuales son la media aritmética, la mediana y la moda. La media se obtiene sumando un conjunto de valores y dividiendo el resultado por el número de valores sumados. La mediana de un conjunto de datos es el valor que ocupa la posición central cuando esos datos son ordenados del más bajo al más alto cuando el número de datos es por la mediana es la media entre los datos centrales.</w:t>
      </w:r>
    </w:p>
    <w:p>
      <w:pPr>
        <w:pStyle w:val="style89"/>
      </w:pPr>
      <w:r>
        <w:rPr>
          <w:szCs w:val="24"/>
        </w:rPr>
      </w:r>
    </w:p>
    <w:p>
      <w:pPr>
        <w:pStyle w:val="style0"/>
      </w:pPr>
      <w:r>
        <w:rPr/>
        <w:t>La moda es el valor que se presenta al mayor número de veces.  El salario modal en una empresa es el que recibe el mayor número de los trabajadores. Finalmente, se destacan los números índices, los cuales expresan los cambios relativos de una variable comparada con una base a la cual se le asigna el valor de cien.  Proporcionan un método simple para comparar cambios que se presentan a una variable a través de un período.</w:t>
      </w:r>
    </w:p>
    <w:p>
      <w:pPr>
        <w:pStyle w:val="style89"/>
      </w:pPr>
      <w:r>
        <w:rPr>
          <w:szCs w:val="24"/>
        </w:rPr>
      </w:r>
    </w:p>
    <w:p>
      <w:pPr>
        <w:pStyle w:val="style0"/>
      </w:pPr>
      <w:r>
        <w:rPr/>
        <w:t xml:space="preserve">Los pasos para lograr un número de índice son: Se recoge un período base, tomando en cuenta que no debe ser anormalmente grande o pequeña.  No debe escogerse un valor que sea excepcional, sino cercano al promedio.  El valor de cada período se divide por la cifra base y el resultado se multiplica por cien. </w:t>
      </w:r>
    </w:p>
    <w:p>
      <w:pPr>
        <w:pStyle w:val="style0"/>
        <w:ind w:hanging="0" w:left="0" w:right="0"/>
      </w:pPr>
      <w:r>
        <w:rPr>
          <w:b/>
        </w:rPr>
      </w:r>
    </w:p>
    <w:p>
      <w:pPr>
        <w:pStyle w:val="style0"/>
        <w:ind w:hanging="0" w:left="0" w:right="0"/>
      </w:pPr>
      <w:r>
        <w:rPr>
          <w:b/>
        </w:rPr>
        <w:t>Proyección de los estados financieros</w:t>
      </w:r>
    </w:p>
    <w:p>
      <w:pPr>
        <w:pStyle w:val="style0"/>
      </w:pPr>
      <w:r>
        <w:rPr>
          <w:b/>
        </w:rPr>
      </w:r>
    </w:p>
    <w:p>
      <w:pPr>
        <w:pStyle w:val="style0"/>
      </w:pPr>
      <w:r>
        <w:rPr/>
        <w:t>Una de las técnicas de planeación cuantitativa es la proyección de estados financieros o también llamada estados pro forma. Las aplicaciones que se pueden tener entre otras, se destacan; conocer cómo se terminará el año para efectos fiscales en cuanto a ingresos y deducciones con la finalidad de tomar decisiones antes del cierre del ejercicio. Otra aplicación será conocer las necesidades de financiamiento externo para el período que desea conocer. En tal sentido Jarillo (1995) establece que:</w:t>
      </w:r>
    </w:p>
    <w:p>
      <w:pPr>
        <w:pStyle w:val="style0"/>
      </w:pPr>
      <w:r>
        <w:rPr/>
      </w:r>
    </w:p>
    <w:p>
      <w:pPr>
        <w:pStyle w:val="style86"/>
      </w:pPr>
      <w:r>
        <w:rPr/>
        <w:t>El método más común y práctico para proyectar los estados financieros es el basado en las ventas. A través de técnicas estadísticas entre las que se encuentran las tendencias que considerando datos históricas nos permite contar con datos futuros. Con esta técnica suavizamos el comportamiento ya que habrá datos que no siempre guardarán un comportamiento lineal y desde un punto de vista cualitativo se puede determinar por opiniones de los ejecutivos del área comercial (p.261).</w:t>
      </w:r>
    </w:p>
    <w:p>
      <w:pPr>
        <w:pStyle w:val="style0"/>
        <w:spacing w:line="480" w:lineRule="auto"/>
      </w:pPr>
      <w:r>
        <w:rPr/>
      </w:r>
    </w:p>
    <w:p>
      <w:pPr>
        <w:pStyle w:val="style0"/>
      </w:pPr>
      <w:r>
        <w:rPr/>
        <w:t>Ahora bien, cuando se determina el nivel de ventas para el período que se desea proyectar se está en la posibilidad de determinar dos de los estados financieros principales, el estado de resultados y el estado de situación financiera. En el estado de resultados la mayoría de las cuentas que se proyectan está en función a las ventas, y se estimarán en base a la proporción que representó cada una de ellas con respecto al renglón de ingresos en el último período real.</w:t>
      </w:r>
    </w:p>
    <w:p>
      <w:pPr>
        <w:pStyle w:val="style0"/>
      </w:pPr>
      <w:r>
        <w:rPr/>
      </w:r>
    </w:p>
    <w:p>
      <w:pPr>
        <w:pStyle w:val="style0"/>
      </w:pPr>
      <w:r>
        <w:rPr/>
        <w:t xml:space="preserve">En el estado de situación financiera las siguientes cuentas se recomiendan sean en base a la rotación en días del último período real son: </w:t>
      </w:r>
    </w:p>
    <w:p>
      <w:pPr>
        <w:pStyle w:val="style0"/>
      </w:pPr>
      <w:r>
        <w:rPr/>
      </w:r>
    </w:p>
    <w:p>
      <w:pPr>
        <w:pStyle w:val="style82"/>
        <w:numPr>
          <w:ilvl w:val="0"/>
          <w:numId w:val="2"/>
        </w:numPr>
        <w:spacing w:after="0" w:before="0" w:line="360" w:lineRule="auto"/>
        <w:jc w:val="both"/>
      </w:pPr>
      <w:r>
        <w:rPr>
          <w:rFonts w:ascii="Times New Roman" w:hAnsi="Times New Roman"/>
          <w:sz w:val="24"/>
          <w:szCs w:val="24"/>
        </w:rPr>
        <w:t xml:space="preserve">Cuentas por Cobrar </w:t>
      </w:r>
    </w:p>
    <w:p>
      <w:pPr>
        <w:pStyle w:val="style82"/>
        <w:numPr>
          <w:ilvl w:val="0"/>
          <w:numId w:val="2"/>
        </w:numPr>
        <w:spacing w:after="0" w:before="0" w:line="360" w:lineRule="auto"/>
        <w:jc w:val="both"/>
      </w:pPr>
      <w:r>
        <w:rPr>
          <w:rFonts w:ascii="Times New Roman" w:hAnsi="Times New Roman"/>
          <w:sz w:val="24"/>
          <w:szCs w:val="24"/>
        </w:rPr>
        <w:t xml:space="preserve">Inventarios </w:t>
      </w:r>
    </w:p>
    <w:p>
      <w:pPr>
        <w:pStyle w:val="style82"/>
        <w:numPr>
          <w:ilvl w:val="0"/>
          <w:numId w:val="2"/>
        </w:numPr>
        <w:spacing w:after="0" w:before="0" w:line="360" w:lineRule="auto"/>
        <w:jc w:val="both"/>
      </w:pPr>
      <w:r>
        <w:rPr>
          <w:rFonts w:ascii="Times New Roman" w:hAnsi="Times New Roman"/>
          <w:sz w:val="24"/>
          <w:szCs w:val="24"/>
        </w:rPr>
        <w:t xml:space="preserve">Proveedores </w:t>
      </w:r>
    </w:p>
    <w:p>
      <w:pPr>
        <w:pStyle w:val="style82"/>
        <w:numPr>
          <w:ilvl w:val="0"/>
          <w:numId w:val="2"/>
        </w:numPr>
        <w:spacing w:after="0" w:before="0" w:line="360" w:lineRule="auto"/>
        <w:jc w:val="both"/>
      </w:pPr>
      <w:r>
        <w:rPr>
          <w:rFonts w:ascii="Times New Roman" w:hAnsi="Times New Roman"/>
          <w:sz w:val="24"/>
          <w:szCs w:val="24"/>
        </w:rPr>
        <w:t xml:space="preserve">Gastos acumulados por pagar </w:t>
      </w:r>
    </w:p>
    <w:p>
      <w:pPr>
        <w:pStyle w:val="style0"/>
      </w:pPr>
      <w:r>
        <w:rPr/>
      </w:r>
    </w:p>
    <w:p>
      <w:pPr>
        <w:pStyle w:val="style0"/>
      </w:pPr>
      <w:r>
        <w:rPr/>
        <w:t>Así mismo, se tiene que considerar las adquisiciones o bajas de activo fijo y su correspondiente depreciación y las demás partidas de activo serían en función a las ventas. Por parte del pasivo, las otras cuentas que no representan financiamiento externo se proyectarán en base a ventas e inicialmente los saldos de las cuentas que representan financiamiento externo no se mueven precisamente para conocer si se incrementan o disminuyen. Sobre este tema, Jarillo (1995) establece que:</w:t>
      </w:r>
    </w:p>
    <w:p>
      <w:pPr>
        <w:pStyle w:val="style0"/>
      </w:pPr>
      <w:r>
        <w:rPr/>
      </w:r>
    </w:p>
    <w:p>
      <w:pPr>
        <w:pStyle w:val="style86"/>
      </w:pPr>
      <w:r>
        <w:rPr/>
        <w:t>Por lo que respecta al capital contable si determinará aumentos o disminuciones en el capital social y se incorporará el resultado neto a los resultados de ejercicios anteriores. Una vez que proyectamos tanto el activo como el pasivo y el capital contable estaríamos en la posibilidad de conocer tres resultados posibles y su interpretación (p.342).</w:t>
      </w:r>
    </w:p>
    <w:p>
      <w:pPr>
        <w:pStyle w:val="style0"/>
        <w:spacing w:line="480" w:lineRule="auto"/>
      </w:pPr>
      <w:r>
        <w:rPr>
          <w:lang w:eastAsia="en-US"/>
        </w:rPr>
      </w:r>
    </w:p>
    <w:p>
      <w:pPr>
        <w:pStyle w:val="style0"/>
      </w:pPr>
      <w:r>
        <w:rPr/>
        <w:t xml:space="preserve">Ahora bien; otra forma de proyectar las cifras es mediante el flujo de efectivo en donde para su elaboración, se necesita contar con supuestos entre otros los siguientes: </w:t>
      </w:r>
    </w:p>
    <w:p>
      <w:pPr>
        <w:pStyle w:val="style0"/>
      </w:pPr>
      <w:r>
        <w:rPr/>
      </w:r>
    </w:p>
    <w:p>
      <w:pPr>
        <w:pStyle w:val="style82"/>
        <w:numPr>
          <w:ilvl w:val="0"/>
          <w:numId w:val="3"/>
        </w:numPr>
        <w:spacing w:after="0" w:before="0" w:line="360" w:lineRule="auto"/>
        <w:jc w:val="both"/>
      </w:pPr>
      <w:r>
        <w:rPr>
          <w:rFonts w:ascii="Times New Roman" w:hAnsi="Times New Roman"/>
          <w:sz w:val="24"/>
          <w:szCs w:val="24"/>
        </w:rPr>
        <w:t xml:space="preserve">Días de cobranza. </w:t>
      </w:r>
    </w:p>
    <w:p>
      <w:pPr>
        <w:pStyle w:val="style82"/>
        <w:numPr>
          <w:ilvl w:val="0"/>
          <w:numId w:val="3"/>
        </w:numPr>
        <w:spacing w:after="0" w:before="0" w:line="360" w:lineRule="auto"/>
        <w:jc w:val="both"/>
      </w:pPr>
      <w:r>
        <w:rPr>
          <w:rFonts w:ascii="Times New Roman" w:hAnsi="Times New Roman"/>
          <w:sz w:val="24"/>
          <w:szCs w:val="24"/>
        </w:rPr>
        <w:t xml:space="preserve">Días de pago a proveedores. </w:t>
      </w:r>
    </w:p>
    <w:p>
      <w:pPr>
        <w:pStyle w:val="style82"/>
        <w:numPr>
          <w:ilvl w:val="0"/>
          <w:numId w:val="3"/>
        </w:numPr>
        <w:spacing w:after="0" w:before="0" w:line="360" w:lineRule="auto"/>
        <w:jc w:val="both"/>
      </w:pPr>
      <w:r>
        <w:rPr>
          <w:rFonts w:ascii="Times New Roman" w:hAnsi="Times New Roman"/>
          <w:sz w:val="24"/>
          <w:szCs w:val="24"/>
        </w:rPr>
        <w:t xml:space="preserve">Importes de las compras. </w:t>
      </w:r>
    </w:p>
    <w:p>
      <w:pPr>
        <w:pStyle w:val="style82"/>
        <w:numPr>
          <w:ilvl w:val="0"/>
          <w:numId w:val="3"/>
        </w:numPr>
        <w:spacing w:after="0" w:before="0" w:line="360" w:lineRule="auto"/>
        <w:jc w:val="both"/>
      </w:pPr>
      <w:r>
        <w:rPr>
          <w:rFonts w:ascii="Times New Roman" w:hAnsi="Times New Roman"/>
          <w:sz w:val="24"/>
          <w:szCs w:val="24"/>
        </w:rPr>
        <w:t xml:space="preserve">Adquisiciones de Activo Fijo. </w:t>
      </w:r>
    </w:p>
    <w:p>
      <w:pPr>
        <w:pStyle w:val="style82"/>
        <w:numPr>
          <w:ilvl w:val="0"/>
          <w:numId w:val="3"/>
        </w:numPr>
        <w:spacing w:after="0" w:before="0" w:line="360" w:lineRule="auto"/>
        <w:jc w:val="both"/>
      </w:pPr>
      <w:r>
        <w:rPr>
          <w:rFonts w:ascii="Times New Roman" w:hAnsi="Times New Roman"/>
          <w:sz w:val="24"/>
          <w:szCs w:val="24"/>
        </w:rPr>
        <w:t xml:space="preserve">Importes de los Impuestos. </w:t>
      </w:r>
    </w:p>
    <w:p>
      <w:pPr>
        <w:pStyle w:val="style82"/>
        <w:numPr>
          <w:ilvl w:val="0"/>
          <w:numId w:val="3"/>
        </w:numPr>
        <w:spacing w:after="0" w:before="0" w:line="360" w:lineRule="auto"/>
        <w:jc w:val="both"/>
      </w:pPr>
      <w:r>
        <w:rPr>
          <w:rFonts w:ascii="Times New Roman" w:hAnsi="Times New Roman"/>
          <w:sz w:val="24"/>
          <w:szCs w:val="24"/>
        </w:rPr>
        <w:t xml:space="preserve">Amortizaciones a capital. </w:t>
      </w:r>
    </w:p>
    <w:p>
      <w:pPr>
        <w:pStyle w:val="style82"/>
        <w:numPr>
          <w:ilvl w:val="0"/>
          <w:numId w:val="3"/>
        </w:numPr>
        <w:spacing w:after="0" w:before="0" w:line="360" w:lineRule="auto"/>
        <w:jc w:val="both"/>
      </w:pPr>
      <w:r>
        <w:rPr>
          <w:rFonts w:ascii="Times New Roman" w:hAnsi="Times New Roman"/>
          <w:sz w:val="24"/>
          <w:szCs w:val="24"/>
        </w:rPr>
        <w:t xml:space="preserve">Pago de intereses. </w:t>
      </w:r>
    </w:p>
    <w:p>
      <w:pPr>
        <w:pStyle w:val="style82"/>
        <w:numPr>
          <w:ilvl w:val="0"/>
          <w:numId w:val="3"/>
        </w:numPr>
        <w:spacing w:after="0" w:before="0" w:line="360" w:lineRule="auto"/>
        <w:jc w:val="both"/>
      </w:pPr>
      <w:r>
        <w:rPr>
          <w:rFonts w:ascii="Times New Roman" w:hAnsi="Times New Roman"/>
          <w:sz w:val="24"/>
          <w:szCs w:val="24"/>
        </w:rPr>
        <w:t xml:space="preserve">Mínimo requerido en el disponible. </w:t>
      </w:r>
    </w:p>
    <w:p>
      <w:pPr>
        <w:pStyle w:val="style0"/>
      </w:pPr>
      <w:r>
        <w:rPr/>
      </w:r>
    </w:p>
    <w:p>
      <w:pPr>
        <w:pStyle w:val="style0"/>
      </w:pPr>
      <w:r>
        <w:rPr/>
        <w:t>En base a la proyección del flujo de efectivo se tendrán al final del período, saldos de estas cuentas que ayudarán a contar con cifras estimadas para efectos de los dos estados financieros. Al contar con esta información se está en la posibilidad de poder tomar decisiones para verificar aspectos de crecimiento, revisión de políticas, ajuste de gastos, adquisiciones de activo fijo e inventario, pagos de pasivos, incremento de capital social, determinación de la política de dividendos, alternativas de fuentes de financiamiento, evaluación del costo de capital, evaluación de proyectos de inversión.</w:t>
      </w:r>
    </w:p>
    <w:p>
      <w:pPr>
        <w:pStyle w:val="style0"/>
      </w:pPr>
      <w:r>
        <w:rPr/>
      </w:r>
    </w:p>
    <w:p>
      <w:pPr>
        <w:pStyle w:val="style0"/>
      </w:pPr>
      <w:r>
        <w:rPr/>
        <w:t xml:space="preserve">Por tanto, esta herramienta de planeación servirá para lograr objetivos y así mismo establecer los controles adecuados para la marcha del negocio en un horizonte tanto de corto como de largo plazo. De esta manera se tiene que, la proyección financiera es una herramienta, que permite ver en números el futuro de la empresa. Es necesario demostrar ese éxito de manera tangible, las proyecciones financieras ayudan bastante en estos casos. Consiste en pronosticar las ventas, gastos e inversiones de un periodo de tiempo, traducir los resultados esperados en los estados financieros básicos como balance general, estado de resultados y flujo de efectivo. </w:t>
      </w:r>
    </w:p>
    <w:p>
      <w:pPr>
        <w:pStyle w:val="style0"/>
      </w:pPr>
      <w:r>
        <w:rPr/>
      </w:r>
    </w:p>
    <w:p>
      <w:pPr>
        <w:pStyle w:val="style0"/>
      </w:pPr>
      <w:r>
        <w:rPr/>
        <w:t xml:space="preserve">Lo relevante de estas proyecciones financieras es que incluyen los planes de ventas, mercadotecnia, recursos humanos, compras, inversiones, entre otros. Es decir, todo lo necesario para que el escenario que se plantea pueda realizarse. </w:t>
      </w:r>
    </w:p>
    <w:p>
      <w:pPr>
        <w:pStyle w:val="style0"/>
      </w:pPr>
      <w:r>
        <w:rPr/>
      </w:r>
    </w:p>
    <w:p>
      <w:pPr>
        <w:pStyle w:val="style0"/>
      </w:pPr>
      <w:r>
        <w:rPr/>
        <w:t xml:space="preserve">De esta manera se puede demostrar que la empresa es capaz de: </w:t>
      </w:r>
    </w:p>
    <w:p>
      <w:pPr>
        <w:pStyle w:val="style82"/>
        <w:numPr>
          <w:ilvl w:val="0"/>
          <w:numId w:val="4"/>
        </w:numPr>
        <w:spacing w:after="0" w:before="0" w:line="360" w:lineRule="auto"/>
        <w:jc w:val="both"/>
      </w:pPr>
      <w:r>
        <w:rPr>
          <w:rFonts w:ascii="Times New Roman" w:hAnsi="Times New Roman"/>
          <w:sz w:val="24"/>
          <w:szCs w:val="24"/>
        </w:rPr>
        <w:t xml:space="preserve">Ofrecer una buena rentabilidad a sus dueños. </w:t>
      </w:r>
    </w:p>
    <w:p>
      <w:pPr>
        <w:pStyle w:val="style82"/>
        <w:numPr>
          <w:ilvl w:val="0"/>
          <w:numId w:val="4"/>
        </w:numPr>
        <w:spacing w:after="0" w:before="0" w:line="360" w:lineRule="auto"/>
        <w:jc w:val="both"/>
      </w:pPr>
      <w:r>
        <w:rPr>
          <w:rFonts w:ascii="Times New Roman" w:hAnsi="Times New Roman"/>
          <w:sz w:val="24"/>
          <w:szCs w:val="24"/>
        </w:rPr>
        <w:t xml:space="preserve">Pagar oportunamente los vencimientos de los préstamos. </w:t>
      </w:r>
    </w:p>
    <w:p>
      <w:pPr>
        <w:pStyle w:val="style0"/>
      </w:pPr>
      <w:r>
        <w:rPr/>
      </w:r>
    </w:p>
    <w:p>
      <w:pPr>
        <w:pStyle w:val="style0"/>
      </w:pPr>
      <w:r>
        <w:rPr/>
        <w:t xml:space="preserve">El horizonte de tiempo que se proyecta puede variar según cada caso. Pueden ser 3, 5 ó 10 años, aunque este último es poco creíble. Sin embargo, se recomienda que el primer año de proyección se realice con detalle mensual. Otra práctica sugerida al realizar estos ejercicios es el planteamiento de diferentes escenarios o análisis de sensibilidad, donde los planes de venta no se logren alcanzar de manera óptima. Un empresario en búsqueda de financiamiento, al presentar estos estados financieros proyectados, podrá hacer tangible la visión de oportunidad de negocio y facilitar su labor de convencimiento para adquirir recursos. </w:t>
      </w:r>
    </w:p>
    <w:p>
      <w:pPr>
        <w:pStyle w:val="style0"/>
      </w:pPr>
      <w:r>
        <w:rPr/>
      </w:r>
    </w:p>
    <w:p>
      <w:pPr>
        <w:pStyle w:val="style0"/>
      </w:pPr>
      <w:r>
        <w:rPr/>
        <w:t>Ahora bien, para Morrisey (1996) establece que:</w:t>
      </w:r>
    </w:p>
    <w:p>
      <w:pPr>
        <w:pStyle w:val="style83"/>
        <w:spacing w:line="480" w:lineRule="auto"/>
      </w:pPr>
      <w:r>
        <w:rPr>
          <w:rFonts w:ascii="Times New Roman" w:hAnsi="Times New Roman"/>
          <w:szCs w:val="24"/>
        </w:rPr>
      </w:r>
    </w:p>
    <w:p>
      <w:pPr>
        <w:pStyle w:val="style86"/>
      </w:pPr>
      <w:r>
        <w:rPr/>
        <w:t>La proyección de estados financieros, es uno de los pilares fundamentales de la planeación financiera de la empresa, al igual que el presupuesto de efectivo y el proceso general de presupuestación. El uso de cifras proyectadas permite tomar decisiones más ajustadas a la realidad de la empresa, en la medida en que la obtención de dichas cifras obedece a la confrontación de la información histórica con las expectativas futuras de la empresa y los objetivos que con base en ellos se ha trazado la gerencia (p.431).</w:t>
      </w:r>
    </w:p>
    <w:p>
      <w:pPr>
        <w:pStyle w:val="style0"/>
        <w:spacing w:line="480" w:lineRule="auto"/>
      </w:pPr>
      <w:r>
        <w:rPr/>
      </w:r>
    </w:p>
    <w:p>
      <w:pPr>
        <w:pStyle w:val="style0"/>
      </w:pPr>
      <w:r>
        <w:rPr/>
        <w:t xml:space="preserve">En tal sentido, se tiene que el objetivo principal, es medir el efecto que genera la situación financiera de la empresa sobre las diferentes alternativas de decisión que toma esta. En la proyección de estados financieros se utilizan cifras globales referentes a los diferentes aspectos de la empresa, es decir no requiere de muchos detalles en las cifras. El procedimiento seguido en el caso es sencillo. </w:t>
      </w:r>
    </w:p>
    <w:p>
      <w:pPr>
        <w:pStyle w:val="style0"/>
      </w:pPr>
      <w:r>
        <w:rPr/>
      </w:r>
    </w:p>
    <w:p>
      <w:pPr>
        <w:pStyle w:val="style0"/>
      </w:pPr>
      <w:r>
        <w:rPr/>
        <w:t xml:space="preserve">Consiste en proyectar cada una de la cuentas del Estado de Resultados, el Balance General y el Presupuesto de Efectivo; para confeccionar, al final los mencionados estados financieros; con base en los supuestos trazados en los presupuestos de ventas, gastos, costos, inversiones y financiación. </w:t>
      </w:r>
    </w:p>
    <w:p>
      <w:pPr>
        <w:pStyle w:val="style0"/>
      </w:pPr>
      <w:r>
        <w:rPr/>
        <w:t>En base a lo anteriormente expuesto, se puede determinar que la proyección de estados financieros poseen características básicas como lo serían:</w:t>
      </w:r>
    </w:p>
    <w:p>
      <w:pPr>
        <w:pStyle w:val="style0"/>
      </w:pPr>
      <w:r>
        <w:rPr/>
      </w:r>
    </w:p>
    <w:p>
      <w:pPr>
        <w:pStyle w:val="style82"/>
        <w:numPr>
          <w:ilvl w:val="0"/>
          <w:numId w:val="5"/>
        </w:numPr>
        <w:spacing w:after="0" w:before="0" w:line="360" w:lineRule="auto"/>
        <w:jc w:val="both"/>
      </w:pPr>
      <w:r>
        <w:rPr>
          <w:rFonts w:ascii="Times New Roman" w:hAnsi="Times New Roman"/>
          <w:sz w:val="24"/>
          <w:szCs w:val="24"/>
        </w:rPr>
        <w:t>El Estado de Resultados proforma, representa un plan operativo para los negocios.</w:t>
      </w:r>
    </w:p>
    <w:p>
      <w:pPr>
        <w:pStyle w:val="style82"/>
        <w:numPr>
          <w:ilvl w:val="0"/>
          <w:numId w:val="5"/>
        </w:numPr>
        <w:spacing w:after="0" w:before="0" w:line="360" w:lineRule="auto"/>
        <w:jc w:val="both"/>
      </w:pPr>
      <w:r>
        <w:rPr>
          <w:rFonts w:ascii="Times New Roman" w:hAnsi="Times New Roman"/>
          <w:sz w:val="24"/>
          <w:szCs w:val="24"/>
        </w:rPr>
        <w:t>El Balance General proforma, refleja anticipadamente el efecto acumulativo de las decisiones financieras por asumir.</w:t>
      </w:r>
    </w:p>
    <w:p>
      <w:pPr>
        <w:pStyle w:val="style82"/>
        <w:numPr>
          <w:ilvl w:val="0"/>
          <w:numId w:val="5"/>
        </w:numPr>
        <w:spacing w:after="0" w:before="0" w:line="360" w:lineRule="auto"/>
        <w:jc w:val="both"/>
      </w:pPr>
      <w:r>
        <w:rPr>
          <w:rFonts w:ascii="Times New Roman" w:hAnsi="Times New Roman"/>
          <w:sz w:val="24"/>
          <w:szCs w:val="24"/>
        </w:rPr>
        <w:t>El Flujo de Efectivo proforma, muestra los resultados futuros de manejo gerencia, representados en el nivel de efectivo obtenido.</w:t>
      </w:r>
    </w:p>
    <w:p>
      <w:pPr>
        <w:pStyle w:val="style82"/>
      </w:pPr>
      <w:r>
        <w:rPr>
          <w:rFonts w:ascii="Times New Roman" w:hAnsi="Times New Roman"/>
          <w:sz w:val="24"/>
          <w:szCs w:val="24"/>
        </w:rPr>
      </w:r>
    </w:p>
    <w:p>
      <w:pPr>
        <w:pStyle w:val="style0"/>
      </w:pPr>
      <w:r>
        <w:rPr/>
        <w:t>De esta manera, se tiene que la proyección de estados financieros por parte de una empresa pueden ser de gran utilidad para esta por cuanto representan una oportunidad de conocer cuales serán los resultados a obtener del desempeño de sus funciones en el segmento del mercado meta, como es el caso de la tarjetas de crédito de la banca.</w:t>
      </w:r>
    </w:p>
    <w:p>
      <w:pPr>
        <w:pStyle w:val="style0"/>
      </w:pPr>
      <w:r>
        <w:rPr/>
      </w:r>
    </w:p>
    <w:p>
      <w:pPr>
        <w:pStyle w:val="style58"/>
        <w:ind w:firstLine="708" w:left="0" w:right="0"/>
      </w:pPr>
      <w:r>
        <w:rPr>
          <w:rFonts w:ascii="Times New Roman" w:hAnsi="Times New Roman"/>
        </w:rPr>
        <w:t xml:space="preserve">Los análisis desarrollados en el presente capítulo representan la concepción teórica y la fundamentación bibliográfica que sustenta el desarrollo de </w:t>
      </w:r>
      <w:r>
        <w:rPr>
          <w:rFonts w:ascii="Times New Roman" w:hAnsi="Times New Roman"/>
          <w:lang w:val="es-VE"/>
        </w:rPr>
        <w:t>esta</w:t>
      </w:r>
      <w:r>
        <w:rPr>
          <w:rFonts w:ascii="Times New Roman" w:hAnsi="Times New Roman"/>
        </w:rPr>
        <w:t xml:space="preserve"> investigación. </w:t>
      </w:r>
    </w:p>
    <w:p>
      <w:pPr>
        <w:pStyle w:val="style0"/>
      </w:pPr>
      <w:r>
        <w:rPr/>
      </w:r>
    </w:p>
    <w:p>
      <w:pPr>
        <w:pStyle w:val="style1"/>
        <w:pageBreakBefore/>
      </w:pPr>
      <w:bookmarkStart w:id="47" w:name="__RefHeading__4966_1544206207"/>
      <w:bookmarkStart w:id="48" w:name="_Toc432059692"/>
      <w:bookmarkEnd w:id="47"/>
      <w:bookmarkEnd w:id="48"/>
      <w:r>
        <w:rPr>
          <w:lang w:val="es-VE"/>
        </w:rPr>
        <w:t>CAPÍTULO III</w:t>
      </w:r>
    </w:p>
    <w:p>
      <w:pPr>
        <w:pStyle w:val="style58"/>
        <w:ind w:hanging="0" w:left="0" w:right="0"/>
        <w:jc w:val="center"/>
      </w:pPr>
      <w:r>
        <w:rPr>
          <w:rFonts w:ascii="Times New Roman" w:hAnsi="Times New Roman"/>
          <w:b/>
          <w:bCs/>
          <w:lang w:val="es-VE"/>
        </w:rPr>
      </w:r>
    </w:p>
    <w:p>
      <w:pPr>
        <w:pStyle w:val="style2"/>
        <w:numPr>
          <w:ilvl w:val="1"/>
          <w:numId w:val="1"/>
        </w:numPr>
      </w:pPr>
      <w:bookmarkStart w:id="49" w:name="__RefHeading__4968_1544206207"/>
      <w:bookmarkStart w:id="50" w:name="_Toc432059693"/>
      <w:bookmarkEnd w:id="49"/>
      <w:bookmarkEnd w:id="50"/>
      <w:r>
        <w:rPr>
          <w:lang w:val="es-VE"/>
        </w:rPr>
        <w:t>MARCO METODOLÓGICO</w:t>
      </w:r>
    </w:p>
    <w:p>
      <w:pPr>
        <w:pStyle w:val="style58"/>
        <w:ind w:hanging="0" w:left="0" w:right="0"/>
        <w:jc w:val="center"/>
      </w:pPr>
      <w:r>
        <w:rPr>
          <w:rFonts w:ascii="Times New Roman" w:hAnsi="Times New Roman"/>
          <w:b/>
          <w:bCs/>
          <w:lang w:val="es-VE"/>
        </w:rPr>
      </w:r>
    </w:p>
    <w:p>
      <w:pPr>
        <w:pStyle w:val="style0"/>
      </w:pPr>
      <w:r>
        <w:rPr/>
        <w:t xml:space="preserve">La metodología constituye la médula del plan y se refiere a la descripción de las unidades de análisis o de investigación, las técnicas de observación y recolección de datos, los instrumentos, los procedimientos y las técnicas de análisis. En tal sentido en este capítulo se especifican los siguientes aspectos que contienen la metodología que se empleará para la realización del estudio. </w:t>
      </w:r>
    </w:p>
    <w:p>
      <w:pPr>
        <w:pStyle w:val="style0"/>
        <w:ind w:firstLine="708" w:left="0" w:right="-9"/>
      </w:pPr>
      <w:r>
        <w:rPr/>
      </w:r>
    </w:p>
    <w:p>
      <w:pPr>
        <w:pStyle w:val="style0"/>
        <w:tabs>
          <w:tab w:leader="none" w:pos="540" w:val="left"/>
        </w:tabs>
        <w:ind w:firstLine="709" w:left="0" w:right="0"/>
      </w:pPr>
      <w:r>
        <w:rPr/>
        <w:t>En este sentido, el contexto metodológico se refiere al conjunto de procedimientos, técnicas y métodos que se siguen y utilizan para realizar una investigación. Al respecto, Palella y Martins (2003) señalan que la metodología es “…una guía procedimental, producto de la reflexión para desarrollar y coordinar operaciones destinadas a la consecución de objetivos intelectuales o materiales del modo más eficaz posible” (p.73).</w:t>
      </w:r>
    </w:p>
    <w:p>
      <w:pPr>
        <w:pStyle w:val="style51"/>
        <w:ind w:firstLine="709" w:left="0" w:right="0"/>
      </w:pPr>
      <w:r>
        <w:rPr/>
      </w:r>
    </w:p>
    <w:p>
      <w:pPr>
        <w:pStyle w:val="style3"/>
        <w:numPr>
          <w:ilvl w:val="2"/>
          <w:numId w:val="1"/>
        </w:numPr>
      </w:pPr>
      <w:bookmarkStart w:id="51" w:name="__RefHeading__4970_1544206207"/>
      <w:bookmarkStart w:id="52" w:name="_Toc432059694"/>
      <w:bookmarkEnd w:id="51"/>
      <w:bookmarkEnd w:id="52"/>
      <w:r>
        <w:rPr/>
        <w:t>Tipo de Investigación</w:t>
      </w:r>
    </w:p>
    <w:p>
      <w:pPr>
        <w:pStyle w:val="style0"/>
        <w:tabs>
          <w:tab w:leader="none" w:pos="8028" w:val="left"/>
        </w:tabs>
      </w:pPr>
      <w:r>
        <w:rPr>
          <w:b/>
          <w:bCs/>
        </w:rPr>
        <w:tab/>
      </w:r>
    </w:p>
    <w:p>
      <w:pPr>
        <w:pStyle w:val="style0"/>
      </w:pPr>
      <w:r>
        <w:rPr>
          <w:bCs/>
        </w:rPr>
        <w:tab/>
        <w:t>Siguiendo los lineamientos de la investigación cuantitativa, este trabajo se realizó bajo la figura de la investigación de campo con el fin primordial de analizar el tema del análisis de riesgos</w:t>
      </w:r>
      <w:r>
        <w:rPr/>
        <w:t xml:space="preserve">, </w:t>
      </w:r>
      <w:r>
        <w:rPr>
          <w:bCs/>
        </w:rPr>
        <w:t>con apoyo de la investigación de campo que permitió recabar la información que sustenta la investigación y de nivel descriptivo ya que se detallarán los diferentes hallazgos alcanzados y de la innovación administrativa con el fin de indagar sobre la naturaleza de los mecanismos para a</w:t>
      </w:r>
      <w:r>
        <w:rPr/>
        <w:t>nalizar los riesgos de los créditos al consumo en base a indicadores de gestión como herramienta de control en la banca privada</w:t>
      </w:r>
    </w:p>
    <w:p>
      <w:pPr>
        <w:pStyle w:val="style0"/>
        <w:widowControl w:val="false"/>
      </w:pPr>
      <w:r>
        <w:rPr>
          <w:bCs/>
        </w:rPr>
      </w:r>
    </w:p>
    <w:p>
      <w:pPr>
        <w:pStyle w:val="style0"/>
        <w:widowControl w:val="false"/>
      </w:pPr>
      <w:r>
        <w:rPr>
          <w:bCs/>
        </w:rPr>
        <w:t xml:space="preserve"> </w:t>
      </w:r>
      <w:r>
        <w:rPr>
          <w:bCs/>
        </w:rPr>
        <w:t>En tal sentido se tiene que de</w:t>
      </w:r>
      <w:r>
        <w:rPr/>
        <w:t xml:space="preserve"> acuerdo a la forma en que se recolectó la información, se utilizó la investigación de campo lo cual permitió interactuar con la realidad estudiada. En tal sentido la Universidad Bicentenaria de Aragua (2010) establece que “los estudios de campo se caracterizan porque los problemas que estudian surgen de la realidad, y la información requerida debe obtenerse directamente de ella” (p.41). De tal forma que la recolección de datos se realizó directamente de la realidad donde ocurren los hechos, sin manipular o controlar las variables, estudiando los fenómenos sociales en su ambiente natural, tal como afirma Arias (1997). </w:t>
      </w:r>
    </w:p>
    <w:p>
      <w:pPr>
        <w:pStyle w:val="style0"/>
        <w:tabs>
          <w:tab w:leader="none" w:pos="720" w:val="left"/>
        </w:tabs>
      </w:pPr>
      <w:r>
        <w:rPr/>
      </w:r>
    </w:p>
    <w:p>
      <w:pPr>
        <w:pStyle w:val="style0"/>
        <w:tabs>
          <w:tab w:leader="none" w:pos="720" w:val="left"/>
        </w:tabs>
      </w:pPr>
      <w:r>
        <w:rPr/>
        <w:t xml:space="preserve">Así como la presente investigación incorpora los tipos de investigación descritos con anterioridad, es de hacer notar que se recurrió al contexto bibliográfico que servirá de apoyo a los diferentes conceptos manejados y que son de gran significado para el transcurso de las etapas de la investigación. La investigación bibliográfica se define de acuerdo a Sabino (2000), “posibilita al investigador una amplia gama de fenómenos ya que no solo debe basarse en los hechos a los cuales el mismo tiene acceso sino que puede extenderse para abarcar una experiencia inmensamente mayor” (p.99). </w:t>
      </w:r>
    </w:p>
    <w:p>
      <w:pPr>
        <w:pStyle w:val="style0"/>
        <w:tabs>
          <w:tab w:leader="none" w:pos="720" w:val="left"/>
        </w:tabs>
      </w:pPr>
      <w:r>
        <w:rPr/>
      </w:r>
    </w:p>
    <w:p>
      <w:pPr>
        <w:pStyle w:val="style0"/>
        <w:tabs>
          <w:tab w:leader="none" w:pos="720" w:val="left"/>
        </w:tabs>
      </w:pPr>
      <w:r>
        <w:rPr/>
        <w:t xml:space="preserve">Al respecto, Morles (1998), menciona que la investigación bibliográfica “es el estudio del problema con el propósito de ampliar y profundizar el conocimiento de su naturaleza con el apoyo principal de fuentes bibliográficas y documentales” (p.76). Para Hernández (2001), se está en presencia de una investigación documental cuando se utiliza como fuente de información documentos que representan la población y cuando el interés del investigador es analizarlos como hechos en sí mismos o como documentos que brindan información sobre otros hechos.  </w:t>
      </w:r>
    </w:p>
    <w:p>
      <w:pPr>
        <w:pStyle w:val="style76"/>
        <w:widowControl w:val="false"/>
        <w:tabs>
          <w:tab w:leader="none" w:pos="567" w:val="left"/>
        </w:tabs>
        <w:jc w:val="center"/>
      </w:pPr>
      <w:r>
        <w:rPr>
          <w:rFonts w:ascii="Times New Roman" w:cs="Times New Roman" w:hAnsi="Times New Roman"/>
          <w:b/>
          <w:iCs/>
        </w:rPr>
      </w:r>
    </w:p>
    <w:p>
      <w:pPr>
        <w:pStyle w:val="style3"/>
        <w:pageBreakBefore/>
        <w:numPr>
          <w:ilvl w:val="2"/>
          <w:numId w:val="1"/>
        </w:numPr>
      </w:pPr>
      <w:bookmarkStart w:id="53" w:name="__RefHeading__4972_1544206207"/>
      <w:bookmarkStart w:id="54" w:name="_Toc432059695"/>
      <w:bookmarkEnd w:id="53"/>
      <w:bookmarkEnd w:id="54"/>
      <w:r>
        <w:rPr/>
        <w:t>Población y Muestra</w:t>
      </w:r>
    </w:p>
    <w:p>
      <w:pPr>
        <w:pStyle w:val="style76"/>
        <w:widowControl w:val="false"/>
        <w:tabs>
          <w:tab w:leader="none" w:pos="567" w:val="left"/>
        </w:tabs>
      </w:pPr>
      <w:r>
        <w:rPr>
          <w:rFonts w:ascii="Times New Roman" w:cs="Times New Roman" w:hAnsi="Times New Roman"/>
          <w:b/>
          <w:iCs/>
          <w:color w:val="00000A"/>
        </w:rPr>
      </w:r>
    </w:p>
    <w:p>
      <w:pPr>
        <w:pStyle w:val="style76"/>
        <w:widowControl w:val="false"/>
        <w:tabs>
          <w:tab w:leader="none" w:pos="567" w:val="left"/>
        </w:tabs>
      </w:pPr>
      <w:r>
        <w:rPr>
          <w:rFonts w:ascii="Times New Roman" w:cs="Times New Roman" w:hAnsi="Times New Roman"/>
          <w:b/>
          <w:iCs/>
          <w:color w:val="00000A"/>
        </w:rPr>
        <w:t>Población</w:t>
      </w:r>
    </w:p>
    <w:p>
      <w:pPr>
        <w:pStyle w:val="style0"/>
      </w:pPr>
      <w:r>
        <w:rPr/>
      </w:r>
    </w:p>
    <w:p>
      <w:pPr>
        <w:pStyle w:val="style0"/>
      </w:pPr>
      <w:r>
        <w:rPr/>
        <w:t xml:space="preserve">A criterio de Valera (1996), citado por Hernández, Fernández y Baptista (2005): “Es un conjunto completo de individuos, objetos o medidas que poseen alguna característica común observable” (p.59). De allí pues, la población no es más que el grupo al cual el investigador trata de aplicar las generalizaciones obtenidas, formulando así afirmaciones que sean valederas para este grupo total. </w:t>
      </w:r>
    </w:p>
    <w:p>
      <w:pPr>
        <w:pStyle w:val="style76"/>
        <w:widowControl w:val="false"/>
        <w:tabs>
          <w:tab w:leader="none" w:pos="567" w:val="left"/>
        </w:tabs>
        <w:spacing w:line="360" w:lineRule="auto"/>
        <w:ind w:firstLine="567" w:left="0" w:right="0"/>
        <w:jc w:val="both"/>
      </w:pPr>
      <w:r>
        <w:rPr>
          <w:rFonts w:ascii="Times New Roman" w:cs="Times New Roman" w:hAnsi="Times New Roman"/>
          <w:color w:val="00000A"/>
        </w:rPr>
      </w:r>
    </w:p>
    <w:p>
      <w:pPr>
        <w:pStyle w:val="style0"/>
      </w:pPr>
      <w:r>
        <w:rPr/>
        <w:t xml:space="preserve">Según, Hernández, Fernández y Baptista (2005): la población; “es el conjunto de todas las cosas que concuerdan con una serie de especificaciones” (p.210. Por tal razón, la población no es más que el conjunto total del fenómeno a estudiar. </w:t>
      </w:r>
      <w:r>
        <w:rPr>
          <w:bCs/>
        </w:rPr>
        <w:t xml:space="preserve">Este puede ser completamente típico en cualquier número de aspectos. Por consiguiente, la población es el universo de estudio, es decir, el grupo de personas, cosas u objetivos a los cuales se les aplicaron las técnicas e instrumentos de recolección de datos, en este caso integrado por quince (15) personas relacionadas con el análisis de </w:t>
      </w:r>
      <w:r>
        <w:rPr/>
        <w:t>los riesgos de los créditos al consumo en base a indicadores de gestión como herramienta de control en la banca privada, de una institución u</w:t>
      </w:r>
      <w:r>
        <w:rPr>
          <w:bCs/>
        </w:rPr>
        <w:t xml:space="preserve">bicada en Maracay, Estado Aragua. </w:t>
      </w:r>
      <w:r>
        <w:rPr>
          <w:iCs/>
        </w:rPr>
        <w:t>A continuación se presenta el cuadro 1, contentivo de la población objeto de estudio.</w:t>
      </w:r>
    </w:p>
    <w:p>
      <w:pPr>
        <w:pStyle w:val="style0"/>
      </w:pPr>
      <w:r>
        <w:rPr/>
      </w:r>
    </w:p>
    <w:p>
      <w:pPr>
        <w:pStyle w:val="style95"/>
        <w:keepNext/>
      </w:pPr>
      <w:bookmarkStart w:id="55" w:name="_Toc431897106"/>
      <w:bookmarkEnd w:id="55"/>
      <w:r>
        <w:rPr/>
        <w:t>Tabla : Población de la investigación.</w:t>
      </w:r>
    </w:p>
    <w:tbl>
      <w:tblPr>
        <w:jc w:val="left"/>
        <w:tblInd w:type="dxa" w:w="-108"/>
        <w:tblBorders>
          <w:top w:color="000001" w:space="0" w:sz="4" w:val="single"/>
          <w:left w:color="000001" w:space="0" w:sz="4" w:val="single"/>
          <w:bottom w:color="000001" w:space="0" w:sz="4" w:val="single"/>
          <w:right w:color="000001" w:space="0" w:sz="4" w:val="single"/>
        </w:tblBorders>
      </w:tblPr>
      <w:tblGrid>
        <w:gridCol w:w="4218"/>
        <w:gridCol w:w="2410"/>
        <w:gridCol w:w="1702"/>
      </w:tblGrid>
      <w:tr>
        <w:trPr>
          <w:cantSplit w:val="false"/>
        </w:trPr>
        <w:tc>
          <w:tcPr>
            <w:tcW w:type="dxa" w:w="4218"/>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b/>
                <w:sz w:val="20"/>
                <w:szCs w:val="20"/>
              </w:rPr>
              <w:t>CARGO</w:t>
            </w:r>
          </w:p>
        </w:tc>
        <w:tc>
          <w:tcPr>
            <w:tcW w:type="dxa" w:w="2410"/>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b/>
                <w:sz w:val="20"/>
                <w:szCs w:val="20"/>
              </w:rPr>
              <w:t>DEPARTAMENTO</w:t>
            </w:r>
          </w:p>
        </w:tc>
        <w:tc>
          <w:tcPr>
            <w:tcW w:type="dxa" w:w="1702"/>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b/>
                <w:sz w:val="20"/>
                <w:szCs w:val="20"/>
              </w:rPr>
              <w:t>CANTIDAD</w:t>
            </w:r>
          </w:p>
        </w:tc>
      </w:tr>
      <w:tr>
        <w:trPr>
          <w:cantSplit w:val="false"/>
        </w:trPr>
        <w:tc>
          <w:tcPr>
            <w:tcW w:type="dxa" w:w="4218"/>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Gerente de Agencia</w:t>
            </w:r>
          </w:p>
        </w:tc>
        <w:tc>
          <w:tcPr>
            <w:tcW w:type="dxa" w:w="2410"/>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 xml:space="preserve">Finanzas </w:t>
            </w:r>
          </w:p>
        </w:tc>
        <w:tc>
          <w:tcPr>
            <w:tcW w:type="dxa" w:w="1702"/>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01</w:t>
            </w:r>
          </w:p>
        </w:tc>
      </w:tr>
      <w:tr>
        <w:trPr>
          <w:cantSplit w:val="false"/>
        </w:trPr>
        <w:tc>
          <w:tcPr>
            <w:tcW w:type="dxa" w:w="4218"/>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Gerente de Riesgos</w:t>
            </w:r>
          </w:p>
        </w:tc>
        <w:tc>
          <w:tcPr>
            <w:tcW w:type="dxa" w:w="2410"/>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Finanzas</w:t>
            </w:r>
          </w:p>
        </w:tc>
        <w:tc>
          <w:tcPr>
            <w:tcW w:type="dxa" w:w="1702"/>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01</w:t>
            </w:r>
          </w:p>
        </w:tc>
      </w:tr>
      <w:tr>
        <w:trPr>
          <w:cantSplit w:val="false"/>
        </w:trPr>
        <w:tc>
          <w:tcPr>
            <w:tcW w:type="dxa" w:w="4218"/>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Gerentes de Servicios</w:t>
            </w:r>
          </w:p>
        </w:tc>
        <w:tc>
          <w:tcPr>
            <w:tcW w:type="dxa" w:w="2410"/>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Servicios compartidos</w:t>
            </w:r>
          </w:p>
        </w:tc>
        <w:tc>
          <w:tcPr>
            <w:tcW w:type="dxa" w:w="1702"/>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04</w:t>
            </w:r>
          </w:p>
        </w:tc>
      </w:tr>
      <w:tr>
        <w:trPr>
          <w:cantSplit w:val="false"/>
        </w:trPr>
        <w:tc>
          <w:tcPr>
            <w:tcW w:type="dxa" w:w="4218"/>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Coordinadores de Servicios</w:t>
            </w:r>
          </w:p>
        </w:tc>
        <w:tc>
          <w:tcPr>
            <w:tcW w:type="dxa" w:w="2410"/>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Servicios compartidos</w:t>
            </w:r>
          </w:p>
        </w:tc>
        <w:tc>
          <w:tcPr>
            <w:tcW w:type="dxa" w:w="1702"/>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03</w:t>
            </w:r>
          </w:p>
        </w:tc>
      </w:tr>
      <w:tr>
        <w:trPr>
          <w:cantSplit w:val="false"/>
        </w:trPr>
        <w:tc>
          <w:tcPr>
            <w:tcW w:type="dxa" w:w="4218"/>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Analistas de Control Administrativo y Financiero</w:t>
            </w:r>
          </w:p>
        </w:tc>
        <w:tc>
          <w:tcPr>
            <w:tcW w:type="dxa" w:w="2410"/>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Administración y Finanzas</w:t>
            </w:r>
          </w:p>
        </w:tc>
        <w:tc>
          <w:tcPr>
            <w:tcW w:type="dxa" w:w="1702"/>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sz w:val="20"/>
                <w:szCs w:val="20"/>
              </w:rPr>
              <w:t>06</w:t>
            </w:r>
          </w:p>
        </w:tc>
      </w:tr>
      <w:tr>
        <w:trPr>
          <w:cantSplit w:val="false"/>
        </w:trPr>
        <w:tc>
          <w:tcPr>
            <w:tcW w:type="dxa" w:w="4218"/>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pPr>
            <w:r>
              <w:rPr>
                <w:sz w:val="20"/>
                <w:szCs w:val="20"/>
              </w:rPr>
            </w:r>
          </w:p>
        </w:tc>
        <w:tc>
          <w:tcPr>
            <w:tcW w:type="dxa" w:w="2410"/>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pPr>
            <w:r>
              <w:rPr>
                <w:sz w:val="20"/>
                <w:szCs w:val="20"/>
              </w:rPr>
            </w:r>
          </w:p>
        </w:tc>
        <w:tc>
          <w:tcPr>
            <w:tcW w:type="dxa" w:w="1702"/>
            <w:tcBorders>
              <w:top w:color="000001" w:space="0" w:sz="4" w:val="single"/>
              <w:left w:color="000001" w:space="0" w:sz="4" w:val="single"/>
              <w:bottom w:color="000001" w:space="0" w:sz="4" w:val="single"/>
              <w:right w:color="000001" w:space="0" w:sz="4" w:val="single"/>
            </w:tcBorders>
            <w:shd w:fill="auto" w:val="clear"/>
            <w:tcMar>
              <w:top w:type="dxa" w:w="0"/>
              <w:left w:type="dxa" w:w="108"/>
              <w:bottom w:type="dxa" w:w="0"/>
              <w:right w:type="dxa" w:w="108"/>
            </w:tcMar>
          </w:tcPr>
          <w:p>
            <w:pPr>
              <w:pStyle w:val="style0"/>
              <w:ind w:hanging="0" w:left="0" w:right="0"/>
              <w:jc w:val="center"/>
            </w:pPr>
            <w:r>
              <w:rPr>
                <w:b/>
                <w:sz w:val="20"/>
                <w:szCs w:val="20"/>
              </w:rPr>
              <w:t>15</w:t>
            </w:r>
          </w:p>
        </w:tc>
      </w:tr>
    </w:tbl>
    <w:p>
      <w:pPr>
        <w:pStyle w:val="style0"/>
      </w:pPr>
      <w:r>
        <w:rPr/>
        <w:t>Fuente: Información suministrada por la Gerencia de la Agencia (2015).</w:t>
      </w:r>
    </w:p>
    <w:p>
      <w:pPr>
        <w:pStyle w:val="style76"/>
        <w:widowControl w:val="false"/>
        <w:tabs>
          <w:tab w:leader="none" w:pos="567" w:val="left"/>
        </w:tabs>
        <w:spacing w:line="360" w:lineRule="auto"/>
        <w:ind w:firstLine="567" w:left="0" w:right="0"/>
        <w:jc w:val="both"/>
      </w:pPr>
      <w:r>
        <w:rPr>
          <w:rFonts w:ascii="Times New Roman" w:cs="Times New Roman" w:hAnsi="Times New Roman"/>
          <w:b/>
          <w:iCs/>
          <w:color w:val="00000A"/>
        </w:rPr>
        <w:t>Muestra</w:t>
      </w:r>
    </w:p>
    <w:p>
      <w:pPr>
        <w:pStyle w:val="style76"/>
        <w:widowControl w:val="false"/>
        <w:tabs>
          <w:tab w:leader="none" w:pos="567" w:val="left"/>
        </w:tabs>
        <w:spacing w:line="360" w:lineRule="auto"/>
        <w:ind w:firstLine="567" w:left="0" w:right="0"/>
        <w:jc w:val="both"/>
      </w:pPr>
      <w:r>
        <w:rPr>
          <w:rFonts w:ascii="Times New Roman" w:cs="Times New Roman" w:hAnsi="Times New Roman"/>
          <w:bCs/>
          <w:color w:val="00000A"/>
        </w:rPr>
      </w:r>
    </w:p>
    <w:p>
      <w:pPr>
        <w:pStyle w:val="style76"/>
        <w:widowControl w:val="false"/>
        <w:tabs>
          <w:tab w:leader="none" w:pos="567" w:val="left"/>
        </w:tabs>
        <w:spacing w:line="360" w:lineRule="auto"/>
        <w:ind w:firstLine="567" w:left="0" w:right="0"/>
        <w:jc w:val="both"/>
      </w:pPr>
      <w:r>
        <w:rPr>
          <w:rFonts w:ascii="Times New Roman" w:cs="Times New Roman" w:hAnsi="Times New Roman"/>
          <w:bCs/>
          <w:color w:val="00000A"/>
        </w:rPr>
        <w:t>Para el autor Tamayo y Tamayo (2003), una muestra “es el grupo de individuos que se toman de una población para estudiar un fenómeno estadístico” (p.66)</w:t>
      </w:r>
      <w:r>
        <w:rPr>
          <w:rFonts w:ascii="Times New Roman" w:cs="Times New Roman" w:hAnsi="Times New Roman"/>
          <w:iCs/>
          <w:color w:val="00000A"/>
        </w:rPr>
        <w:t>. Por su parte</w:t>
      </w:r>
      <w:r>
        <w:rPr>
          <w:rFonts w:ascii="Times New Roman" w:cs="Times New Roman" w:hAnsi="Times New Roman"/>
          <w:bCs/>
          <w:color w:val="00000A"/>
        </w:rPr>
        <w:t xml:space="preserve">, Sabino (2000), comenta que una muestra “es un grupo incluido en forma activa en el estudio, es siempre una parte del conjunto de la población que integra la investigación”(p.90). </w:t>
      </w:r>
    </w:p>
    <w:p>
      <w:pPr>
        <w:pStyle w:val="style76"/>
        <w:widowControl w:val="false"/>
        <w:tabs>
          <w:tab w:leader="none" w:pos="567" w:val="left"/>
        </w:tabs>
        <w:spacing w:line="360" w:lineRule="auto"/>
        <w:ind w:firstLine="567" w:left="0" w:right="0"/>
        <w:jc w:val="both"/>
      </w:pPr>
      <w:r>
        <w:rPr>
          <w:rFonts w:ascii="Times New Roman" w:cs="Times New Roman" w:hAnsi="Times New Roman"/>
          <w:bCs/>
          <w:color w:val="00000A"/>
        </w:rPr>
      </w:r>
    </w:p>
    <w:p>
      <w:pPr>
        <w:pStyle w:val="style76"/>
        <w:widowControl w:val="false"/>
        <w:tabs>
          <w:tab w:leader="none" w:pos="567" w:val="left"/>
        </w:tabs>
        <w:spacing w:line="360" w:lineRule="auto"/>
        <w:ind w:firstLine="567" w:left="0" w:right="0"/>
        <w:jc w:val="both"/>
      </w:pPr>
      <w:r>
        <w:rPr>
          <w:rFonts w:ascii="Times New Roman" w:cs="Times New Roman" w:hAnsi="Times New Roman"/>
          <w:bCs/>
          <w:color w:val="00000A"/>
        </w:rPr>
        <w:t>Lo que se quiere significar es que la muestra es un subconjunto de elementos con características comunes que se realizan para estudiar una fracción de la población considerada.</w:t>
      </w:r>
      <w:r>
        <w:rPr>
          <w:rFonts w:ascii="Times New Roman" w:cs="Times New Roman" w:hAnsi="Times New Roman"/>
          <w:iCs/>
          <w:color w:val="00000A"/>
        </w:rPr>
        <w:t xml:space="preserve"> </w:t>
      </w:r>
      <w:r>
        <w:rPr>
          <w:rFonts w:ascii="Times New Roman" w:cs="Times New Roman" w:hAnsi="Times New Roman"/>
          <w:color w:val="00000A"/>
        </w:rPr>
        <w:t xml:space="preserve">Asimismo, Balestrini (2002), expresa que la muestra: </w:t>
      </w:r>
    </w:p>
    <w:p>
      <w:pPr>
        <w:pStyle w:val="style76"/>
        <w:widowControl w:val="false"/>
        <w:tabs>
          <w:tab w:leader="none" w:pos="567" w:val="left"/>
        </w:tabs>
        <w:spacing w:line="360" w:lineRule="auto"/>
        <w:ind w:firstLine="567" w:left="0" w:right="0"/>
        <w:jc w:val="both"/>
      </w:pPr>
      <w:r>
        <w:rPr>
          <w:rFonts w:ascii="Times New Roman" w:cs="Times New Roman" w:hAnsi="Times New Roman"/>
          <w:color w:val="00000A"/>
        </w:rPr>
      </w:r>
    </w:p>
    <w:p>
      <w:pPr>
        <w:pStyle w:val="style87"/>
        <w:ind w:hanging="0" w:left="567" w:right="567"/>
      </w:pPr>
      <w:r>
        <w:rPr>
          <w:rFonts w:ascii="Times New Roman" w:hAnsi="Times New Roman"/>
          <w:sz w:val="24"/>
          <w:szCs w:val="24"/>
        </w:rPr>
        <w:t>Consiste en garantizar que ésta sea representativa de todo el universo donde se obtuvo, sujeto a estudio; que sea lo más precisa y al mismo tiempo contenga el mínimo de sesgos posibles. Lo cual implica, que contenga todos los elementos en la misma proporción que existen en éste; de tal manera, que sea posible generalizar los resultados obtenidos a partir de la muestra, a todo el universo (p.59).</w:t>
      </w:r>
    </w:p>
    <w:p>
      <w:pPr>
        <w:pStyle w:val="style76"/>
        <w:widowControl w:val="false"/>
        <w:tabs>
          <w:tab w:leader="none" w:pos="567" w:val="left"/>
        </w:tabs>
        <w:spacing w:line="480" w:lineRule="auto"/>
        <w:ind w:firstLine="567" w:left="0" w:right="0"/>
        <w:jc w:val="both"/>
      </w:pPr>
      <w:r>
        <w:rPr>
          <w:rFonts w:ascii="Times New Roman" w:cs="Times New Roman" w:hAnsi="Times New Roman"/>
          <w:bCs/>
          <w:color w:val="00000A"/>
        </w:rPr>
      </w:r>
    </w:p>
    <w:p>
      <w:pPr>
        <w:pStyle w:val="style76"/>
        <w:widowControl w:val="false"/>
        <w:tabs>
          <w:tab w:leader="none" w:pos="567" w:val="left"/>
        </w:tabs>
        <w:spacing w:line="360" w:lineRule="auto"/>
        <w:ind w:firstLine="567" w:left="0" w:right="0"/>
        <w:jc w:val="both"/>
      </w:pPr>
      <w:r>
        <w:rPr>
          <w:rFonts w:ascii="Times New Roman" w:cs="Times New Roman" w:hAnsi="Times New Roman"/>
          <w:bCs/>
          <w:color w:val="00000A"/>
        </w:rPr>
        <w:t xml:space="preserve">La selección de la muestra se realizó mediante el muestreo censal, </w:t>
      </w:r>
      <w:r>
        <w:rPr>
          <w:rFonts w:ascii="Times New Roman" w:cs="Times New Roman" w:hAnsi="Times New Roman"/>
          <w:color w:val="00000A"/>
        </w:rPr>
        <w:t xml:space="preserve">la cual según López (1994), citado por Tamayo y Tamayo (2003), señala que “una muestra Censal, es aquella porción que representa a toda la población, es decir, la muestra es toda la población a investigar” (p.231); por lo que la misma comprende en su totalidad la población antes descrita. </w:t>
      </w:r>
    </w:p>
    <w:p>
      <w:pPr>
        <w:pStyle w:val="style76"/>
        <w:widowControl w:val="false"/>
        <w:tabs>
          <w:tab w:leader="none" w:pos="567" w:val="left"/>
        </w:tabs>
        <w:spacing w:line="360" w:lineRule="auto"/>
        <w:ind w:firstLine="567" w:left="0" w:right="0"/>
        <w:jc w:val="both"/>
      </w:pPr>
      <w:r>
        <w:rPr>
          <w:rFonts w:ascii="Times New Roman" w:cs="Times New Roman" w:hAnsi="Times New Roman"/>
          <w:color w:val="00000A"/>
        </w:rPr>
      </w:r>
    </w:p>
    <w:p>
      <w:pPr>
        <w:pStyle w:val="style76"/>
        <w:widowControl w:val="false"/>
        <w:tabs>
          <w:tab w:leader="none" w:pos="567" w:val="left"/>
        </w:tabs>
        <w:spacing w:line="360" w:lineRule="auto"/>
        <w:ind w:firstLine="567" w:left="0" w:right="0"/>
        <w:jc w:val="both"/>
      </w:pPr>
      <w:r>
        <w:rPr>
          <w:rFonts w:ascii="Times New Roman" w:cs="Times New Roman" w:hAnsi="Times New Roman"/>
          <w:color w:val="00000A"/>
        </w:rPr>
        <w:t>De acuerdo a la cita anterior se puede deducir, que la muestra censal garantiza de manera óptima que todas las unidades pertenecientes a la población, proporcionen los mismos resultados, de allí que se tomó como muestra a toda la población, es decir, quince</w:t>
      </w:r>
      <w:r>
        <w:rPr>
          <w:rFonts w:ascii="Times New Roman" w:cs="Times New Roman" w:hAnsi="Times New Roman"/>
          <w:bCs/>
          <w:color w:val="00000A"/>
        </w:rPr>
        <w:t xml:space="preserve"> (15) personas relacionadas con </w:t>
      </w:r>
      <w:r>
        <w:rPr>
          <w:rFonts w:ascii="Times New Roman" w:cs="Times New Roman" w:hAnsi="Times New Roman"/>
          <w:color w:val="00000A"/>
        </w:rPr>
        <w:t>el análisis de los riesgos de los créditos al consumo en la banca privada, de una institución ubicada en Maracay, Estado Aragua.</w:t>
      </w:r>
    </w:p>
    <w:p>
      <w:pPr>
        <w:pStyle w:val="style3"/>
        <w:numPr>
          <w:ilvl w:val="2"/>
          <w:numId w:val="1"/>
        </w:numPr>
        <w:jc w:val="left"/>
      </w:pPr>
      <w:bookmarkStart w:id="56" w:name="__RefHeading__4974_1544206207"/>
      <w:bookmarkStart w:id="57" w:name="_Toc432059696"/>
      <w:bookmarkEnd w:id="56"/>
      <w:bookmarkEnd w:id="57"/>
      <w:r>
        <w:rPr/>
        <w:t>Técnicas e instrumentos de recolección de información</w:t>
      </w:r>
    </w:p>
    <w:p>
      <w:pPr>
        <w:pStyle w:val="style0"/>
        <w:tabs>
          <w:tab w:leader="none" w:pos="8028" w:val="left"/>
        </w:tabs>
      </w:pPr>
      <w:r>
        <w:rPr>
          <w:b/>
          <w:bCs/>
        </w:rPr>
        <w:tab/>
      </w:r>
    </w:p>
    <w:p>
      <w:pPr>
        <w:pStyle w:val="style0"/>
      </w:pPr>
      <w:r>
        <w:rPr/>
        <w:t xml:space="preserve">Una vez seleccionado el diseño de investigación y la muestra de acuerdo a la problemática planteada, la etapa subsiguiente consiste en recabar los datos pertinentes sobre las variables estudiadas, para de esta manera, codificar las mediciones obtenidas a fin de que fueran analizadas bajo ciertos criterios de fiabilidad. </w:t>
      </w:r>
    </w:p>
    <w:p>
      <w:pPr>
        <w:pStyle w:val="style0"/>
      </w:pPr>
      <w:r>
        <w:rPr/>
      </w:r>
    </w:p>
    <w:p>
      <w:pPr>
        <w:pStyle w:val="style0"/>
      </w:pPr>
      <w:r>
        <w:rPr/>
        <w:t>Según Hurtado (2000) las técnicas de recolección de datos son: “el con</w:t>
      </w:r>
      <w:r>
        <w:rPr>
          <w:rFonts w:eastAsia="Arial Unicode MS"/>
        </w:rPr>
        <w:t xml:space="preserve">junto de procedimientos y recursos de que se sirve </w:t>
      </w:r>
      <w:r>
        <w:rPr/>
        <w:t xml:space="preserve">el investigador para la ejecución del trabajo indagatorio"(p.90). Razón por la cual, cuando la investigadora requiera de recolectar los datos </w:t>
      </w:r>
      <w:r>
        <w:rPr>
          <w:bCs/>
        </w:rPr>
        <w:t xml:space="preserve">utilizó como técnica la encuesta, definida por </w:t>
      </w:r>
      <w:r>
        <w:rPr/>
        <w:t>Bisquerra (1999), como “la captación de la opinión más repetida en referencia a una determinada materia y para lo cual se requiere de un grupo de preguntas realizadas a un conjunto de personas que fueron consideradas como muestra y representan a una población” (p.145).</w:t>
      </w:r>
    </w:p>
    <w:p>
      <w:pPr>
        <w:pStyle w:val="style0"/>
      </w:pPr>
      <w:r>
        <w:rPr/>
      </w:r>
    </w:p>
    <w:p>
      <w:pPr>
        <w:pStyle w:val="style0"/>
      </w:pPr>
      <w:r>
        <w:rPr/>
        <w:t xml:space="preserve">Por ello, la investigadora utilizó la técnica de la encuesta para recolectar la información y de esta manera, diagnosticar la situación actual </w:t>
      </w:r>
      <w:r>
        <w:rPr>
          <w:bCs/>
        </w:rPr>
        <w:t xml:space="preserve">de </w:t>
      </w:r>
      <w:r>
        <w:rPr/>
        <w:t>los riesgos de los créditos al consumo en base a indicadores de gestión como herramienta de control en la banca privada. Por otro lado, Hurtado (2000), expresa que los instrumentos son "las diferentes herramientas de las cuales se vale un investigador para realizar el proceso de recolección de la información" (p.145).</w:t>
      </w:r>
    </w:p>
    <w:p>
      <w:pPr>
        <w:pStyle w:val="style0"/>
      </w:pPr>
      <w:r>
        <w:rPr>
          <w:shd w:fill="FFFF00" w:val="clear"/>
        </w:rPr>
      </w:r>
    </w:p>
    <w:p>
      <w:pPr>
        <w:pStyle w:val="style0"/>
      </w:pPr>
      <w:r>
        <w:rPr/>
        <w:t>Para llevar a cabo la investigación de campo, se utilizó un instrumento de escala Likert. En tal sentido Hernández (1999), afirma que el escalamiento tipo Likert está definido por:</w:t>
      </w:r>
    </w:p>
    <w:p>
      <w:pPr>
        <w:pStyle w:val="style0"/>
        <w:spacing w:after="20" w:before="20" w:line="100" w:lineRule="atLeast"/>
        <w:ind w:hanging="0" w:left="567" w:right="567"/>
      </w:pPr>
      <w:r>
        <w:rPr>
          <w:sz w:val="23"/>
          <w:szCs w:val="23"/>
        </w:rPr>
      </w:r>
    </w:p>
    <w:p>
      <w:pPr>
        <w:pStyle w:val="style0"/>
        <w:spacing w:after="20" w:before="20" w:line="100" w:lineRule="atLeast"/>
        <w:ind w:hanging="0" w:left="567" w:right="567"/>
      </w:pPr>
      <w:r>
        <w:rPr>
          <w:sz w:val="23"/>
          <w:szCs w:val="23"/>
        </w:rPr>
        <w:t>Un conjunto de ítems presentados en forma de afirmaciones o juicios ante los cuales se pide la reacción de los sujetos a los que se les administra. Es decir, se presenta cada afirmación y se pide al sujeto que externe su reacción eligiendo uno de los cinco puntos de la escala. A cada punto se le asigna un valor numérico. Así, el sujeto obtiene una puntuación respecto a la afirmación y al final se obtiene su puntuación total sumando las puntuaciones obtenidas en relación a todas las afirmaciones (p.148).</w:t>
      </w:r>
    </w:p>
    <w:p>
      <w:pPr>
        <w:pStyle w:val="style0"/>
      </w:pPr>
      <w:r>
        <w:rPr/>
      </w:r>
    </w:p>
    <w:p>
      <w:pPr>
        <w:pStyle w:val="style0"/>
      </w:pPr>
      <w:r>
        <w:rPr/>
        <w:t xml:space="preserve">Dentro de la escala Likert, se tomaron en cuenta las variables necesarias, de manera de lograr obtener la reacción adecuada de la muestra seleccionada y de esta forma poder obtener un resultado fidedigno que permita alcanzar de manera exitosa el cumplimiento de los objetivos planteados. </w:t>
      </w:r>
    </w:p>
    <w:p>
      <w:pPr>
        <w:pStyle w:val="style0"/>
      </w:pPr>
      <w:r>
        <w:rPr/>
      </w:r>
    </w:p>
    <w:p>
      <w:pPr>
        <w:pStyle w:val="style3"/>
        <w:numPr>
          <w:ilvl w:val="2"/>
          <w:numId w:val="1"/>
        </w:numPr>
        <w:jc w:val="left"/>
      </w:pPr>
      <w:bookmarkStart w:id="58" w:name="__RefHeading__4976_1544206207"/>
      <w:bookmarkStart w:id="59" w:name="_Toc432059697"/>
      <w:bookmarkEnd w:id="58"/>
      <w:bookmarkEnd w:id="59"/>
      <w:r>
        <w:rPr/>
        <w:t>Operacionalización de las Variables</w:t>
      </w:r>
    </w:p>
    <w:p>
      <w:pPr>
        <w:pStyle w:val="style0"/>
      </w:pPr>
      <w:r>
        <w:rPr/>
      </w:r>
    </w:p>
    <w:p>
      <w:pPr>
        <w:pStyle w:val="style0"/>
      </w:pPr>
      <w:r>
        <w:rPr>
          <w:rFonts w:cs="Arial"/>
        </w:rPr>
        <w:t xml:space="preserve">Al respecto de las variables, el autor Salinas (1993), citado por Hernández, Fernández y Baptista (2005:30),  define  las variables como: “Características o cualidades de un sujeto, objeto hecho o fenómeno susceptible a ser modificado o variación puede ser cuantificada o medida”.  </w:t>
      </w:r>
    </w:p>
    <w:p>
      <w:pPr>
        <w:pStyle w:val="style0"/>
      </w:pPr>
      <w:r>
        <w:rPr>
          <w:rFonts w:cs="Arial"/>
        </w:rPr>
      </w:r>
    </w:p>
    <w:p>
      <w:pPr>
        <w:pStyle w:val="style0"/>
      </w:pPr>
      <w:r>
        <w:rPr>
          <w:rFonts w:cs="Arial"/>
        </w:rPr>
        <w:t xml:space="preserve">De tal manera que las variables son una propiedad o característica que poseen las personas o cosas, materia de una investigación científica, que puede cambiar y mostrar diferentes valores de una realidad a otra. </w:t>
      </w:r>
    </w:p>
    <w:p>
      <w:pPr>
        <w:pStyle w:val="style0"/>
      </w:pPr>
      <w:r>
        <w:rPr>
          <w:rFonts w:cs="Arial"/>
        </w:rPr>
      </w:r>
    </w:p>
    <w:p>
      <w:pPr>
        <w:pStyle w:val="style0"/>
      </w:pPr>
      <w:r>
        <w:rPr>
          <w:rFonts w:cs="Arial"/>
        </w:rPr>
        <w:t xml:space="preserve">Según Hernández, Fernández y Baptista (2005), las variables se definen como: "la propiedad que puede variar y cuya variación es susceptible de medirse" (p.144). En tal sentido, para el desarrollo de la operacionalización de las variables se tomó en consideración la importancia de la Responsabilidad Social empresarial en las PYMES. </w:t>
      </w:r>
    </w:p>
    <w:p>
      <w:pPr>
        <w:pStyle w:val="style0"/>
      </w:pPr>
      <w:r>
        <w:rPr/>
      </w:r>
    </w:p>
    <w:p>
      <w:pPr>
        <w:pStyle w:val="style0"/>
      </w:pPr>
      <w:r>
        <w:rPr/>
        <w:t>A continuación se presenta el cuadro 2, con la operacionalización de las variables de la investigación:</w:t>
      </w:r>
    </w:p>
    <w:p>
      <w:pPr>
        <w:sectPr>
          <w:headerReference r:id="rId31" w:type="default"/>
          <w:footerReference r:id="rId32" w:type="default"/>
          <w:type w:val="nextPage"/>
          <w:pgSz w:h="15840" w:w="12240"/>
          <w:pgMar w:bottom="1701" w:footer="964" w:gutter="0" w:header="964" w:left="2268" w:right="1701" w:top="2269"/>
          <w:pgNumType w:fmt="decimal"/>
          <w:formProt w:val="false"/>
          <w:textDirection w:val="lrTb"/>
          <w:docGrid w:charSpace="0" w:linePitch="360" w:type="default"/>
        </w:sectPr>
        <w:pStyle w:val="style0"/>
      </w:pPr>
      <w:r>
        <w:rPr/>
        <w:t xml:space="preserve"> </w:t>
      </w:r>
    </w:p>
    <w:p>
      <w:pPr>
        <w:pStyle w:val="style95"/>
        <w:ind w:hanging="0" w:left="0" w:right="0"/>
      </w:pPr>
      <w:bookmarkStart w:id="60" w:name="_Toc431897107"/>
      <w:bookmarkEnd w:id="60"/>
      <w:r>
        <w:rPr/>
        <w:t>Tabla : Operacionalización de las variables.</w:t>
      </w:r>
    </w:p>
    <w:p>
      <w:pPr>
        <w:pStyle w:val="style95"/>
      </w:pPr>
      <w:r>
        <w:rPr>
          <w:lang w:val="es-VE"/>
        </w:rPr>
      </w:r>
    </w:p>
    <w:p>
      <w:pPr>
        <w:pStyle w:val="style0"/>
        <w:ind w:hanging="0" w:left="0" w:right="0"/>
      </w:pPr>
      <w:r>
        <w:rPr>
          <w:b/>
        </w:rPr>
        <w:t xml:space="preserve">Objetivo General: </w:t>
      </w:r>
      <w:r>
        <w:rPr/>
        <w:t>Analizar los riesgo de créditos al consumo en base a indicadores de gestión como herramienta de control en la banca privada.</w:t>
      </w:r>
    </w:p>
    <w:tbl>
      <w:tblPr>
        <w:jc w:val="left"/>
        <w:tblInd w:type="dxa" w:w="-628"/>
        <w:tblBorders>
          <w:top w:color="000001" w:space="0" w:sz="6" w:val="single"/>
          <w:left w:color="000001" w:space="0" w:sz="12" w:val="single"/>
          <w:bottom w:color="000001" w:space="0" w:sz="6" w:val="single"/>
          <w:right w:color="000001" w:space="0" w:sz="6" w:val="single"/>
        </w:tblBorders>
      </w:tblPr>
      <w:tblGrid>
        <w:gridCol w:w="3603"/>
        <w:gridCol w:w="3543"/>
        <w:gridCol w:w="2268"/>
        <w:gridCol w:w="3116"/>
        <w:gridCol w:w="998"/>
      </w:tblGrid>
      <w:tr>
        <w:trPr>
          <w:cantSplit w:val="false"/>
        </w:trPr>
        <w:tc>
          <w:tcPr>
            <w:tcW w:type="dxa" w:w="3603"/>
            <w:tcBorders>
              <w:top w:color="000001" w:space="0" w:sz="6" w:val="single"/>
              <w:left w:color="000001" w:space="0" w:sz="12" w:val="single"/>
              <w:bottom w:color="000001" w:space="0" w:sz="6" w:val="single"/>
              <w:right w:color="000001" w:space="0" w:sz="6" w:val="single"/>
            </w:tcBorders>
            <w:shd w:fill="FFFFB2" w:val="clear"/>
            <w:tcMar>
              <w:top w:type="dxa" w:w="0"/>
              <w:left w:type="dxa" w:w="70"/>
              <w:bottom w:type="dxa" w:w="0"/>
              <w:right w:type="dxa" w:w="70"/>
            </w:tcMar>
          </w:tcPr>
          <w:p>
            <w:pPr>
              <w:pStyle w:val="style0"/>
              <w:spacing w:line="276" w:lineRule="auto"/>
              <w:ind w:hanging="0" w:left="0" w:right="0"/>
              <w:jc w:val="center"/>
            </w:pPr>
            <w:r>
              <w:rPr>
                <w:b/>
                <w:sz w:val="20"/>
                <w:szCs w:val="20"/>
              </w:rPr>
              <w:t>OBJETIVOS ESPECIFICOS</w:t>
            </w:r>
          </w:p>
        </w:tc>
        <w:tc>
          <w:tcPr>
            <w:tcW w:type="dxa" w:w="3543"/>
            <w:tcBorders>
              <w:top w:color="000001" w:space="0" w:sz="6" w:val="single"/>
              <w:left w:color="000001" w:space="0" w:sz="6" w:val="single"/>
              <w:bottom w:color="000001" w:space="0" w:sz="6" w:val="single"/>
              <w:right w:color="000001" w:space="0" w:sz="6" w:val="single"/>
            </w:tcBorders>
            <w:shd w:fill="FFFFB2" w:val="clear"/>
            <w:tcMar>
              <w:top w:type="dxa" w:w="0"/>
              <w:left w:type="dxa" w:w="70"/>
              <w:bottom w:type="dxa" w:w="0"/>
              <w:right w:type="dxa" w:w="70"/>
            </w:tcMar>
          </w:tcPr>
          <w:p>
            <w:pPr>
              <w:pStyle w:val="style0"/>
              <w:spacing w:line="276" w:lineRule="auto"/>
              <w:ind w:hanging="0" w:left="0" w:right="0"/>
              <w:jc w:val="center"/>
            </w:pPr>
            <w:r>
              <w:rPr>
                <w:b/>
                <w:sz w:val="20"/>
                <w:szCs w:val="20"/>
              </w:rPr>
              <w:t>VARIABLES</w:t>
            </w:r>
          </w:p>
        </w:tc>
        <w:tc>
          <w:tcPr>
            <w:tcW w:type="dxa" w:w="2268"/>
            <w:tcBorders>
              <w:top w:color="000001" w:space="0" w:sz="6" w:val="single"/>
              <w:left w:color="000001" w:space="0" w:sz="6" w:val="single"/>
              <w:bottom w:color="000001" w:space="0" w:sz="6" w:val="single"/>
              <w:right w:color="000001" w:space="0" w:sz="6" w:val="single"/>
            </w:tcBorders>
            <w:shd w:fill="FFFFB2" w:val="clear"/>
            <w:tcMar>
              <w:top w:type="dxa" w:w="0"/>
              <w:left w:type="dxa" w:w="70"/>
              <w:bottom w:type="dxa" w:w="0"/>
              <w:right w:type="dxa" w:w="70"/>
            </w:tcMar>
          </w:tcPr>
          <w:p>
            <w:pPr>
              <w:pStyle w:val="style0"/>
              <w:spacing w:line="276" w:lineRule="auto"/>
              <w:ind w:hanging="0" w:left="0" w:right="0"/>
              <w:jc w:val="center"/>
            </w:pPr>
            <w:r>
              <w:rPr>
                <w:b/>
                <w:sz w:val="20"/>
                <w:szCs w:val="20"/>
              </w:rPr>
              <w:t>TÉCNICA e INSTRUMENTO</w:t>
            </w:r>
          </w:p>
        </w:tc>
        <w:tc>
          <w:tcPr>
            <w:tcW w:type="dxa" w:w="3116"/>
            <w:tcBorders>
              <w:top w:color="000001" w:space="0" w:sz="6" w:val="single"/>
              <w:left w:color="000001" w:space="0" w:sz="6" w:val="single"/>
              <w:bottom w:color="000001" w:space="0" w:sz="6" w:val="single"/>
              <w:right w:color="000001" w:space="0" w:sz="6" w:val="single"/>
            </w:tcBorders>
            <w:shd w:fill="FFFFB2" w:val="clear"/>
            <w:tcMar>
              <w:top w:type="dxa" w:w="0"/>
              <w:left w:type="dxa" w:w="70"/>
              <w:bottom w:type="dxa" w:w="0"/>
              <w:right w:type="dxa" w:w="70"/>
            </w:tcMar>
          </w:tcPr>
          <w:p>
            <w:pPr>
              <w:pStyle w:val="style0"/>
              <w:spacing w:line="276" w:lineRule="auto"/>
              <w:ind w:hanging="0" w:left="0" w:right="0"/>
              <w:jc w:val="center"/>
            </w:pPr>
            <w:r>
              <w:rPr>
                <w:b/>
                <w:sz w:val="20"/>
                <w:szCs w:val="20"/>
              </w:rPr>
              <w:t>INDICADORES</w:t>
            </w:r>
          </w:p>
        </w:tc>
        <w:tc>
          <w:tcPr>
            <w:tcW w:type="dxa" w:w="998"/>
            <w:tcBorders>
              <w:top w:color="000001" w:space="0" w:sz="6" w:val="single"/>
              <w:left w:color="000001" w:space="0" w:sz="6" w:val="single"/>
              <w:bottom w:color="000001" w:space="0" w:sz="6" w:val="single"/>
              <w:right w:color="000001" w:space="0" w:sz="12" w:val="single"/>
            </w:tcBorders>
            <w:shd w:fill="FFFFB2" w:val="clear"/>
            <w:tcMar>
              <w:top w:type="dxa" w:w="0"/>
              <w:left w:type="dxa" w:w="70"/>
              <w:bottom w:type="dxa" w:w="0"/>
              <w:right w:type="dxa" w:w="70"/>
            </w:tcMar>
          </w:tcPr>
          <w:p>
            <w:pPr>
              <w:pStyle w:val="style0"/>
              <w:spacing w:line="276" w:lineRule="auto"/>
              <w:ind w:hanging="0" w:left="0" w:right="0"/>
              <w:jc w:val="center"/>
            </w:pPr>
            <w:r>
              <w:rPr>
                <w:b/>
                <w:sz w:val="20"/>
                <w:szCs w:val="20"/>
              </w:rPr>
              <w:t>ITEM</w:t>
            </w:r>
          </w:p>
        </w:tc>
      </w:tr>
      <w:tr>
        <w:trPr>
          <w:trHeight w:hRule="atLeast" w:val="1240"/>
          <w:cantSplit w:val="false"/>
        </w:trPr>
        <w:tc>
          <w:tcPr>
            <w:tcW w:type="dxa" w:w="3603"/>
            <w:tcBorders>
              <w:top w:color="000001" w:space="0" w:sz="6" w:val="single"/>
              <w:left w:color="000001" w:space="0" w:sz="12" w:val="single"/>
              <w:bottom w:color="000001" w:space="0" w:sz="6" w:val="single"/>
              <w:right w:color="000001" w:space="0" w:sz="6" w:val="single"/>
            </w:tcBorders>
            <w:shd w:fill="auto" w:val="clear"/>
            <w:tcMar>
              <w:top w:type="dxa" w:w="0"/>
              <w:left w:type="dxa" w:w="70"/>
              <w:bottom w:type="dxa" w:w="0"/>
              <w:right w:type="dxa" w:w="70"/>
            </w:tcMar>
          </w:tcPr>
          <w:p>
            <w:pPr>
              <w:pStyle w:val="style0"/>
              <w:widowControl w:val="false"/>
              <w:spacing w:line="276" w:lineRule="auto"/>
              <w:ind w:hanging="0" w:left="0" w:right="0"/>
              <w:jc w:val="center"/>
            </w:pPr>
            <w:r>
              <w:rPr>
                <w:sz w:val="20"/>
                <w:szCs w:val="20"/>
              </w:rPr>
              <w:t>Diagnosticar la situación actual del análisis de riesgo de créditos al consumo en base a indicadores de gestión en la banca privada.</w:t>
            </w:r>
          </w:p>
        </w:tc>
        <w:tc>
          <w:tcPr>
            <w:tcW w:type="dxa" w:w="3543"/>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widowControl w:val="false"/>
              <w:spacing w:line="276" w:lineRule="auto"/>
              <w:ind w:hanging="0" w:left="0" w:right="0"/>
              <w:jc w:val="center"/>
            </w:pPr>
            <w:r>
              <w:rPr>
                <w:sz w:val="20"/>
                <w:szCs w:val="20"/>
              </w:rPr>
              <w:t>Situación actual del análisis de riesgo de créditos al consumo en base a indicadores de gestión en la banca privada.</w:t>
            </w:r>
          </w:p>
        </w:tc>
        <w:tc>
          <w:tcPr>
            <w:tcW w:type="dxa" w:w="2268"/>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Encuesta y Cuestionario</w:t>
            </w:r>
          </w:p>
          <w:p>
            <w:pPr>
              <w:pStyle w:val="style0"/>
              <w:spacing w:line="276" w:lineRule="auto"/>
              <w:ind w:hanging="0" w:left="0" w:right="0"/>
              <w:jc w:val="left"/>
            </w:pPr>
            <w:r>
              <w:rPr>
                <w:sz w:val="20"/>
                <w:szCs w:val="20"/>
              </w:rPr>
              <w:t>Observación y registro de Observación</w:t>
            </w:r>
          </w:p>
          <w:p>
            <w:pPr>
              <w:pStyle w:val="style0"/>
              <w:spacing w:line="276" w:lineRule="auto"/>
              <w:ind w:hanging="0" w:left="0" w:right="0"/>
              <w:jc w:val="center"/>
            </w:pPr>
            <w:r>
              <w:rPr>
                <w:sz w:val="20"/>
                <w:szCs w:val="20"/>
              </w:rPr>
            </w:r>
          </w:p>
          <w:p>
            <w:pPr>
              <w:pStyle w:val="style0"/>
              <w:spacing w:line="276" w:lineRule="auto"/>
              <w:ind w:hanging="0" w:left="0" w:right="0"/>
              <w:jc w:val="center"/>
            </w:pPr>
            <w:r>
              <w:rPr>
                <w:sz w:val="20"/>
                <w:szCs w:val="20"/>
              </w:rPr>
            </w:r>
          </w:p>
        </w:tc>
        <w:tc>
          <w:tcPr>
            <w:tcW w:type="dxa" w:w="3116"/>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 Análisis de riegos.</w:t>
            </w:r>
          </w:p>
          <w:p>
            <w:pPr>
              <w:pStyle w:val="style0"/>
              <w:spacing w:line="276" w:lineRule="auto"/>
              <w:ind w:hanging="0" w:left="0" w:right="0"/>
              <w:jc w:val="left"/>
            </w:pPr>
            <w:r>
              <w:rPr>
                <w:sz w:val="20"/>
                <w:szCs w:val="20"/>
              </w:rPr>
              <w:t>- Simuladores de riesgos.</w:t>
            </w:r>
          </w:p>
          <w:p>
            <w:pPr>
              <w:pStyle w:val="style0"/>
              <w:spacing w:line="276" w:lineRule="auto"/>
              <w:ind w:hanging="0" w:left="0" w:right="0"/>
              <w:jc w:val="left"/>
            </w:pPr>
            <w:r>
              <w:rPr>
                <w:sz w:val="20"/>
                <w:szCs w:val="20"/>
              </w:rPr>
              <w:t>- Planificación de inversiones.</w:t>
            </w:r>
          </w:p>
          <w:p>
            <w:pPr>
              <w:pStyle w:val="style0"/>
              <w:spacing w:line="276" w:lineRule="auto"/>
              <w:ind w:hanging="0" w:left="0" w:right="0"/>
              <w:jc w:val="left"/>
            </w:pPr>
            <w:r>
              <w:rPr>
                <w:sz w:val="20"/>
                <w:szCs w:val="20"/>
              </w:rPr>
              <w:t xml:space="preserve">- Referencias de otras instituciones. </w:t>
            </w:r>
          </w:p>
          <w:p>
            <w:pPr>
              <w:pStyle w:val="style0"/>
              <w:spacing w:line="276" w:lineRule="auto"/>
              <w:ind w:hanging="0" w:left="0" w:right="0"/>
              <w:jc w:val="left"/>
            </w:pPr>
            <w:r>
              <w:rPr>
                <w:sz w:val="20"/>
                <w:szCs w:val="20"/>
              </w:rPr>
              <w:t xml:space="preserve">- Políticas internas de la institución. </w:t>
            </w:r>
          </w:p>
        </w:tc>
        <w:tc>
          <w:tcPr>
            <w:tcW w:type="dxa" w:w="998"/>
            <w:tcBorders>
              <w:top w:color="000001" w:space="0" w:sz="6" w:val="single"/>
              <w:left w:color="000001" w:space="0" w:sz="6" w:val="single"/>
              <w:bottom w:color="000001" w:space="0" w:sz="6" w:val="single"/>
              <w:right w:color="000001" w:space="0" w:sz="12"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1</w:t>
            </w:r>
          </w:p>
          <w:p>
            <w:pPr>
              <w:pStyle w:val="style0"/>
              <w:spacing w:line="276" w:lineRule="auto"/>
              <w:ind w:hanging="0" w:left="0" w:right="0"/>
              <w:jc w:val="left"/>
            </w:pPr>
            <w:r>
              <w:rPr>
                <w:sz w:val="20"/>
                <w:szCs w:val="20"/>
              </w:rPr>
              <w:t>2</w:t>
            </w:r>
          </w:p>
          <w:p>
            <w:pPr>
              <w:pStyle w:val="style0"/>
              <w:spacing w:line="276" w:lineRule="auto"/>
              <w:ind w:hanging="0" w:left="0" w:right="0"/>
              <w:jc w:val="left"/>
            </w:pPr>
            <w:r>
              <w:rPr>
                <w:sz w:val="20"/>
                <w:szCs w:val="20"/>
              </w:rPr>
              <w:t>3</w:t>
            </w:r>
          </w:p>
          <w:p>
            <w:pPr>
              <w:pStyle w:val="style0"/>
              <w:spacing w:line="276" w:lineRule="auto"/>
              <w:ind w:hanging="0" w:left="0" w:right="0"/>
              <w:jc w:val="left"/>
            </w:pPr>
            <w:r>
              <w:rPr>
                <w:sz w:val="20"/>
                <w:szCs w:val="20"/>
              </w:rPr>
              <w:t>4</w:t>
            </w:r>
          </w:p>
          <w:p>
            <w:pPr>
              <w:pStyle w:val="style0"/>
              <w:spacing w:line="276" w:lineRule="auto"/>
              <w:ind w:hanging="0" w:left="0" w:right="0"/>
              <w:jc w:val="left"/>
            </w:pPr>
            <w:r>
              <w:rPr>
                <w:sz w:val="20"/>
                <w:szCs w:val="20"/>
              </w:rPr>
              <w:t>5</w:t>
            </w:r>
          </w:p>
        </w:tc>
      </w:tr>
      <w:tr>
        <w:trPr>
          <w:cantSplit w:val="false"/>
        </w:trPr>
        <w:tc>
          <w:tcPr>
            <w:tcW w:type="dxa" w:w="3603"/>
            <w:tcBorders>
              <w:top w:color="000001" w:space="0" w:sz="6" w:val="single"/>
              <w:left w:color="000001" w:space="0" w:sz="12" w:val="single"/>
              <w:bottom w:color="000001" w:space="0" w:sz="6" w:val="single"/>
              <w:right w:color="000001" w:space="0" w:sz="6" w:val="single"/>
            </w:tcBorders>
            <w:shd w:fill="auto" w:val="clear"/>
            <w:tcMar>
              <w:top w:type="dxa" w:w="0"/>
              <w:left w:type="dxa" w:w="70"/>
              <w:bottom w:type="dxa" w:w="0"/>
              <w:right w:type="dxa" w:w="70"/>
            </w:tcMar>
          </w:tcPr>
          <w:p>
            <w:pPr>
              <w:pStyle w:val="style0"/>
              <w:widowControl w:val="false"/>
              <w:spacing w:line="276" w:lineRule="auto"/>
              <w:ind w:hanging="0" w:left="0" w:right="0"/>
              <w:jc w:val="center"/>
            </w:pPr>
            <w:r>
              <w:rPr>
                <w:sz w:val="20"/>
                <w:szCs w:val="20"/>
              </w:rPr>
              <w:t>Identificar los procesos internos del área de riesgo de análisis de  crédito al consumo en tarjeta de crédito en la banca privada.</w:t>
            </w:r>
          </w:p>
        </w:tc>
        <w:tc>
          <w:tcPr>
            <w:tcW w:type="dxa" w:w="3543"/>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widowControl w:val="false"/>
              <w:spacing w:line="276" w:lineRule="auto"/>
              <w:ind w:hanging="0" w:left="0" w:right="0"/>
              <w:jc w:val="center"/>
            </w:pPr>
            <w:r>
              <w:rPr>
                <w:sz w:val="20"/>
                <w:szCs w:val="20"/>
              </w:rPr>
              <w:t>Procesos internos del área de riesgo de análisis de  crédito al consumo en tarjeta de crédito en la banca privada.</w:t>
            </w:r>
          </w:p>
        </w:tc>
        <w:tc>
          <w:tcPr>
            <w:tcW w:type="dxa" w:w="2268"/>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Encuesta y Cuestionario</w:t>
            </w:r>
          </w:p>
          <w:p>
            <w:pPr>
              <w:pStyle w:val="style0"/>
              <w:spacing w:line="276" w:lineRule="auto"/>
              <w:ind w:hanging="0" w:left="0" w:right="0"/>
              <w:jc w:val="left"/>
            </w:pPr>
            <w:r>
              <w:rPr>
                <w:sz w:val="20"/>
                <w:szCs w:val="20"/>
              </w:rPr>
              <w:t>Observación y registro de Observación</w:t>
            </w:r>
          </w:p>
        </w:tc>
        <w:tc>
          <w:tcPr>
            <w:tcW w:type="dxa" w:w="3116"/>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 xml:space="preserve">- Colocación de depósitos. </w:t>
            </w:r>
          </w:p>
          <w:p>
            <w:pPr>
              <w:pStyle w:val="style0"/>
              <w:spacing w:line="276" w:lineRule="auto"/>
              <w:ind w:hanging="0" w:left="0" w:right="0"/>
              <w:jc w:val="left"/>
            </w:pPr>
            <w:r>
              <w:rPr>
                <w:sz w:val="20"/>
                <w:szCs w:val="20"/>
              </w:rPr>
              <w:t>- Gestión de riesgos financieros.</w:t>
            </w:r>
          </w:p>
          <w:p>
            <w:pPr>
              <w:pStyle w:val="style0"/>
              <w:spacing w:line="276" w:lineRule="auto"/>
              <w:ind w:hanging="0" w:left="0" w:right="0"/>
              <w:jc w:val="left"/>
            </w:pPr>
            <w:r>
              <w:rPr>
                <w:sz w:val="20"/>
                <w:szCs w:val="20"/>
              </w:rPr>
              <w:t>- Políticas y directrices.</w:t>
            </w:r>
          </w:p>
          <w:p>
            <w:pPr>
              <w:pStyle w:val="style0"/>
              <w:spacing w:line="276" w:lineRule="auto"/>
              <w:ind w:hanging="0" w:left="0" w:right="0"/>
              <w:jc w:val="left"/>
            </w:pPr>
            <w:r>
              <w:rPr>
                <w:sz w:val="20"/>
                <w:szCs w:val="20"/>
              </w:rPr>
              <w:t>- Actualización de sistemas, normas y procedimientos.</w:t>
            </w:r>
          </w:p>
        </w:tc>
        <w:tc>
          <w:tcPr>
            <w:tcW w:type="dxa" w:w="998"/>
            <w:tcBorders>
              <w:top w:color="000001" w:space="0" w:sz="6" w:val="single"/>
              <w:left w:color="000001" w:space="0" w:sz="6" w:val="single"/>
              <w:bottom w:color="000001" w:space="0" w:sz="6" w:val="single"/>
              <w:right w:color="000001" w:space="0" w:sz="12"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6</w:t>
            </w:r>
          </w:p>
          <w:p>
            <w:pPr>
              <w:pStyle w:val="style0"/>
              <w:spacing w:line="276" w:lineRule="auto"/>
              <w:ind w:hanging="0" w:left="0" w:right="0"/>
              <w:jc w:val="left"/>
            </w:pPr>
            <w:r>
              <w:rPr>
                <w:sz w:val="20"/>
                <w:szCs w:val="20"/>
              </w:rPr>
              <w:t>7</w:t>
            </w:r>
          </w:p>
          <w:p>
            <w:pPr>
              <w:pStyle w:val="style0"/>
              <w:spacing w:line="276" w:lineRule="auto"/>
              <w:ind w:hanging="0" w:left="0" w:right="0"/>
              <w:jc w:val="left"/>
            </w:pPr>
            <w:r>
              <w:rPr>
                <w:sz w:val="20"/>
                <w:szCs w:val="20"/>
              </w:rPr>
            </w:r>
          </w:p>
          <w:p>
            <w:pPr>
              <w:pStyle w:val="style0"/>
              <w:spacing w:line="276" w:lineRule="auto"/>
              <w:ind w:hanging="0" w:left="0" w:right="0"/>
              <w:jc w:val="left"/>
            </w:pPr>
            <w:r>
              <w:rPr>
                <w:sz w:val="20"/>
                <w:szCs w:val="20"/>
              </w:rPr>
              <w:t>8</w:t>
            </w:r>
          </w:p>
          <w:p>
            <w:pPr>
              <w:pStyle w:val="style0"/>
              <w:spacing w:line="276" w:lineRule="auto"/>
              <w:ind w:hanging="0" w:left="0" w:right="0"/>
              <w:jc w:val="left"/>
            </w:pPr>
            <w:r>
              <w:rPr>
                <w:sz w:val="20"/>
                <w:szCs w:val="20"/>
              </w:rPr>
              <w:t>9</w:t>
            </w:r>
          </w:p>
        </w:tc>
      </w:tr>
      <w:tr>
        <w:trPr>
          <w:trHeight w:hRule="atLeast" w:val="1247"/>
          <w:cantSplit w:val="false"/>
        </w:trPr>
        <w:tc>
          <w:tcPr>
            <w:tcW w:type="dxa" w:w="3603"/>
            <w:tcBorders>
              <w:top w:color="000001" w:space="0" w:sz="6" w:val="single"/>
              <w:left w:color="000001" w:space="0" w:sz="12" w:val="single"/>
              <w:bottom w:color="000001" w:space="0" w:sz="6" w:val="single"/>
              <w:right w:color="000001" w:space="0" w:sz="6" w:val="single"/>
            </w:tcBorders>
            <w:shd w:fill="auto" w:val="clear"/>
            <w:tcMar>
              <w:top w:type="dxa" w:w="0"/>
              <w:left w:type="dxa" w:w="70"/>
              <w:bottom w:type="dxa" w:w="0"/>
              <w:right w:type="dxa" w:w="70"/>
            </w:tcMar>
          </w:tcPr>
          <w:p>
            <w:pPr>
              <w:pStyle w:val="style0"/>
              <w:widowControl w:val="false"/>
              <w:spacing w:line="276" w:lineRule="auto"/>
              <w:ind w:hanging="0" w:left="0" w:right="0"/>
              <w:jc w:val="center"/>
            </w:pPr>
            <w:r>
              <w:rPr>
                <w:sz w:val="20"/>
                <w:szCs w:val="20"/>
              </w:rPr>
              <w:t>Determinar los indicadores de gestión para el análisis de riesgos desde las perspectivas financieras y no financieras de los créditos al consumo.</w:t>
            </w:r>
          </w:p>
        </w:tc>
        <w:tc>
          <w:tcPr>
            <w:tcW w:type="dxa" w:w="3543"/>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widowControl w:val="false"/>
              <w:spacing w:line="276" w:lineRule="auto"/>
              <w:ind w:hanging="0" w:left="0" w:right="0"/>
              <w:jc w:val="center"/>
            </w:pPr>
            <w:r>
              <w:rPr>
                <w:sz w:val="20"/>
                <w:szCs w:val="20"/>
              </w:rPr>
              <w:t>Indicadores de gestión para el análisis de riesgos desde las perspectivas financieras y no financieras de los créditos al consumo.</w:t>
            </w:r>
          </w:p>
        </w:tc>
        <w:tc>
          <w:tcPr>
            <w:tcW w:type="dxa" w:w="2268"/>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Encuesta y Cuestionario</w:t>
            </w:r>
          </w:p>
          <w:p>
            <w:pPr>
              <w:pStyle w:val="style0"/>
              <w:spacing w:line="276" w:lineRule="auto"/>
              <w:ind w:hanging="0" w:left="0" w:right="0"/>
              <w:jc w:val="left"/>
            </w:pPr>
            <w:r>
              <w:rPr>
                <w:sz w:val="20"/>
                <w:szCs w:val="20"/>
              </w:rPr>
              <w:t>Observación y registro de Observación</w:t>
            </w:r>
          </w:p>
        </w:tc>
        <w:tc>
          <w:tcPr>
            <w:tcW w:type="dxa" w:w="3116"/>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 Índices financieros.</w:t>
            </w:r>
          </w:p>
          <w:p>
            <w:pPr>
              <w:pStyle w:val="style0"/>
              <w:spacing w:line="276" w:lineRule="auto"/>
              <w:ind w:hanging="0" w:left="0" w:right="0"/>
              <w:jc w:val="left"/>
            </w:pPr>
            <w:r>
              <w:rPr>
                <w:sz w:val="20"/>
                <w:szCs w:val="20"/>
              </w:rPr>
              <w:t>- Proceso de toma de decisiones de inversión de capitales.</w:t>
            </w:r>
          </w:p>
          <w:p>
            <w:pPr>
              <w:pStyle w:val="style0"/>
              <w:spacing w:line="276" w:lineRule="auto"/>
              <w:ind w:hanging="0" w:left="0" w:right="0"/>
              <w:jc w:val="left"/>
            </w:pPr>
            <w:r>
              <w:rPr>
                <w:sz w:val="20"/>
                <w:szCs w:val="20"/>
              </w:rPr>
              <w:t>- Datos e información comercial.</w:t>
            </w:r>
          </w:p>
          <w:p>
            <w:pPr>
              <w:pStyle w:val="style0"/>
              <w:spacing w:line="276" w:lineRule="auto"/>
              <w:ind w:hanging="0" w:left="0" w:right="0"/>
              <w:jc w:val="left"/>
            </w:pPr>
            <w:r>
              <w:rPr>
                <w:sz w:val="20"/>
                <w:szCs w:val="20"/>
              </w:rPr>
              <w:t>- Flujo de caja.</w:t>
            </w:r>
          </w:p>
        </w:tc>
        <w:tc>
          <w:tcPr>
            <w:tcW w:type="dxa" w:w="998"/>
            <w:tcBorders>
              <w:top w:color="000001" w:space="0" w:sz="6" w:val="single"/>
              <w:left w:color="000001" w:space="0" w:sz="6" w:val="single"/>
              <w:bottom w:color="000001" w:space="0" w:sz="6" w:val="single"/>
              <w:right w:color="000001" w:space="0" w:sz="12"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10</w:t>
            </w:r>
          </w:p>
          <w:p>
            <w:pPr>
              <w:pStyle w:val="style0"/>
              <w:spacing w:line="276" w:lineRule="auto"/>
              <w:ind w:hanging="0" w:left="0" w:right="0"/>
              <w:jc w:val="left"/>
            </w:pPr>
            <w:r>
              <w:rPr>
                <w:sz w:val="20"/>
                <w:szCs w:val="20"/>
              </w:rPr>
              <w:t>11</w:t>
            </w:r>
          </w:p>
          <w:p>
            <w:pPr>
              <w:pStyle w:val="style0"/>
              <w:spacing w:line="276" w:lineRule="auto"/>
              <w:ind w:hanging="0" w:left="0" w:right="0"/>
              <w:jc w:val="left"/>
            </w:pPr>
            <w:r>
              <w:rPr>
                <w:sz w:val="20"/>
                <w:szCs w:val="20"/>
              </w:rPr>
            </w:r>
          </w:p>
          <w:p>
            <w:pPr>
              <w:pStyle w:val="style0"/>
              <w:spacing w:line="276" w:lineRule="auto"/>
              <w:ind w:hanging="0" w:left="0" w:right="0"/>
              <w:jc w:val="left"/>
            </w:pPr>
            <w:r>
              <w:rPr>
                <w:sz w:val="20"/>
                <w:szCs w:val="20"/>
              </w:rPr>
              <w:t>12</w:t>
            </w:r>
          </w:p>
          <w:p>
            <w:pPr>
              <w:pStyle w:val="style0"/>
              <w:spacing w:line="276" w:lineRule="auto"/>
              <w:ind w:hanging="0" w:left="0" w:right="0"/>
              <w:jc w:val="left"/>
            </w:pPr>
            <w:r>
              <w:rPr>
                <w:sz w:val="20"/>
                <w:szCs w:val="20"/>
              </w:rPr>
              <w:t>13</w:t>
            </w:r>
          </w:p>
        </w:tc>
      </w:tr>
      <w:tr>
        <w:trPr>
          <w:trHeight w:hRule="atLeast" w:val="836"/>
          <w:cantSplit w:val="false"/>
        </w:trPr>
        <w:tc>
          <w:tcPr>
            <w:tcW w:type="dxa" w:w="3603"/>
            <w:tcBorders>
              <w:top w:color="000001" w:space="0" w:sz="6" w:val="single"/>
              <w:left w:color="000001" w:space="0" w:sz="12" w:val="single"/>
              <w:bottom w:color="000001" w:space="0" w:sz="6" w:val="single"/>
              <w:right w:color="000001" w:space="0" w:sz="6" w:val="single"/>
            </w:tcBorders>
            <w:shd w:fill="auto" w:val="clear"/>
            <w:tcMar>
              <w:top w:type="dxa" w:w="0"/>
              <w:left w:type="dxa" w:w="70"/>
              <w:bottom w:type="dxa" w:w="0"/>
              <w:right w:type="dxa" w:w="70"/>
            </w:tcMar>
          </w:tcPr>
          <w:p>
            <w:pPr>
              <w:pStyle w:val="style0"/>
              <w:widowControl w:val="false"/>
              <w:spacing w:line="276" w:lineRule="auto"/>
              <w:ind w:hanging="0" w:left="0" w:right="0"/>
              <w:jc w:val="center"/>
            </w:pPr>
            <w:r>
              <w:rPr>
                <w:sz w:val="20"/>
                <w:szCs w:val="20"/>
              </w:rPr>
              <w:t>Describir los factores están asociados a los riegos en los créditos al consumo con tarjetas de crédito en la banca privada</w:t>
            </w:r>
          </w:p>
          <w:p>
            <w:pPr>
              <w:pStyle w:val="style0"/>
              <w:widowControl w:val="false"/>
              <w:spacing w:line="276" w:lineRule="auto"/>
              <w:ind w:hanging="0" w:left="284" w:right="0"/>
              <w:jc w:val="center"/>
            </w:pPr>
            <w:r>
              <w:rPr>
                <w:sz w:val="20"/>
                <w:szCs w:val="20"/>
              </w:rPr>
            </w:r>
          </w:p>
        </w:tc>
        <w:tc>
          <w:tcPr>
            <w:tcW w:type="dxa" w:w="3543"/>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center"/>
            </w:pPr>
            <w:r>
              <w:rPr>
                <w:sz w:val="20"/>
                <w:szCs w:val="20"/>
              </w:rPr>
              <w:t>Factores asociados a los riegos en los créditos al consumo con tarjetas de crédito en la banca privada</w:t>
            </w:r>
          </w:p>
        </w:tc>
        <w:tc>
          <w:tcPr>
            <w:tcW w:type="dxa" w:w="2268"/>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jc w:val="left"/>
            </w:pPr>
            <w:r>
              <w:rPr>
                <w:sz w:val="20"/>
                <w:szCs w:val="20"/>
              </w:rPr>
              <w:t>Encuesta y Cuestionario</w:t>
            </w:r>
          </w:p>
          <w:p>
            <w:pPr>
              <w:pStyle w:val="style0"/>
              <w:spacing w:line="276" w:lineRule="auto"/>
              <w:ind w:hanging="0" w:left="0" w:right="0"/>
              <w:jc w:val="left"/>
            </w:pPr>
            <w:r>
              <w:rPr>
                <w:sz w:val="20"/>
                <w:szCs w:val="20"/>
              </w:rPr>
              <w:t>Observación y registro de Observación</w:t>
            </w:r>
          </w:p>
        </w:tc>
        <w:tc>
          <w:tcPr>
            <w:tcW w:type="dxa" w:w="3116"/>
            <w:tcBorders>
              <w:top w:color="000001" w:space="0" w:sz="6" w:val="single"/>
              <w:left w:color="000001" w:space="0" w:sz="6" w:val="single"/>
              <w:bottom w:color="000001" w:space="0" w:sz="6" w:val="single"/>
              <w:right w:color="000001" w:space="0" w:sz="6" w:val="single"/>
            </w:tcBorders>
            <w:shd w:fill="auto" w:val="clear"/>
            <w:tcMar>
              <w:top w:type="dxa" w:w="0"/>
              <w:left w:type="dxa" w:w="70"/>
              <w:bottom w:type="dxa" w:w="0"/>
              <w:right w:type="dxa" w:w="70"/>
            </w:tcMar>
          </w:tcPr>
          <w:p>
            <w:pPr>
              <w:pStyle w:val="style0"/>
              <w:spacing w:line="276" w:lineRule="auto"/>
              <w:ind w:hanging="0" w:left="0" w:right="0"/>
            </w:pPr>
            <w:r>
              <w:rPr>
                <w:sz w:val="20"/>
                <w:szCs w:val="20"/>
              </w:rPr>
              <w:t>- Indicadores financieros.</w:t>
            </w:r>
          </w:p>
          <w:p>
            <w:pPr>
              <w:pStyle w:val="style0"/>
              <w:spacing w:line="276" w:lineRule="auto"/>
              <w:ind w:hanging="0" w:left="0" w:right="0"/>
            </w:pPr>
            <w:r>
              <w:rPr>
                <w:sz w:val="20"/>
                <w:szCs w:val="20"/>
              </w:rPr>
              <w:t xml:space="preserve">- Porcentajes de variación. </w:t>
            </w:r>
          </w:p>
          <w:p>
            <w:pPr>
              <w:pStyle w:val="style0"/>
              <w:spacing w:line="276" w:lineRule="auto"/>
              <w:ind w:hanging="0" w:left="0" w:right="0"/>
            </w:pPr>
            <w:r>
              <w:rPr>
                <w:sz w:val="20"/>
                <w:szCs w:val="20"/>
              </w:rPr>
              <w:t>- Indicadores no financieros</w:t>
            </w:r>
            <w:r>
              <w:rPr>
                <w:rFonts w:cs="Arial"/>
              </w:rPr>
              <w:t xml:space="preserve"> </w:t>
            </w:r>
          </w:p>
          <w:p>
            <w:pPr>
              <w:pStyle w:val="style0"/>
              <w:spacing w:line="276" w:lineRule="auto"/>
              <w:ind w:hanging="0" w:left="0" w:right="0"/>
              <w:jc w:val="left"/>
            </w:pPr>
            <w:r>
              <w:rPr>
                <w:sz w:val="20"/>
                <w:szCs w:val="20"/>
              </w:rPr>
              <w:t>- Manejo de riesgos financieros.</w:t>
            </w:r>
          </w:p>
        </w:tc>
        <w:tc>
          <w:tcPr>
            <w:tcW w:type="dxa" w:w="998"/>
            <w:tcBorders>
              <w:top w:color="000001" w:space="0" w:sz="6" w:val="single"/>
              <w:left w:color="000001" w:space="0" w:sz="6" w:val="single"/>
              <w:bottom w:color="000001" w:space="0" w:sz="6" w:val="single"/>
              <w:right w:color="000001" w:space="0" w:sz="12" w:val="single"/>
            </w:tcBorders>
            <w:shd w:fill="auto" w:val="clear"/>
            <w:tcMar>
              <w:top w:type="dxa" w:w="0"/>
              <w:left w:type="dxa" w:w="70"/>
              <w:bottom w:type="dxa" w:w="0"/>
              <w:right w:type="dxa" w:w="70"/>
            </w:tcMar>
          </w:tcPr>
          <w:p>
            <w:pPr>
              <w:pStyle w:val="style0"/>
              <w:spacing w:line="276" w:lineRule="auto"/>
              <w:ind w:hanging="0" w:left="0" w:right="0"/>
            </w:pPr>
            <w:r>
              <w:rPr>
                <w:sz w:val="20"/>
                <w:szCs w:val="20"/>
              </w:rPr>
              <w:t>14</w:t>
            </w:r>
          </w:p>
          <w:p>
            <w:pPr>
              <w:pStyle w:val="style0"/>
              <w:spacing w:line="276" w:lineRule="auto"/>
              <w:ind w:hanging="0" w:left="0" w:right="0"/>
            </w:pPr>
            <w:r>
              <w:rPr>
                <w:sz w:val="20"/>
                <w:szCs w:val="20"/>
              </w:rPr>
              <w:t>15</w:t>
            </w:r>
          </w:p>
          <w:p>
            <w:pPr>
              <w:pStyle w:val="style0"/>
              <w:spacing w:line="276" w:lineRule="auto"/>
              <w:ind w:hanging="0" w:left="0" w:right="0"/>
            </w:pPr>
            <w:r>
              <w:rPr>
                <w:sz w:val="20"/>
                <w:szCs w:val="20"/>
              </w:rPr>
              <w:t>16</w:t>
            </w:r>
          </w:p>
          <w:p>
            <w:pPr>
              <w:pStyle w:val="style0"/>
              <w:spacing w:line="276" w:lineRule="auto"/>
              <w:ind w:hanging="0" w:left="0" w:right="0"/>
            </w:pPr>
            <w:r>
              <w:rPr>
                <w:sz w:val="20"/>
                <w:szCs w:val="20"/>
              </w:rPr>
              <w:t>17</w:t>
            </w:r>
          </w:p>
        </w:tc>
      </w:tr>
    </w:tbl>
    <w:p>
      <w:pPr>
        <w:pStyle w:val="style0"/>
        <w:ind w:firstLine="397" w:left="0" w:right="0"/>
      </w:pPr>
      <w:r>
        <w:rPr/>
        <w:t xml:space="preserve">Fuente: Rey, (2015) </w:t>
      </w:r>
    </w:p>
    <w:p>
      <w:pPr>
        <w:sectPr>
          <w:headerReference r:id="rId33" w:type="default"/>
          <w:footerReference r:id="rId34" w:type="default"/>
          <w:type w:val="nextPage"/>
          <w:pgSz w:h="12240" w:orient="landscape" w:w="15840"/>
          <w:pgMar w:bottom="2269" w:footer="964" w:gutter="0" w:header="964" w:left="2268" w:right="1701" w:top="1701"/>
          <w:pgNumType w:fmt="decimal"/>
          <w:formProt w:val="false"/>
          <w:textDirection w:val="lrTb"/>
          <w:docGrid w:charSpace="0" w:linePitch="360" w:type="default"/>
        </w:sectPr>
        <w:pStyle w:val="style0"/>
      </w:pPr>
      <w:r>
        <w:rPr>
          <w:lang w:val="es-VE"/>
        </w:rPr>
      </w:r>
    </w:p>
    <w:p>
      <w:pPr>
        <w:pStyle w:val="style95"/>
      </w:pPr>
      <w:r>
        <w:rPr>
          <w:sz w:val="24"/>
          <w:szCs w:val="24"/>
          <w:lang w:val="es-VE"/>
        </w:rPr>
        <w:t>Validez y Confiabilidad de los Instrumentos de Recolección de Datos</w:t>
      </w:r>
    </w:p>
    <w:p>
      <w:pPr>
        <w:pStyle w:val="style56"/>
        <w:widowControl w:val="false"/>
        <w:ind w:firstLine="510" w:left="0" w:right="0"/>
        <w:jc w:val="both"/>
      </w:pPr>
      <w:r>
        <w:rPr>
          <w:rFonts w:ascii="Times New Roman" w:hAnsi="Times New Roman"/>
          <w:lang w:val="es-VE"/>
        </w:rPr>
      </w:r>
    </w:p>
    <w:p>
      <w:pPr>
        <w:pStyle w:val="style56"/>
        <w:widowControl w:val="false"/>
        <w:ind w:firstLine="510" w:left="0" w:right="0"/>
        <w:jc w:val="both"/>
      </w:pPr>
      <w:r>
        <w:rPr>
          <w:rFonts w:ascii="Times New Roman" w:hAnsi="Times New Roman"/>
          <w:lang w:val="es-VE"/>
        </w:rPr>
        <w:t>Validez</w:t>
      </w:r>
    </w:p>
    <w:p>
      <w:pPr>
        <w:pStyle w:val="style0"/>
      </w:pPr>
      <w:r>
        <w:rPr/>
      </w:r>
    </w:p>
    <w:p>
      <w:pPr>
        <w:pStyle w:val="style0"/>
        <w:widowControl w:val="false"/>
      </w:pPr>
      <w:r>
        <w:rPr/>
        <w:t xml:space="preserve">De acuerdo con Hernández, Fernández y Baptista (2005), “La validez, en términos generales, se refiere al grado en que un instrumento realmente mide la variable  que pretende medir”. La autora para medir la validez del instrumento utilizó el procedimiento conocido con el nombre de Juicio de Expertos, el cual se aplicó de la siguiente manera:  </w:t>
      </w:r>
    </w:p>
    <w:p>
      <w:pPr>
        <w:pStyle w:val="style55"/>
        <w:ind w:firstLine="708" w:left="283" w:right="17"/>
      </w:pPr>
      <w:r>
        <w:rPr/>
      </w:r>
    </w:p>
    <w:p>
      <w:pPr>
        <w:pStyle w:val="style55"/>
        <w:numPr>
          <w:ilvl w:val="0"/>
          <w:numId w:val="6"/>
        </w:numPr>
        <w:ind w:firstLine="708" w:left="283" w:right="17"/>
      </w:pPr>
      <w:r>
        <w:rPr/>
        <w:t xml:space="preserve">Se seleccionarán tres (03) expertos: uno (01) en diseño de instrumentos de recolección de datos, uno (01) en metodología de la investigación y uno (01) en contenido del área en estudio; para que evalúen de manera independiente los ítems o preguntas del instrumento, en términos de relevancia o congruencia, claridad en la redacción y la tendenciosidad o sesgo en su información. </w:t>
      </w:r>
    </w:p>
    <w:p>
      <w:pPr>
        <w:pStyle w:val="style55"/>
        <w:numPr>
          <w:ilvl w:val="0"/>
          <w:numId w:val="6"/>
        </w:numPr>
        <w:ind w:firstLine="708" w:left="283" w:right="17"/>
      </w:pPr>
      <w:r>
        <w:rPr/>
        <w:t xml:space="preserve">Cada experto recibió la información escrita acerca de: (a) Propósito del instrumento; (b) Objetivo general; (c) Objetivos específicos; (d) Operacionalización de las variables e indicadores. </w:t>
      </w:r>
    </w:p>
    <w:p>
      <w:pPr>
        <w:pStyle w:val="style55"/>
        <w:numPr>
          <w:ilvl w:val="0"/>
          <w:numId w:val="6"/>
        </w:numPr>
        <w:ind w:firstLine="708" w:left="283" w:right="17"/>
      </w:pPr>
      <w:r>
        <w:rPr/>
        <w:t>Cada experto recibió una planilla de validación de datos en donde se recogió la información por él suministrada. Este instrumento contiene los siguientes aspectos por cada ítem o pregunta: Congruencia, Claridad, Tendenciosidad y Observación. Se recogen y analizan las planillas de validación y se toman las siguientes decisiones:  (a) En los ítems o preguntas donde existió un 100% de coincidencia favorable entre los expertos (Ítems o preguntas congruentes, escritos claramente y no son tendenciosos) quedarán incluidos en el instrumento; (b) Los ítems o preguntas donde exista un 100% de coincidencias desfavorables entre los expertos quedan excluidos del instrumento; (c) Los ítems o preguntas donde existía coincidencia parcial entre los expertos serán revisados, reformulados y nuevamente validados.</w:t>
      </w:r>
    </w:p>
    <w:p>
      <w:pPr>
        <w:pStyle w:val="style55"/>
        <w:ind w:firstLine="708" w:left="283" w:right="17"/>
      </w:pPr>
      <w:r>
        <w:rPr/>
      </w:r>
    </w:p>
    <w:p>
      <w:pPr>
        <w:pStyle w:val="style55"/>
        <w:ind w:firstLine="708" w:left="283" w:right="17"/>
      </w:pPr>
      <w:r>
        <w:rPr/>
        <w:t xml:space="preserve">El instrumento de recolección de datos estuvo conformado por: (a) Portada del instrumento; (b) Carta presentación del instrumento; (c) Instrucciones; (d) Preguntas que conforman el instrumento; (e) Planilla de evaluación del instrumento; (f) Carta de validación del instrumento debidamente firmada por cada uno de los expertos  evaluadores. </w:t>
      </w:r>
    </w:p>
    <w:p>
      <w:pPr>
        <w:pStyle w:val="style56"/>
        <w:widowControl w:val="false"/>
        <w:ind w:firstLine="510" w:left="0" w:right="0"/>
        <w:jc w:val="both"/>
      </w:pPr>
      <w:r>
        <w:rPr>
          <w:rFonts w:ascii="Times New Roman" w:hAnsi="Times New Roman"/>
        </w:rPr>
      </w:r>
    </w:p>
    <w:p>
      <w:pPr>
        <w:pStyle w:val="style56"/>
        <w:widowControl w:val="false"/>
        <w:ind w:firstLine="510" w:left="0" w:right="0"/>
        <w:jc w:val="both"/>
      </w:pPr>
      <w:r>
        <w:rPr>
          <w:rFonts w:ascii="Times New Roman" w:hAnsi="Times New Roman"/>
        </w:rPr>
        <w:t>Confiabilidad</w:t>
      </w:r>
    </w:p>
    <w:p>
      <w:pPr>
        <w:pStyle w:val="style55"/>
        <w:widowControl w:val="false"/>
        <w:ind w:firstLine="510" w:left="283" w:right="0"/>
      </w:pPr>
      <w:r>
        <w:rPr>
          <w:color w:val="FF0000"/>
        </w:rPr>
      </w:r>
    </w:p>
    <w:p>
      <w:pPr>
        <w:pStyle w:val="style0"/>
      </w:pPr>
      <w:r>
        <w:rPr/>
        <w:t xml:space="preserve">Según Hernández, Fernández y Baptista (2005), “La confiabilidad de un instrumento de medición se refiere al grado en que su aplicación repetida al mismo sujeto u objeto produce iguales resultados” (p.291). Para medir la confiabilidad de un instrumento, o sea, la consistencia interior del mismo y su capacidad para discriminar entre un valor y otro, se seleccionará entre los diferentes métodos existentes, el coeficiente de Confiabilidad Alpha de Crombach; debido a que el mismo, se recomienda cuando el instrumento se elabora sobre la base de un instrumento con escala Likert.  </w:t>
      </w:r>
    </w:p>
    <w:p>
      <w:pPr>
        <w:pStyle w:val="style0"/>
        <w:ind w:firstLine="540" w:left="0" w:right="0"/>
      </w:pPr>
      <w:r>
        <w:rPr/>
      </w:r>
    </w:p>
    <w:p>
      <w:pPr>
        <w:pStyle w:val="style0"/>
      </w:pPr>
      <w:r>
        <w:rPr/>
        <w:t xml:space="preserve">Para el análisis de los resultados del coeficiente de confiabilidad, el coeficiente cero (0) significa confiabilidad nula, mientras que uno (1), representa un máximo de confiabilidad, mayor que 0,5 es considerada como aceptable o confiable, debido a que se ubica dentro de los rangos estipulados en la siguiente tabla: </w:t>
      </w:r>
    </w:p>
    <w:p>
      <w:pPr>
        <w:pStyle w:val="style0"/>
      </w:pPr>
      <w:r>
        <w:rPr>
          <w:b/>
          <w:bCs/>
        </w:rPr>
      </w:r>
    </w:p>
    <w:p>
      <w:pPr>
        <w:pStyle w:val="style0"/>
      </w:pPr>
      <w:r>
        <w:rPr/>
      </w:r>
    </w:p>
    <w:p>
      <w:pPr>
        <w:pStyle w:val="style95"/>
        <w:pageBreakBefore/>
      </w:pPr>
      <w:bookmarkStart w:id="61" w:name="_Toc431897108"/>
      <w:r>
        <w:rPr/>
        <w:t xml:space="preserve">Tabla : </w:t>
      </w:r>
      <w:r>
        <w:rPr>
          <w:bCs w:val="false"/>
        </w:rPr>
        <w:t>Coeficiente de Confiabilidad</w:t>
      </w:r>
      <w:bookmarkEnd w:id="61"/>
      <w:r>
        <w:rPr>
          <w:bCs w:val="false"/>
        </w:rPr>
        <w:t xml:space="preserve"> </w:t>
      </w:r>
    </w:p>
    <w:tbl>
      <w:tblPr>
        <w:jc w:val="left"/>
        <w:tblInd w:type="dxa" w:w="-108"/>
        <w:tblBorders>
          <w:top w:color="00000A" w:space="0" w:sz="6" w:val="single"/>
          <w:left w:color="00000A" w:space="0" w:sz="6" w:val="single"/>
          <w:bottom w:color="00000A" w:space="0" w:sz="6" w:val="single"/>
          <w:right w:color="00000A" w:space="0" w:sz="6" w:val="single"/>
        </w:tblBorders>
      </w:tblPr>
      <w:tblGrid>
        <w:gridCol w:w="4205"/>
        <w:gridCol w:w="4205"/>
      </w:tblGrid>
      <w:tr>
        <w:trPr>
          <w:cantSplit w:val="false"/>
        </w:trPr>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ind w:hanging="0" w:left="0" w:right="0"/>
              <w:jc w:val="center"/>
            </w:pPr>
            <w:r>
              <w:rPr/>
              <w:t>VALORES</w:t>
            </w:r>
          </w:p>
        </w:tc>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ind w:hanging="0" w:left="0" w:right="0"/>
              <w:jc w:val="center"/>
            </w:pPr>
            <w:r>
              <w:rPr/>
              <w:t>CONFIABLIDAD</w:t>
            </w:r>
          </w:p>
        </w:tc>
      </w:tr>
      <w:tr>
        <w:trPr>
          <w:cantSplit w:val="false"/>
        </w:trPr>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 xml:space="preserve">Negativo </w:t>
            </w:r>
          </w:p>
        </w:tc>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Reestructurar el instrumento.</w:t>
            </w:r>
          </w:p>
        </w:tc>
      </w:tr>
      <w:tr>
        <w:trPr>
          <w:cantSplit w:val="false"/>
        </w:trPr>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Entre 0 y 0.49</w:t>
            </w:r>
          </w:p>
        </w:tc>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Revisar el Instrumento</w:t>
            </w:r>
          </w:p>
        </w:tc>
      </w:tr>
      <w:tr>
        <w:trPr>
          <w:cantSplit w:val="false"/>
        </w:trPr>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Entre 0.50 y 0.79</w:t>
            </w:r>
          </w:p>
        </w:tc>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Confiable.</w:t>
            </w:r>
          </w:p>
        </w:tc>
      </w:tr>
      <w:tr>
        <w:trPr>
          <w:cantSplit w:val="false"/>
        </w:trPr>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Entre 0.80 y 1</w:t>
            </w:r>
          </w:p>
        </w:tc>
        <w:tc>
          <w:tcPr>
            <w:tcW w:type="dxa" w:w="4205"/>
            <w:tcBorders>
              <w:top w:color="00000A" w:space="0" w:sz="6" w:val="single"/>
              <w:left w:color="00000A" w:space="0" w:sz="6" w:val="single"/>
              <w:bottom w:color="00000A" w:space="0" w:sz="6" w:val="single"/>
              <w:right w:color="00000A" w:space="0" w:sz="6" w:val="single"/>
            </w:tcBorders>
            <w:shd w:fill="auto" w:val="clear"/>
            <w:tcMar>
              <w:top w:type="dxa" w:w="0"/>
              <w:left w:type="dxa" w:w="70"/>
              <w:bottom w:type="dxa" w:w="0"/>
              <w:right w:type="dxa" w:w="70"/>
            </w:tcMar>
          </w:tcPr>
          <w:p>
            <w:pPr>
              <w:pStyle w:val="style0"/>
            </w:pPr>
            <w:r>
              <w:rPr/>
              <w:t>Altamente Confiable.</w:t>
            </w:r>
          </w:p>
        </w:tc>
      </w:tr>
    </w:tbl>
    <w:p>
      <w:pPr>
        <w:pStyle w:val="style0"/>
        <w:ind w:hanging="0" w:left="0" w:right="0"/>
      </w:pPr>
      <w:r>
        <w:rPr/>
        <w:t>Fuente: Hernández, Fernández y Baptista (2005).</w:t>
      </w:r>
    </w:p>
    <w:p>
      <w:pPr>
        <w:pStyle w:val="style0"/>
        <w:ind w:hanging="0" w:left="0" w:right="0"/>
      </w:pPr>
      <w:r>
        <w:rPr/>
      </w:r>
    </w:p>
    <w:p>
      <w:pPr>
        <w:pStyle w:val="style3"/>
        <w:numPr>
          <w:ilvl w:val="2"/>
          <w:numId w:val="1"/>
        </w:numPr>
        <w:jc w:val="left"/>
      </w:pPr>
      <w:bookmarkStart w:id="62" w:name="__RefHeading__4978_1544206207"/>
      <w:bookmarkStart w:id="63" w:name="_Toc432059698"/>
      <w:bookmarkEnd w:id="62"/>
      <w:bookmarkEnd w:id="63"/>
      <w:r>
        <w:rPr/>
        <w:t>Técnicas de Análisis de la Información</w:t>
      </w:r>
    </w:p>
    <w:p>
      <w:pPr>
        <w:pStyle w:val="style0"/>
      </w:pPr>
      <w:r>
        <w:rPr/>
      </w:r>
    </w:p>
    <w:p>
      <w:pPr>
        <w:pStyle w:val="style0"/>
      </w:pPr>
      <w:r>
        <w:rPr/>
        <w:t>El análisis de datos para su posterior interpretación, se realizó a través de técnicas de tipo cualitativas y cuantitativas, es decir, un análisis interpretativo, deductivo, hecho por los investigadores de acuerdo con las respuestas dadas como resultado del cuestionario, y según los datos recabados por el mismo, en el registro de observación.</w:t>
      </w:r>
    </w:p>
    <w:p>
      <w:pPr>
        <w:pStyle w:val="style0"/>
      </w:pPr>
      <w:r>
        <w:rPr/>
      </w:r>
    </w:p>
    <w:p>
      <w:pPr>
        <w:pStyle w:val="style0"/>
      </w:pPr>
      <w:r>
        <w:rPr/>
        <w:t xml:space="preserve">Por ello, los resultados obtenidos del instrumento se organizaron en cuadros  estadísticos y apoyados en la explicación que suministran los informantes. Al respecto, Pulido (1998) citado por Hernández, Fernández y Baptista (2005): señala que la estadística descriptiva: “se encarga de recolectar, agrupar, presentar, analizar e interpretar los datos” (p. 26). </w:t>
      </w:r>
    </w:p>
    <w:p>
      <w:pPr>
        <w:pStyle w:val="style0"/>
      </w:pPr>
      <w:r>
        <w:rPr/>
      </w:r>
    </w:p>
    <w:p>
      <w:pPr>
        <w:sectPr>
          <w:headerReference r:id="rId35" w:type="default"/>
          <w:footerReference r:id="rId36" w:type="default"/>
          <w:type w:val="nextPage"/>
          <w:pgSz w:h="15840" w:w="12240"/>
          <w:pgMar w:bottom="1701" w:footer="964" w:gutter="0" w:header="964" w:left="2268" w:right="1701" w:top="2269"/>
          <w:pgNumType w:fmt="decimal"/>
          <w:formProt w:val="false"/>
          <w:textDirection w:val="lrTb"/>
          <w:docGrid w:charSpace="0" w:linePitch="360" w:type="default"/>
        </w:sectPr>
        <w:pStyle w:val="style0"/>
      </w:pPr>
      <w:r>
        <w:rPr/>
        <w:t xml:space="preserve">Por otro lado, y para su mejor comprensión, ser elaboraron gráficos circulares o de sectores, los cuales están conformados por un círculo o semicírculo dividido en sectores o tortas de amplitud en un ángulo proporcional a las categorías del fenómeno representado. Ander – Egg (1998), acota que este tipo de gráfico en forma de círculo equivale a trescientos sesenta grados (360°) de giro y a un cien por ciento (100%) en volumen. Es decir que el gráfico sectorial es aquel círculo que representa la suma porcentual del conjunto de las distribuciones de razón donde cada porción indica una razón en la serie y la suma de todas estas da como resultado el cien por ciento (100%). </w:t>
      </w:r>
    </w:p>
    <w:p>
      <w:pPr>
        <w:pStyle w:val="style56"/>
        <w:ind w:hanging="0" w:left="0" w:right="0"/>
        <w:jc w:val="both"/>
      </w:pPr>
      <w:r>
        <w:rPr/>
      </w:r>
    </w:p>
    <w:p>
      <w:pPr>
        <w:pStyle w:val="style1"/>
      </w:pPr>
      <w:bookmarkStart w:id="64" w:name="__RefHeading__4980_1544206207"/>
      <w:bookmarkStart w:id="65" w:name="_Toc432059699"/>
      <w:bookmarkEnd w:id="64"/>
      <w:bookmarkEnd w:id="65"/>
      <w:r>
        <w:rPr/>
        <w:t>CAPÍTULO IV</w:t>
      </w:r>
    </w:p>
    <w:p>
      <w:pPr>
        <w:pStyle w:val="style0"/>
      </w:pPr>
      <w:r>
        <w:rPr/>
      </w:r>
    </w:p>
    <w:p>
      <w:pPr>
        <w:pStyle w:val="style2"/>
        <w:numPr>
          <w:ilvl w:val="1"/>
          <w:numId w:val="1"/>
        </w:numPr>
        <w:jc w:val="left"/>
      </w:pPr>
      <w:bookmarkStart w:id="66" w:name="__RefHeading__4982_1544206207"/>
      <w:bookmarkStart w:id="67" w:name="_Toc432059700"/>
      <w:bookmarkEnd w:id="66"/>
      <w:bookmarkEnd w:id="67"/>
      <w:r>
        <w:rPr/>
        <w:t>Análisis e interpretación de los resultados</w:t>
      </w:r>
    </w:p>
    <w:p>
      <w:pPr>
        <w:pStyle w:val="style0"/>
        <w:ind w:firstLine="708" w:left="0" w:right="0"/>
      </w:pPr>
      <w:r>
        <w:rPr/>
      </w:r>
    </w:p>
    <w:p>
      <w:pPr>
        <w:pStyle w:val="style0"/>
        <w:ind w:firstLine="708" w:left="0" w:right="0"/>
      </w:pPr>
      <w:r>
        <w:rPr/>
        <w:t>El análisis de los resultados de una investigación facilita el conocimiento de la realidad actual de la situación objeto de estudio en base al procesamiento de los datos, lo cual resulta de suma importancia, debido a que facilita los procesos para categorizar, codificar y tabular las respuestas, como actividades que preceden al análisis propiamente dicho. De igual forma, mediante el análisis estadístico es que se infieren las relaciones entre las variables del problema planteado en torno a la los riesgos de los créditos al consumo en base a indicadores de gestión como herramienta de control en la banca privada. Por lo tanto, entre la estadística y la investigación existe una estrecha relación que está presente en todas sus fases, y sólo una vez finalizado el análisis estadístico es posible tomar decisiones en cuanto a los resultados de la investigación.</w:t>
      </w:r>
    </w:p>
    <w:p>
      <w:pPr>
        <w:pStyle w:val="style0"/>
        <w:ind w:firstLine="709" w:left="0" w:right="0"/>
      </w:pPr>
      <w:r>
        <w:rPr/>
      </w:r>
    </w:p>
    <w:p>
      <w:pPr>
        <w:pStyle w:val="style0"/>
        <w:ind w:firstLine="709" w:left="0" w:right="0"/>
      </w:pPr>
      <w:r>
        <w:rPr/>
        <w:t>En relación a esto, Busot (1985), citado por Márquez (2012:147) expresa que la estadística: “...cumple una función informativa directa de los análisis descriptivos y cumple además un papel instrumental al ser empleada en los cálculos inferenciales que permiten la comprobación de hipótesis y la descripción de valores poblacionales”. De tal manera, que a partir de los resultados obtenidos se plantean conclusiones sobre la situación actual objeto de estudio, para lo cual se toma en cuenta el contexto teórico y la experiencia de la investigadora en el área objeto de estudio, lo cual facilita el establecimiento de las variables implícitas en el tema y su análisis. A continuación se presentan los resultados de la investigación:</w:t>
      </w:r>
    </w:p>
    <w:p>
      <w:pPr>
        <w:pStyle w:val="style0"/>
        <w:ind w:firstLine="709" w:left="0" w:right="0"/>
      </w:pPr>
      <w:r>
        <w:rPr/>
      </w:r>
    </w:p>
    <w:p>
      <w:pPr>
        <w:pStyle w:val="style0"/>
      </w:pPr>
      <w:r>
        <w:rPr/>
      </w:r>
    </w:p>
    <w:p>
      <w:pPr>
        <w:pStyle w:val="style0"/>
      </w:pPr>
      <w:r>
        <w:rPr/>
        <w:t>1.- ¿Los análisis de riesgos se realizan con un procedimiento estándar?</w:t>
      </w:r>
    </w:p>
    <w:p>
      <w:pPr>
        <w:pStyle w:val="style0"/>
      </w:pPr>
      <w:r>
        <w:rPr/>
        <w:tab/>
      </w:r>
    </w:p>
    <w:p>
      <w:pPr>
        <w:pStyle w:val="style95"/>
        <w:keepNext/>
      </w:pPr>
      <w:bookmarkStart w:id="68" w:name="_Toc431897109"/>
      <w:bookmarkEnd w:id="68"/>
      <w:r>
        <w:rPr/>
        <w:t>Tabla : Los análisis de riesgos.</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67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3</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3526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7"/>
                    <a:srcRect/>
                    <a:stretch>
                      <a:fillRect/>
                    </a:stretch>
                  </pic:blipFill>
                  <pic:spPr bwMode="auto">
                    <a:xfrm>
                      <a:off x="0" y="0"/>
                      <a:ext cx="3600450" cy="2352675"/>
                    </a:xfrm>
                    <a:prstGeom prst="rect">
                      <a:avLst/>
                    </a:prstGeom>
                    <a:noFill/>
                    <a:ln w="9525">
                      <a:noFill/>
                      <a:miter lim="800000"/>
                      <a:headEnd/>
                      <a:tailEnd/>
                    </a:ln>
                  </pic:spPr>
                </pic:pic>
              </a:graphicData>
            </a:graphic>
          </wp:inline>
        </w:drawing>
      </w:r>
    </w:p>
    <w:p>
      <w:pPr>
        <w:pStyle w:val="style95"/>
      </w:pPr>
      <w:bookmarkStart w:id="69" w:name="_Toc431897352"/>
      <w:bookmarkEnd w:id="69"/>
      <w:r>
        <w:rPr/>
        <w:t>Gráfico : Los análisis de riesgos. Fuente: Instrumento de recolección de datos (2015)</w:t>
      </w:r>
    </w:p>
    <w:p>
      <w:pPr>
        <w:pStyle w:val="style4"/>
        <w:numPr>
          <w:ilvl w:val="3"/>
          <w:numId w:val="1"/>
        </w:numPr>
      </w:pPr>
      <w:r>
        <w:rPr/>
      </w:r>
    </w:p>
    <w:p>
      <w:pPr>
        <w:pStyle w:val="style4"/>
        <w:numPr>
          <w:ilvl w:val="3"/>
          <w:numId w:val="1"/>
        </w:numPr>
      </w:pPr>
      <w:r>
        <w:rPr/>
        <w:t>Análisis e interpretación:</w:t>
      </w:r>
    </w:p>
    <w:p>
      <w:pPr>
        <w:pStyle w:val="style0"/>
        <w:ind w:firstLine="709" w:left="0" w:right="0"/>
      </w:pPr>
      <w:r>
        <w:rPr/>
        <w:t xml:space="preserve">Tal como se observa en el gráfico Nº 1, el 67% de los encuestados indicó que siempre consideran que los análisis de riesgos se realizan con un procedimiento estándar, mientras que un 20% de la población encuestada considera que casi siempre y un 13% respondió que casi nunca se realizan dichos análisis. Este resultado refleja un aspecto de vital importancia para las instituciones bancarias, debido a que es evidente que los análisis de riesgos se deben llevar se cabo con un procedimiento estándar que permita establecer características y condiciones que faciliten la identificación de elementos de referencia que permitan conocer el comportamiento económico de los clientes de tarjetas de crédito, tal como plantean los autores Emery y Finnerti (2000), respecto a las funciones de la banca. </w:t>
      </w:r>
    </w:p>
    <w:p>
      <w:pPr>
        <w:pStyle w:val="style0"/>
        <w:ind w:firstLine="709" w:left="0" w:right="0"/>
      </w:pPr>
      <w:r>
        <w:rPr/>
      </w:r>
    </w:p>
    <w:p>
      <w:pPr>
        <w:pStyle w:val="style0"/>
      </w:pPr>
      <w:r>
        <w:rPr/>
        <w:t>2.- ¿Los simuladores de riesgos son revisados en función de actualizarlos?</w:t>
      </w:r>
    </w:p>
    <w:p>
      <w:pPr>
        <w:pStyle w:val="style0"/>
      </w:pPr>
      <w:r>
        <w:rPr/>
        <w:tab/>
      </w:r>
    </w:p>
    <w:p>
      <w:pPr>
        <w:pStyle w:val="style95"/>
        <w:keepNext/>
      </w:pPr>
      <w:bookmarkStart w:id="70" w:name="_Toc431897110"/>
      <w:bookmarkEnd w:id="70"/>
      <w:r>
        <w:rPr/>
        <w:t>Tabla : Los simuladores de riesgos.</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7</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47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6</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40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708" w:right="0"/>
      </w:pPr>
      <w:r>
        <w:rPr/>
        <w:t>Fuente: Instrumento de recolección de datos (2015)</w:t>
      </w:r>
    </w:p>
    <w:p>
      <w:pPr>
        <w:pStyle w:val="style0"/>
        <w:jc w:val="center"/>
      </w:pPr>
      <w:r>
        <w:rPr/>
        <w:drawing>
          <wp:inline distB="0" distL="0" distR="0" distT="0">
            <wp:extent cx="3600450" cy="2162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8"/>
                    <a:srcRect/>
                    <a:stretch>
                      <a:fillRect/>
                    </a:stretch>
                  </pic:blipFill>
                  <pic:spPr bwMode="auto">
                    <a:xfrm>
                      <a:off x="0" y="0"/>
                      <a:ext cx="3600450" cy="2162175"/>
                    </a:xfrm>
                    <a:prstGeom prst="rect">
                      <a:avLst/>
                    </a:prstGeom>
                    <a:noFill/>
                    <a:ln w="9525">
                      <a:noFill/>
                      <a:miter lim="800000"/>
                      <a:headEnd/>
                      <a:tailEnd/>
                    </a:ln>
                  </pic:spPr>
                </pic:pic>
              </a:graphicData>
            </a:graphic>
          </wp:inline>
        </w:drawing>
      </w:r>
    </w:p>
    <w:p>
      <w:pPr>
        <w:pStyle w:val="style95"/>
      </w:pPr>
      <w:r>
        <w:rPr/>
        <w:tab/>
      </w:r>
      <w:bookmarkStart w:id="71" w:name="_Toc431897353"/>
      <w:bookmarkEnd w:id="71"/>
      <w:r>
        <w:rPr/>
        <w:t>Gráfico : Los simuladores de riesgos. Fuente: Instrumento de recolección de datos, (2015)</w:t>
      </w:r>
    </w:p>
    <w:p>
      <w:pPr>
        <w:pStyle w:val="style4"/>
        <w:numPr>
          <w:ilvl w:val="3"/>
          <w:numId w:val="1"/>
        </w:numPr>
      </w:pPr>
      <w:r>
        <w:rPr/>
        <w:t>Análisis e interpretación:</w:t>
      </w:r>
    </w:p>
    <w:p>
      <w:pPr>
        <w:pStyle w:val="style0"/>
      </w:pPr>
      <w:r>
        <w:rPr/>
        <w:tab/>
        <w:t>Los resultados obtenidos reflejan que el 47% de la muestra seleccionada respondió que  los empleados siempre los simuladores de riesgos son revisados en función de actualizarlos, otro 40% de la muestra arrojó que casi siempre son actualizados y un 13% consideró que a veces se muestra esa actualización, siendo este resultado un aspecto de vital importancia para esta investigación, debido a que la tendencia de las respuestas refleja la necesaria revisión en torno a los simuladores de riesgos, con la finalidad de adecuar sus proceso al cambiante entorno económico, mediante la actualización de sus parámetros de estudio, debido al aporte que generan como base de información para la toma de decisiones ante solicitudes de instrumentos de financiamiento, tal como precisa el autor Braghan (2006), al analizar las políticas de crédito de las instituciones bancarias.</w:t>
      </w:r>
    </w:p>
    <w:p>
      <w:pPr>
        <w:pStyle w:val="style0"/>
      </w:pPr>
      <w:r>
        <w:rPr/>
      </w:r>
    </w:p>
    <w:p>
      <w:pPr>
        <w:pStyle w:val="style0"/>
      </w:pPr>
      <w:r>
        <w:rPr/>
        <w:t>3.- ¿La planificación de inversiones se realiza en función de las políticas crediticias?</w:t>
      </w:r>
    </w:p>
    <w:p>
      <w:pPr>
        <w:pStyle w:val="style0"/>
      </w:pPr>
      <w:r>
        <w:rPr/>
        <w:tab/>
      </w:r>
    </w:p>
    <w:p>
      <w:pPr>
        <w:pStyle w:val="style95"/>
        <w:keepNext/>
      </w:pPr>
      <w:bookmarkStart w:id="72" w:name="_Toc431897111"/>
      <w:bookmarkEnd w:id="72"/>
      <w:r>
        <w:rPr/>
        <w:t>Tabla : La planificación de inversiones.</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67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5</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33</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ind w:firstLine="567" w:left="709" w:right="0"/>
        <w:jc w:val="center"/>
      </w:pPr>
      <w:r>
        <w:rPr/>
        <w:drawing>
          <wp:inline distB="0" distL="0" distR="0" distT="0">
            <wp:extent cx="3600450" cy="23044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9"/>
                    <a:srcRect/>
                    <a:stretch>
                      <a:fillRect/>
                    </a:stretch>
                  </pic:blipFill>
                  <pic:spPr bwMode="auto">
                    <a:xfrm>
                      <a:off x="0" y="0"/>
                      <a:ext cx="3600450" cy="2304415"/>
                    </a:xfrm>
                    <a:prstGeom prst="rect">
                      <a:avLst/>
                    </a:prstGeom>
                    <a:noFill/>
                    <a:ln w="9525">
                      <a:noFill/>
                      <a:miter lim="800000"/>
                      <a:headEnd/>
                      <a:tailEnd/>
                    </a:ln>
                  </pic:spPr>
                </pic:pic>
              </a:graphicData>
            </a:graphic>
          </wp:inline>
        </w:drawing>
      </w:r>
    </w:p>
    <w:p>
      <w:pPr>
        <w:pStyle w:val="style95"/>
      </w:pPr>
      <w:r>
        <w:rPr>
          <w:b w:val="false"/>
        </w:rPr>
        <w:tab/>
      </w:r>
      <w:bookmarkStart w:id="73" w:name="_Toc431897354"/>
      <w:bookmarkEnd w:id="73"/>
      <w:r>
        <w:rPr/>
        <w:t>Gráfico : La planificación de inversiones. Fuente: Instrumento de recolección de datos (2015).</w:t>
      </w:r>
    </w:p>
    <w:p>
      <w:pPr>
        <w:pStyle w:val="style4"/>
        <w:numPr>
          <w:ilvl w:val="3"/>
          <w:numId w:val="1"/>
        </w:numPr>
      </w:pPr>
      <w:r>
        <w:rPr/>
        <w:t>Análisis e interpretación:</w:t>
      </w:r>
    </w:p>
    <w:p>
      <w:pPr>
        <w:pStyle w:val="style0"/>
      </w:pPr>
      <w:r>
        <w:rPr/>
        <w:tab/>
        <w:t>Como se observa en el grafico anterior, el 67% de la muestra seleccionada respondió que siempre la planificación de inversiones se realiza en función de las políticas crediticias, mientras que la opción casi siempre mostró un 33% en cuanto a esta pregunta. La proporción de las respuestas emitidas por la muestra permiten inferir que es eficiente la ejecución de la planificación de las inversiones en la institución, debido a que se fundamenta en las políticas crediticias, hecho que permite establecer un marco de comportamiento consistente en cuanto al análisis de créditos y solicitudes de financiamiento, siendo este aspecto consistente con lo expuesto por Jarillo (1995), al estudiar los aspectos financieros de las decisiones.</w:t>
      </w:r>
    </w:p>
    <w:p>
      <w:pPr>
        <w:pStyle w:val="style0"/>
      </w:pPr>
      <w:r>
        <w:rPr/>
      </w:r>
    </w:p>
    <w:p>
      <w:pPr>
        <w:pStyle w:val="style0"/>
      </w:pPr>
      <w:r>
        <w:rPr/>
        <w:t xml:space="preserve"> </w:t>
      </w:r>
      <w:r>
        <w:rPr/>
        <w:t>4.- ¿Las referencias de otras instituciones del sector son consideradas en el análisis de riesgos?</w:t>
      </w:r>
    </w:p>
    <w:p>
      <w:pPr>
        <w:pStyle w:val="style0"/>
      </w:pPr>
      <w:r>
        <w:rPr>
          <w:b/>
        </w:rPr>
        <w:tab/>
      </w:r>
    </w:p>
    <w:p>
      <w:pPr>
        <w:pStyle w:val="style95"/>
        <w:keepNext/>
      </w:pPr>
      <w:bookmarkStart w:id="74" w:name="_Toc431897112"/>
      <w:bookmarkStart w:id="75" w:name="_Toc431897112"/>
      <w:r>
        <w:rPr/>
      </w:r>
    </w:p>
    <w:p>
      <w:pPr>
        <w:pStyle w:val="style95"/>
        <w:keepNext/>
      </w:pPr>
      <w:r>
        <w:rPr/>
      </w:r>
    </w:p>
    <w:p>
      <w:pPr>
        <w:pStyle w:val="style95"/>
        <w:keepNext/>
      </w:pPr>
      <w:r>
        <w:rPr/>
      </w:r>
    </w:p>
    <w:p>
      <w:pPr>
        <w:pStyle w:val="style0"/>
      </w:pPr>
      <w:r>
        <w:rPr/>
      </w:r>
    </w:p>
    <w:p>
      <w:pPr>
        <w:pStyle w:val="style95"/>
        <w:keepNext/>
      </w:pPr>
      <w:bookmarkStart w:id="76" w:name="_Toc431897112"/>
      <w:bookmarkEnd w:id="76"/>
      <w:r>
        <w:rPr/>
        <w:t>Tabla : Las referencias de otras instituciones del sector</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11</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73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4</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27</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390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0"/>
                    <a:srcRect/>
                    <a:stretch>
                      <a:fillRect/>
                    </a:stretch>
                  </pic:blipFill>
                  <pic:spPr bwMode="auto">
                    <a:xfrm>
                      <a:off x="0" y="0"/>
                      <a:ext cx="3600450" cy="2390775"/>
                    </a:xfrm>
                    <a:prstGeom prst="rect">
                      <a:avLst/>
                    </a:prstGeom>
                    <a:noFill/>
                    <a:ln w="9525">
                      <a:noFill/>
                      <a:miter lim="800000"/>
                      <a:headEnd/>
                      <a:tailEnd/>
                    </a:ln>
                  </pic:spPr>
                </pic:pic>
              </a:graphicData>
            </a:graphic>
          </wp:inline>
        </w:drawing>
      </w:r>
    </w:p>
    <w:p>
      <w:pPr>
        <w:pStyle w:val="style95"/>
      </w:pPr>
      <w:r>
        <w:rPr/>
        <w:tab/>
      </w:r>
      <w:bookmarkStart w:id="77" w:name="_Toc431897355"/>
      <w:bookmarkEnd w:id="77"/>
      <w:r>
        <w:rPr/>
        <w:t>Gráfico : Las referencias de otras instituciones del sector. Fuente: Instrumento de recolección de datos (2015).</w:t>
      </w:r>
    </w:p>
    <w:p>
      <w:pPr>
        <w:pStyle w:val="style4"/>
        <w:numPr>
          <w:ilvl w:val="3"/>
          <w:numId w:val="1"/>
        </w:numPr>
      </w:pPr>
      <w:r>
        <w:rPr/>
      </w:r>
    </w:p>
    <w:p>
      <w:pPr>
        <w:pStyle w:val="style4"/>
        <w:numPr>
          <w:ilvl w:val="3"/>
          <w:numId w:val="1"/>
        </w:numPr>
      </w:pPr>
      <w:r>
        <w:rPr/>
        <w:t>Análisis e interpretación:</w:t>
      </w:r>
    </w:p>
    <w:p>
      <w:pPr>
        <w:pStyle w:val="style0"/>
        <w:ind w:firstLine="709" w:left="0" w:right="0"/>
      </w:pPr>
      <w:r>
        <w:rPr/>
        <w:t>El 73% de los encuestados en esta pregunta contestaron que siempre las  referencias de otras instituciones del sector son consideradas en el análisis de riesgos. Mientras un 27% mostraron que casi siempre se consideran tales referencias, siendo este resultado una clara evidencia que la institución bancaria desarrolla sus análisis de crédito en base al historial crediticio del solicitante, hecho que permite estandarizar el proceso y facilita el seguimiento de las referencias que presenta el cliente al momento de tramitar un financiamiento. Este aspecto se relaciona con las políticas que analiza el autor  Braghan (2006) en su abordaje de las operaciones de crédito en la banca.</w:t>
      </w:r>
    </w:p>
    <w:p>
      <w:pPr>
        <w:pStyle w:val="style0"/>
        <w:ind w:firstLine="709" w:left="0" w:right="0"/>
      </w:pPr>
      <w:r>
        <w:rPr/>
      </w:r>
    </w:p>
    <w:p>
      <w:pPr>
        <w:pStyle w:val="style0"/>
      </w:pPr>
      <w:r>
        <w:rPr/>
        <w:t>5.- ¿</w:t>
      </w:r>
      <w:r>
        <w:rPr>
          <w:lang w:val="es-VE"/>
        </w:rPr>
        <w:t>Las políticas internas de crédito en la institución se adecúan a la visión institucional</w:t>
      </w:r>
      <w:r>
        <w:rPr/>
        <w:t>?</w:t>
      </w:r>
    </w:p>
    <w:p>
      <w:pPr>
        <w:pStyle w:val="style0"/>
      </w:pPr>
      <w:r>
        <w:rPr/>
        <w:tab/>
      </w:r>
    </w:p>
    <w:p>
      <w:pPr>
        <w:pStyle w:val="style95"/>
        <w:keepNext/>
      </w:pPr>
      <w:bookmarkStart w:id="78" w:name="_Toc431897113"/>
      <w:r>
        <w:rPr/>
        <w:t xml:space="preserve">Tabla : </w:t>
      </w:r>
      <w:r>
        <w:rPr>
          <w:lang w:val="es-VE"/>
        </w:rPr>
        <w:t>Las políticas internas de crédito en la institución</w:t>
      </w:r>
      <w:bookmarkEnd w:id="78"/>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1050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1"/>
                    <a:srcRect/>
                    <a:stretch>
                      <a:fillRect/>
                    </a:stretch>
                  </pic:blipFill>
                  <pic:spPr bwMode="auto">
                    <a:xfrm>
                      <a:off x="0" y="0"/>
                      <a:ext cx="3600450" cy="2105025"/>
                    </a:xfrm>
                    <a:prstGeom prst="rect">
                      <a:avLst/>
                    </a:prstGeom>
                    <a:noFill/>
                    <a:ln w="9525">
                      <a:noFill/>
                      <a:miter lim="800000"/>
                      <a:headEnd/>
                      <a:tailEnd/>
                    </a:ln>
                  </pic:spPr>
                </pic:pic>
              </a:graphicData>
            </a:graphic>
          </wp:inline>
        </w:drawing>
      </w:r>
    </w:p>
    <w:p>
      <w:pPr>
        <w:pStyle w:val="style95"/>
      </w:pPr>
      <w:r>
        <w:rPr>
          <w:b w:val="false"/>
        </w:rPr>
        <w:tab/>
      </w:r>
      <w:bookmarkStart w:id="79" w:name="_Toc431897356"/>
      <w:r>
        <w:rPr/>
        <w:t xml:space="preserve">Gráfico : </w:t>
      </w:r>
      <w:r>
        <w:rPr>
          <w:lang w:val="es-VE"/>
        </w:rPr>
        <w:t>Las políticas internas de crédito en la institución</w:t>
      </w:r>
      <w:r>
        <w:rPr/>
        <w:t>.</w:t>
      </w:r>
      <w:r>
        <w:rPr>
          <w:b w:val="false"/>
        </w:rPr>
        <w:t xml:space="preserve"> </w:t>
      </w:r>
      <w:bookmarkEnd w:id="79"/>
      <w:r>
        <w:rPr/>
        <w:t>Fuente: Instrumento de recolección de datos (2015).</w:t>
      </w:r>
    </w:p>
    <w:p>
      <w:pPr>
        <w:pStyle w:val="style4"/>
        <w:numPr>
          <w:ilvl w:val="3"/>
          <w:numId w:val="1"/>
        </w:numPr>
      </w:pPr>
      <w:r>
        <w:rPr/>
        <w:t>Análisis e interpretación:</w:t>
      </w:r>
    </w:p>
    <w:p>
      <w:pPr>
        <w:pStyle w:val="style0"/>
        <w:ind w:firstLine="709" w:left="0" w:right="0"/>
      </w:pPr>
      <w:r>
        <w:rPr/>
        <w:t xml:space="preserve">Las proporciones de las respuestas emitidas por la muestra indican que el 100% respondió que siempre </w:t>
      </w:r>
      <w:r>
        <w:rPr>
          <w:lang w:val="es-VE"/>
        </w:rPr>
        <w:t>las políticas internas de crédito en la institución se adecúan a la visión institucional</w:t>
      </w:r>
      <w:r>
        <w:rPr/>
        <w:t xml:space="preserve">. Este resultado refleja una fortaleza organizacional, debido a que las políticas de crédito son la referencia básica que se considera como indicador de la estabilidad de un banco, de allí que sea intrínseca la vinculación con la visión institucional y, por tanto, sirve de mecanismo garante de las operaciones de captación y colocación de recursos económicos como función primordial del sector de la banca y otras instituciones financieras. Este aspecto es estudiado por Emery y Finnerty (2000) en el estudio de los análisis de riesgos crediticios en la banca. </w:t>
      </w:r>
    </w:p>
    <w:p>
      <w:pPr>
        <w:pStyle w:val="style0"/>
        <w:ind w:firstLine="709" w:left="0" w:right="0"/>
      </w:pPr>
      <w:r>
        <w:rPr/>
      </w:r>
    </w:p>
    <w:p>
      <w:pPr>
        <w:pStyle w:val="style0"/>
      </w:pPr>
      <w:r>
        <w:rPr/>
        <w:t xml:space="preserve"> </w:t>
      </w:r>
      <w:r>
        <w:rPr/>
        <w:t>6.- ¿La colocación de depósitos se toma como base para los planes crediticios?</w:t>
      </w:r>
    </w:p>
    <w:p>
      <w:pPr>
        <w:pStyle w:val="style0"/>
      </w:pPr>
      <w:r>
        <w:rPr>
          <w:b/>
        </w:rPr>
        <w:tab/>
      </w:r>
    </w:p>
    <w:p>
      <w:pPr>
        <w:pStyle w:val="style95"/>
        <w:keepNext/>
      </w:pPr>
      <w:bookmarkStart w:id="80" w:name="_Toc431897114"/>
      <w:bookmarkEnd w:id="80"/>
      <w:r>
        <w:rPr/>
        <w:t>Tabla : La colocación de depósitos.</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7</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47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6</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40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spacing w:after="120" w:before="0"/>
        <w:jc w:val="center"/>
      </w:pPr>
      <w:r>
        <w:rPr/>
        <w:drawing>
          <wp:inline distB="0" distL="0" distR="0" distT="0">
            <wp:extent cx="3600450" cy="21145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2"/>
                    <a:srcRect/>
                    <a:stretch>
                      <a:fillRect/>
                    </a:stretch>
                  </pic:blipFill>
                  <pic:spPr bwMode="auto">
                    <a:xfrm>
                      <a:off x="0" y="0"/>
                      <a:ext cx="3600450" cy="2114550"/>
                    </a:xfrm>
                    <a:prstGeom prst="rect">
                      <a:avLst/>
                    </a:prstGeom>
                    <a:noFill/>
                    <a:ln w="9525">
                      <a:noFill/>
                      <a:miter lim="800000"/>
                      <a:headEnd/>
                      <a:tailEnd/>
                    </a:ln>
                  </pic:spPr>
                </pic:pic>
              </a:graphicData>
            </a:graphic>
          </wp:inline>
        </w:drawing>
      </w:r>
    </w:p>
    <w:p>
      <w:pPr>
        <w:pStyle w:val="style95"/>
      </w:pPr>
      <w:r>
        <w:rPr>
          <w:b w:val="false"/>
        </w:rPr>
        <w:tab/>
      </w:r>
      <w:bookmarkStart w:id="81" w:name="_Toc431897357"/>
      <w:r>
        <w:rPr/>
        <w:t>Gráfico : La colocación de depósitos.</w:t>
      </w:r>
      <w:r>
        <w:rPr>
          <w:b w:val="false"/>
        </w:rPr>
        <w:t xml:space="preserve"> </w:t>
      </w:r>
      <w:bookmarkEnd w:id="81"/>
      <w:r>
        <w:rPr/>
        <w:t>Fuente: Instrumento de recolección de datos (2015).</w:t>
      </w:r>
    </w:p>
    <w:p>
      <w:pPr>
        <w:pStyle w:val="style4"/>
        <w:numPr>
          <w:ilvl w:val="3"/>
          <w:numId w:val="1"/>
        </w:numPr>
      </w:pPr>
      <w:r>
        <w:rPr/>
        <w:t>Análisis e interpretación:</w:t>
      </w:r>
    </w:p>
    <w:p>
      <w:pPr>
        <w:pStyle w:val="style0"/>
      </w:pPr>
      <w:r>
        <w:rPr/>
        <w:tab/>
        <w:t xml:space="preserve">De acuerdo con los resultados obtenidos a partir de la aplicación del instrumento de recolección de información y como se presenta en el gráfico Nº 6, el  47% indicó que siempre la colocación de depósitos se toma como base para los planes crediticios, con un 40% existente que muestra que casi siempre y un 13% que arroja que  a veces se toman dichas colocaciones para los planes crediticios. La proporción de las respuestas emitidas permiten inferir que la programación de los créditos a asignar se fundamenta en las colocaciones de depósitos, lo cual representa un aspecto favorable para la institución, debido a que garantiza un flujo de efectivo, tal como expone Jarillo (1995) al analizar el tema de la proyección de los estados financieros como base para la evaluación de las inversiones y operaciones de crédito. </w:t>
      </w:r>
    </w:p>
    <w:p>
      <w:pPr>
        <w:pStyle w:val="style0"/>
      </w:pPr>
      <w:r>
        <w:rPr/>
      </w:r>
    </w:p>
    <w:p>
      <w:pPr>
        <w:pStyle w:val="style0"/>
      </w:pPr>
      <w:r>
        <w:rPr/>
        <w:t>7.- ¿Los controles operativos sobre la gestión de riesgos financieros son actualizados?</w:t>
      </w:r>
    </w:p>
    <w:p>
      <w:pPr>
        <w:pStyle w:val="style0"/>
        <w:spacing w:after="120" w:before="0"/>
      </w:pPr>
      <w:r>
        <w:rPr>
          <w:b/>
        </w:rPr>
        <w:tab/>
      </w:r>
    </w:p>
    <w:p>
      <w:pPr>
        <w:pStyle w:val="style95"/>
        <w:keepNext/>
      </w:pPr>
      <w:r>
        <w:rPr/>
      </w:r>
    </w:p>
    <w:p>
      <w:pPr>
        <w:pStyle w:val="style95"/>
        <w:keepNext/>
      </w:pPr>
      <w:bookmarkStart w:id="82" w:name="_Toc431897115"/>
      <w:bookmarkEnd w:id="82"/>
      <w:r>
        <w:rPr/>
        <w:t>Tabla : Los controles operativos sobre la gestión de riesgos financieros.</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11</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73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4</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27</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162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3"/>
                    <a:srcRect/>
                    <a:stretch>
                      <a:fillRect/>
                    </a:stretch>
                  </pic:blipFill>
                  <pic:spPr bwMode="auto">
                    <a:xfrm>
                      <a:off x="0" y="0"/>
                      <a:ext cx="3600450" cy="2162175"/>
                    </a:xfrm>
                    <a:prstGeom prst="rect">
                      <a:avLst/>
                    </a:prstGeom>
                    <a:noFill/>
                    <a:ln w="9525">
                      <a:noFill/>
                      <a:miter lim="800000"/>
                      <a:headEnd/>
                      <a:tailEnd/>
                    </a:ln>
                  </pic:spPr>
                </pic:pic>
              </a:graphicData>
            </a:graphic>
          </wp:inline>
        </w:drawing>
      </w:r>
    </w:p>
    <w:p>
      <w:pPr>
        <w:pStyle w:val="style95"/>
      </w:pPr>
      <w:r>
        <w:rPr>
          <w:b w:val="false"/>
        </w:rPr>
        <w:tab/>
      </w:r>
      <w:bookmarkStart w:id="83" w:name="_Toc431897358"/>
      <w:r>
        <w:rPr/>
        <w:t>Gráfico : Los controles operativos sobre la gestión de riesgos financieros.</w:t>
      </w:r>
      <w:r>
        <w:rPr>
          <w:b w:val="false"/>
        </w:rPr>
        <w:t xml:space="preserve"> </w:t>
      </w:r>
      <w:bookmarkEnd w:id="83"/>
      <w:r>
        <w:rPr/>
        <w:t>Fuente: Instrumento de recolección de datos (2015).</w:t>
      </w:r>
    </w:p>
    <w:p>
      <w:pPr>
        <w:pStyle w:val="style4"/>
        <w:numPr>
          <w:ilvl w:val="3"/>
          <w:numId w:val="1"/>
        </w:numPr>
      </w:pPr>
      <w:r>
        <w:rPr/>
      </w:r>
    </w:p>
    <w:p>
      <w:pPr>
        <w:pStyle w:val="style4"/>
        <w:numPr>
          <w:ilvl w:val="3"/>
          <w:numId w:val="1"/>
        </w:numPr>
      </w:pPr>
      <w:r>
        <w:rPr/>
        <w:t>Análisis e interpretación:</w:t>
      </w:r>
    </w:p>
    <w:p>
      <w:pPr>
        <w:pStyle w:val="style0"/>
        <w:spacing w:after="120" w:before="0"/>
      </w:pPr>
      <w:r>
        <w:rPr/>
        <w:tab/>
        <w:t xml:space="preserve">Ante la interrogante sobre si los controles operativos sobre la gestión de riesgos financieros son actualizados, los resultados reflejan que en una totalidad de 73% de la muestra seleccionada respondió siempre y con una porción de 27% muestran que casi siempre se llevan a cabo esas funciones, lo cual refleja un aspecto favorable para la institución objeto de estudio, debido a que al actualizar los procesos administrativos inherentes al aspecto crediticio y de manera específica, los controles operativos, se esta fortaleciendo el óptimo manejo de las operaciones internas y el control de gestión de riesgos, como base del éxito de las colocaciones de fondos con fines de capitalización, como principal función del sistema bancario. </w:t>
      </w:r>
      <w:r>
        <w:rPr>
          <w:color w:val="000000"/>
        </w:rPr>
        <w:t>Ordoñez (2004).</w:t>
      </w:r>
    </w:p>
    <w:p>
      <w:pPr>
        <w:pStyle w:val="style0"/>
        <w:spacing w:after="120" w:before="0"/>
      </w:pPr>
      <w:r>
        <w:rPr/>
      </w:r>
    </w:p>
    <w:p>
      <w:pPr>
        <w:pStyle w:val="style0"/>
      </w:pPr>
      <w:r>
        <w:rPr/>
        <w:t>8.- ¿</w:t>
      </w:r>
      <w:r>
        <w:rPr>
          <w:lang w:val="es-VE"/>
        </w:rPr>
        <w:t xml:space="preserve">Las políticas y directrices sobre las </w:t>
      </w:r>
      <w:r>
        <w:rPr/>
        <w:t>operaciones de intermediación financiera son del dominio del personal?</w:t>
      </w:r>
    </w:p>
    <w:p>
      <w:pPr>
        <w:pStyle w:val="style0"/>
      </w:pPr>
      <w:r>
        <w:rPr/>
      </w:r>
    </w:p>
    <w:p>
      <w:pPr>
        <w:pStyle w:val="style0"/>
      </w:pPr>
      <w:r>
        <w:rPr>
          <w:b/>
        </w:rPr>
        <w:tab/>
      </w:r>
    </w:p>
    <w:p>
      <w:pPr>
        <w:pStyle w:val="style95"/>
        <w:keepNext/>
      </w:pPr>
      <w:bookmarkStart w:id="84" w:name="_Toc431897116"/>
      <w:r>
        <w:rPr/>
        <w:t xml:space="preserve">Tabla : </w:t>
      </w:r>
      <w:r>
        <w:rPr>
          <w:lang w:val="es-VE"/>
        </w:rPr>
        <w:t xml:space="preserve">Las políticas y directrices sobre las </w:t>
      </w:r>
      <w:bookmarkEnd w:id="84"/>
      <w:r>
        <w:rPr/>
        <w:t>operaciones de intermediación financiera.</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11</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73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4</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27</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162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4"/>
                    <a:srcRect/>
                    <a:stretch>
                      <a:fillRect/>
                    </a:stretch>
                  </pic:blipFill>
                  <pic:spPr bwMode="auto">
                    <a:xfrm>
                      <a:off x="0" y="0"/>
                      <a:ext cx="3600450" cy="2162175"/>
                    </a:xfrm>
                    <a:prstGeom prst="rect">
                      <a:avLst/>
                    </a:prstGeom>
                    <a:noFill/>
                    <a:ln w="9525">
                      <a:noFill/>
                      <a:miter lim="800000"/>
                      <a:headEnd/>
                      <a:tailEnd/>
                    </a:ln>
                  </pic:spPr>
                </pic:pic>
              </a:graphicData>
            </a:graphic>
          </wp:inline>
        </w:drawing>
      </w:r>
    </w:p>
    <w:p>
      <w:pPr>
        <w:pStyle w:val="style95"/>
      </w:pPr>
      <w:r>
        <w:rPr>
          <w:b w:val="false"/>
        </w:rPr>
        <w:tab/>
      </w:r>
      <w:bookmarkStart w:id="85" w:name="_Toc431897359"/>
      <w:r>
        <w:rPr/>
        <w:t xml:space="preserve">Gráfico : </w:t>
      </w:r>
      <w:r>
        <w:rPr>
          <w:lang w:val="es-VE"/>
        </w:rPr>
        <w:t xml:space="preserve">Las políticas y directrices sobre las </w:t>
      </w:r>
      <w:r>
        <w:rPr/>
        <w:t>operaciones de intermediación financiera.</w:t>
      </w:r>
      <w:r>
        <w:rPr>
          <w:b w:val="false"/>
        </w:rPr>
        <w:t xml:space="preserve"> </w:t>
      </w:r>
      <w:bookmarkEnd w:id="85"/>
      <w:r>
        <w:rPr/>
        <w:t>Fuente: Instrumento de recolección de datos (2015).</w:t>
      </w:r>
    </w:p>
    <w:p>
      <w:pPr>
        <w:pStyle w:val="style4"/>
        <w:numPr>
          <w:ilvl w:val="3"/>
          <w:numId w:val="1"/>
        </w:numPr>
      </w:pPr>
      <w:r>
        <w:rPr/>
        <w:t>Análisis e interpretación:</w:t>
      </w:r>
    </w:p>
    <w:p>
      <w:pPr>
        <w:pStyle w:val="style0"/>
      </w:pPr>
      <w:r>
        <w:rPr/>
        <w:tab/>
        <w:t xml:space="preserve">Como se observa en el gráfico 8, el 73% de la muestra de los encuestados considera que siempre </w:t>
      </w:r>
      <w:r>
        <w:rPr>
          <w:lang w:val="es-VE"/>
        </w:rPr>
        <w:t xml:space="preserve">las políticas y directrices sobre las </w:t>
      </w:r>
      <w:r>
        <w:rPr/>
        <w:t>operaciones de intermediación financiera son del dominio del personal, así como también se muestra un 27% de la población que considera que casi siempre, lo cual representa un aspecto positivo de la institución, debido a que la principal función de la banca es la intermediación, de allí que si las políticas y directrices son del dominio del personal, se estaría cumpliendo cabalmente con las funciones y responsabilidades asignadas, lo cual proyecta la eficiencia operativa de la institución. Otero (2008).</w:t>
      </w:r>
    </w:p>
    <w:p>
      <w:pPr>
        <w:pStyle w:val="style0"/>
      </w:pPr>
      <w:r>
        <w:rPr/>
        <w:t>9.- ¿</w:t>
      </w:r>
      <w:r>
        <w:rPr>
          <w:lang w:val="es-VE"/>
        </w:rPr>
        <w:t>Los sistemas, normas y procedimientos son evaluados periódicamente</w:t>
      </w:r>
      <w:r>
        <w:rPr/>
        <w:t>?</w:t>
      </w:r>
    </w:p>
    <w:p>
      <w:pPr>
        <w:pStyle w:val="style0"/>
        <w:spacing w:after="120" w:before="0"/>
      </w:pPr>
      <w:r>
        <w:rPr>
          <w:b/>
        </w:rPr>
        <w:tab/>
      </w:r>
    </w:p>
    <w:p>
      <w:pPr>
        <w:pStyle w:val="style95"/>
        <w:keepNext/>
      </w:pPr>
      <w:bookmarkStart w:id="86" w:name="_Toc431897117"/>
      <w:r>
        <w:rPr/>
        <w:t xml:space="preserve">Tabla : </w:t>
      </w:r>
      <w:r>
        <w:rPr>
          <w:lang w:val="es-VE"/>
        </w:rPr>
        <w:t>Los sistemas, normas y procedimientos</w:t>
      </w:r>
      <w:bookmarkEnd w:id="86"/>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67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3</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162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5"/>
                    <a:srcRect/>
                    <a:stretch>
                      <a:fillRect/>
                    </a:stretch>
                  </pic:blipFill>
                  <pic:spPr bwMode="auto">
                    <a:xfrm>
                      <a:off x="0" y="0"/>
                      <a:ext cx="3600450" cy="2162175"/>
                    </a:xfrm>
                    <a:prstGeom prst="rect">
                      <a:avLst/>
                    </a:prstGeom>
                    <a:noFill/>
                    <a:ln w="9525">
                      <a:noFill/>
                      <a:miter lim="800000"/>
                      <a:headEnd/>
                      <a:tailEnd/>
                    </a:ln>
                  </pic:spPr>
                </pic:pic>
              </a:graphicData>
            </a:graphic>
          </wp:inline>
        </w:drawing>
      </w:r>
    </w:p>
    <w:p>
      <w:pPr>
        <w:pStyle w:val="style95"/>
      </w:pPr>
      <w:r>
        <w:rPr>
          <w:b w:val="false"/>
        </w:rPr>
        <w:tab/>
      </w:r>
      <w:bookmarkStart w:id="87" w:name="_Toc431897360"/>
      <w:r>
        <w:rPr/>
        <w:t>Gráfico : Los procesos comunicacionales internos.</w:t>
      </w:r>
      <w:r>
        <w:rPr>
          <w:b w:val="false"/>
        </w:rPr>
        <w:t xml:space="preserve"> </w:t>
      </w:r>
      <w:bookmarkEnd w:id="87"/>
      <w:r>
        <w:rPr/>
        <w:t>Fuente: Instrumento de recolección de datos (2015).</w:t>
      </w:r>
    </w:p>
    <w:p>
      <w:pPr>
        <w:pStyle w:val="style4"/>
        <w:numPr>
          <w:ilvl w:val="3"/>
          <w:numId w:val="1"/>
        </w:numPr>
      </w:pPr>
      <w:r>
        <w:rPr/>
      </w:r>
    </w:p>
    <w:p>
      <w:pPr>
        <w:pStyle w:val="style4"/>
        <w:numPr>
          <w:ilvl w:val="3"/>
          <w:numId w:val="1"/>
        </w:numPr>
      </w:pPr>
      <w:r>
        <w:rPr/>
        <w:t>Análisis e interpretación:</w:t>
      </w:r>
    </w:p>
    <w:p>
      <w:pPr>
        <w:pStyle w:val="style0"/>
      </w:pPr>
      <w:r>
        <w:rPr/>
        <w:tab/>
        <w:t>Como se presenta en el gráfico Nº 9, el 67% de los encuestados respondió que l</w:t>
      </w:r>
      <w:r>
        <w:rPr>
          <w:lang w:val="es-VE"/>
        </w:rPr>
        <w:t xml:space="preserve">os sistemas, normas y procedimientos </w:t>
      </w:r>
      <w:r>
        <w:rPr/>
        <w:t xml:space="preserve">siempre </w:t>
      </w:r>
      <w:r>
        <w:rPr>
          <w:lang w:val="es-VE"/>
        </w:rPr>
        <w:t>son evaluados periódicamente, m</w:t>
      </w:r>
      <w:r>
        <w:rPr/>
        <w:t>ientras un 20% considera que casi siempre se evalúan dichos procesos, y un 13% dijeron que a veces. Este resultado refleja un aspecto a considerar en esta investigación, debido a que la tendencia de las respuestas obtenidas permite inferir que se debe tomar en consideración la revisión periódica de las normas y procedimientos, debido a que los mismos garantizan  que las operaciones se llevan a cabo de acuerdo con los objetivos institucionales, razón por la cual se recomienda la efectiva revisión de las normas y procedimientos en la institución con la finalidad de precisar fallas o deficiencias para solventarlas.</w:t>
      </w:r>
    </w:p>
    <w:p>
      <w:pPr>
        <w:pStyle w:val="style0"/>
      </w:pPr>
      <w:r>
        <w:rPr/>
      </w:r>
    </w:p>
    <w:p>
      <w:pPr>
        <w:pStyle w:val="style0"/>
      </w:pPr>
      <w:r>
        <w:rPr/>
        <w:t>10.- ¿</w:t>
      </w:r>
      <w:r>
        <w:rPr>
          <w:lang w:val="es-VE"/>
        </w:rPr>
        <w:t>Los índices financieros son considerados en el análisis de riesgos de créditos al consumo</w:t>
      </w:r>
      <w:r>
        <w:rPr/>
        <w:t>?</w:t>
      </w:r>
    </w:p>
    <w:p>
      <w:pPr>
        <w:pStyle w:val="style0"/>
      </w:pPr>
      <w:r>
        <w:rPr/>
        <w:tab/>
      </w:r>
    </w:p>
    <w:p>
      <w:pPr>
        <w:pStyle w:val="style95"/>
        <w:keepNext/>
      </w:pPr>
      <w:bookmarkStart w:id="88" w:name="_Toc431897118"/>
      <w:r>
        <w:rPr/>
        <w:t xml:space="preserve">Tabla : </w:t>
      </w:r>
      <w:r>
        <w:rPr>
          <w:lang w:val="es-VE"/>
        </w:rPr>
        <w:t>Los índices financieros</w:t>
      </w:r>
      <w:bookmarkEnd w:id="88"/>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7</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47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6</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40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3336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6"/>
                    <a:srcRect/>
                    <a:stretch>
                      <a:fillRect/>
                    </a:stretch>
                  </pic:blipFill>
                  <pic:spPr bwMode="auto">
                    <a:xfrm>
                      <a:off x="0" y="0"/>
                      <a:ext cx="3600450" cy="2333625"/>
                    </a:xfrm>
                    <a:prstGeom prst="rect">
                      <a:avLst/>
                    </a:prstGeom>
                    <a:noFill/>
                    <a:ln w="9525">
                      <a:noFill/>
                      <a:miter lim="800000"/>
                      <a:headEnd/>
                      <a:tailEnd/>
                    </a:ln>
                  </pic:spPr>
                </pic:pic>
              </a:graphicData>
            </a:graphic>
          </wp:inline>
        </w:drawing>
      </w:r>
    </w:p>
    <w:p>
      <w:pPr>
        <w:pStyle w:val="style95"/>
      </w:pPr>
      <w:bookmarkStart w:id="89" w:name="_Toc431897361"/>
      <w:r>
        <w:rPr/>
        <w:t xml:space="preserve">Gráfico : </w:t>
      </w:r>
      <w:r>
        <w:rPr>
          <w:lang w:val="es-VE"/>
        </w:rPr>
        <w:t>Los índices financieros</w:t>
      </w:r>
      <w:bookmarkEnd w:id="89"/>
      <w:r>
        <w:rPr/>
        <w:t>. Fuente: Instrumento de recolección de datos (2015).</w:t>
      </w:r>
    </w:p>
    <w:p>
      <w:pPr>
        <w:pStyle w:val="style4"/>
        <w:numPr>
          <w:ilvl w:val="3"/>
          <w:numId w:val="1"/>
        </w:numPr>
      </w:pPr>
      <w:r>
        <w:rPr/>
        <w:t>Análisis e interpretación:</w:t>
      </w:r>
    </w:p>
    <w:p>
      <w:pPr>
        <w:pStyle w:val="style0"/>
      </w:pPr>
      <w:r>
        <w:rPr/>
        <w:tab/>
        <w:t xml:space="preserve">Los resultados de la aplicación del instrumento reflejan que el 47% de la muestra seleccionada respondió que siempre </w:t>
      </w:r>
      <w:r>
        <w:rPr>
          <w:lang w:val="es-VE"/>
        </w:rPr>
        <w:t>los índices financieros son considerados en el análisis de riesgos de créditos al consumo</w:t>
      </w:r>
      <w:r>
        <w:rPr/>
        <w:t xml:space="preserve">. También se mostraron resultados como casi siempre con un 40%, y con un 13% la opción de a veces. En función de los resultados obtenidos, se puede inferir que el uso de los indicadores de gestión muestra una tendencia a no ser considerados efectivamente o en la proporción más apropiada, en virtud de su precisión para suministrar una referencia en torno al comportamiento de un cliente de crédito al consumo, tal como expone el autor Lama (2011).   </w:t>
      </w:r>
    </w:p>
    <w:p>
      <w:pPr>
        <w:pStyle w:val="style0"/>
      </w:pPr>
      <w:r>
        <w:rPr/>
      </w:r>
    </w:p>
    <w:p>
      <w:pPr>
        <w:pStyle w:val="style0"/>
      </w:pPr>
      <w:r>
        <w:rPr/>
        <w:t>11.- ¿</w:t>
      </w:r>
      <w:r>
        <w:rPr>
          <w:lang w:val="es-VE"/>
        </w:rPr>
        <w:t>La toma de decisiones de inversión de capitales en la institución se coordinan operativamente</w:t>
      </w:r>
      <w:r>
        <w:rPr/>
        <w:t>?</w:t>
      </w:r>
    </w:p>
    <w:p>
      <w:pPr>
        <w:pStyle w:val="style0"/>
      </w:pPr>
      <w:r>
        <w:rPr>
          <w:b/>
        </w:rPr>
        <w:tab/>
      </w:r>
    </w:p>
    <w:p>
      <w:pPr>
        <w:pStyle w:val="style95"/>
        <w:keepNext/>
      </w:pPr>
      <w:bookmarkStart w:id="90" w:name="_Toc431897119"/>
      <w:r>
        <w:rPr/>
        <w:t xml:space="preserve">Tabla : </w:t>
      </w:r>
      <w:r>
        <w:rPr>
          <w:lang w:val="es-VE"/>
        </w:rPr>
        <w:t>La toma de decisiones de inversión de capitales</w:t>
      </w:r>
      <w:bookmarkEnd w:id="90"/>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11</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73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4</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27</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3717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7"/>
                    <a:srcRect/>
                    <a:stretch>
                      <a:fillRect/>
                    </a:stretch>
                  </pic:blipFill>
                  <pic:spPr bwMode="auto">
                    <a:xfrm>
                      <a:off x="0" y="0"/>
                      <a:ext cx="3600450" cy="2371725"/>
                    </a:xfrm>
                    <a:prstGeom prst="rect">
                      <a:avLst/>
                    </a:prstGeom>
                    <a:noFill/>
                    <a:ln w="9525">
                      <a:noFill/>
                      <a:miter lim="800000"/>
                      <a:headEnd/>
                      <a:tailEnd/>
                    </a:ln>
                  </pic:spPr>
                </pic:pic>
              </a:graphicData>
            </a:graphic>
          </wp:inline>
        </w:drawing>
      </w:r>
    </w:p>
    <w:p>
      <w:pPr>
        <w:pStyle w:val="style95"/>
      </w:pPr>
      <w:r>
        <w:rPr>
          <w:b w:val="false"/>
        </w:rPr>
        <w:tab/>
      </w:r>
      <w:bookmarkStart w:id="91" w:name="_Toc431897362"/>
      <w:r>
        <w:rPr/>
        <w:t xml:space="preserve">Gráfico : </w:t>
      </w:r>
      <w:r>
        <w:rPr>
          <w:lang w:val="es-VE"/>
        </w:rPr>
        <w:t>La toma de decisiones de inversión de capitales</w:t>
      </w:r>
      <w:r>
        <w:rPr/>
        <w:t>.</w:t>
      </w:r>
      <w:r>
        <w:rPr>
          <w:b w:val="false"/>
        </w:rPr>
        <w:t xml:space="preserve"> </w:t>
      </w:r>
      <w:bookmarkEnd w:id="91"/>
      <w:r>
        <w:rPr/>
        <w:t>Fuente: Instrumento de recolección de datos (2015).</w:t>
      </w:r>
    </w:p>
    <w:p>
      <w:pPr>
        <w:pStyle w:val="style4"/>
        <w:numPr>
          <w:ilvl w:val="3"/>
          <w:numId w:val="1"/>
        </w:numPr>
      </w:pPr>
      <w:r>
        <w:rPr/>
        <w:t>Análisis e interpretación:</w:t>
      </w:r>
    </w:p>
    <w:p>
      <w:pPr>
        <w:pStyle w:val="style0"/>
        <w:ind w:firstLine="708" w:left="0" w:right="0"/>
      </w:pPr>
      <w:r>
        <w:rPr/>
        <w:t xml:space="preserve">Como se observa en el gráfico N° 11, de la totalidad de la muestra del estudio, el 73% respondió que siempre y otra con 27% con casi siempre, la </w:t>
      </w:r>
      <w:r>
        <w:rPr>
          <w:lang w:val="es-VE"/>
        </w:rPr>
        <w:t>toma decisiones de inversión de capitales en la institución se coordinan operativamente</w:t>
      </w:r>
      <w:r>
        <w:rPr/>
        <w:t>. Este aspecto es un factor de alta relevancia para esta investigación, debido a que la coordinación de tipo operativa representa un elemento clave para la intermediación financiera, así como para las operaciones de crédito que desarrolla la institución bancaria para dar respuesta a sus transacciones en función de alcanzar los objetivos propuestos en la planificación estratégica, como parte de lo expuesto por Serrano y Villarreal (2003).</w:t>
      </w:r>
    </w:p>
    <w:p>
      <w:pPr>
        <w:pStyle w:val="style0"/>
        <w:ind w:firstLine="708" w:left="0" w:right="0"/>
      </w:pPr>
      <w:r>
        <w:rPr/>
      </w:r>
    </w:p>
    <w:p>
      <w:pPr>
        <w:pStyle w:val="style0"/>
      </w:pPr>
      <w:r>
        <w:rPr/>
        <w:t>12.- ¿</w:t>
      </w:r>
      <w:r>
        <w:rPr>
          <w:lang w:val="es-VE"/>
        </w:rPr>
        <w:t>Las referencias comerciales son analizadas en la evaluación crediticia del cliente</w:t>
      </w:r>
      <w:r>
        <w:rPr/>
        <w:t>?</w:t>
      </w:r>
    </w:p>
    <w:p>
      <w:pPr>
        <w:pStyle w:val="style0"/>
      </w:pPr>
      <w:r>
        <w:rPr/>
      </w:r>
    </w:p>
    <w:p>
      <w:pPr>
        <w:pStyle w:val="style0"/>
      </w:pPr>
      <w:r>
        <w:rPr/>
      </w:r>
    </w:p>
    <w:p>
      <w:pPr>
        <w:pStyle w:val="style0"/>
      </w:pPr>
      <w:r>
        <w:rPr/>
      </w:r>
    </w:p>
    <w:p>
      <w:pPr>
        <w:pStyle w:val="style0"/>
      </w:pPr>
      <w:r>
        <w:rPr>
          <w:b/>
        </w:rPr>
        <w:tab/>
      </w:r>
    </w:p>
    <w:p>
      <w:pPr>
        <w:pStyle w:val="style95"/>
        <w:keepNext/>
      </w:pPr>
      <w:bookmarkStart w:id="92" w:name="_Toc431897120"/>
      <w:r>
        <w:rPr/>
        <w:t xml:space="preserve">Tabla : </w:t>
      </w:r>
      <w:r>
        <w:rPr>
          <w:lang w:val="es-VE"/>
        </w:rPr>
        <w:t>Las referencias comerciales</w:t>
      </w:r>
      <w:bookmarkEnd w:id="92"/>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67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3</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2860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8"/>
                    <a:srcRect/>
                    <a:stretch>
                      <a:fillRect/>
                    </a:stretch>
                  </pic:blipFill>
                  <pic:spPr bwMode="auto">
                    <a:xfrm>
                      <a:off x="0" y="0"/>
                      <a:ext cx="3600450" cy="2286000"/>
                    </a:xfrm>
                    <a:prstGeom prst="rect">
                      <a:avLst/>
                    </a:prstGeom>
                    <a:noFill/>
                    <a:ln w="9525">
                      <a:noFill/>
                      <a:miter lim="800000"/>
                      <a:headEnd/>
                      <a:tailEnd/>
                    </a:ln>
                  </pic:spPr>
                </pic:pic>
              </a:graphicData>
            </a:graphic>
          </wp:inline>
        </w:drawing>
      </w:r>
    </w:p>
    <w:p>
      <w:pPr>
        <w:pStyle w:val="style95"/>
      </w:pPr>
      <w:r>
        <w:rPr>
          <w:b w:val="false"/>
        </w:rPr>
        <w:tab/>
      </w:r>
      <w:bookmarkStart w:id="93" w:name="_Toc431897363"/>
      <w:r>
        <w:rPr/>
        <w:t xml:space="preserve">Gráfico : </w:t>
      </w:r>
      <w:r>
        <w:rPr>
          <w:lang w:val="es-VE"/>
        </w:rPr>
        <w:t>Las referencias comerciales</w:t>
      </w:r>
      <w:bookmarkEnd w:id="93"/>
      <w:r>
        <w:rPr/>
        <w:t>. Fuente: Instrumento de recolección de datos (2015).</w:t>
      </w:r>
    </w:p>
    <w:p>
      <w:pPr>
        <w:pStyle w:val="style4"/>
        <w:numPr>
          <w:ilvl w:val="3"/>
          <w:numId w:val="1"/>
        </w:numPr>
      </w:pPr>
      <w:r>
        <w:rPr/>
      </w:r>
    </w:p>
    <w:p>
      <w:pPr>
        <w:pStyle w:val="style4"/>
        <w:numPr>
          <w:ilvl w:val="3"/>
          <w:numId w:val="1"/>
        </w:numPr>
      </w:pPr>
      <w:r>
        <w:rPr/>
        <w:t>Análisis e interpretación:</w:t>
      </w:r>
    </w:p>
    <w:p>
      <w:pPr>
        <w:pStyle w:val="style0"/>
      </w:pPr>
      <w:r>
        <w:rPr/>
        <w:tab/>
        <w:t xml:space="preserve">De acuerdo con los resultados obtenidos, el 67% de la muestra seleccionada respondió que siempre </w:t>
      </w:r>
      <w:r>
        <w:rPr>
          <w:lang w:val="es-VE"/>
        </w:rPr>
        <w:t>las referencias comerciales son analizadas en la evaluación crediticia del cliente</w:t>
      </w:r>
      <w:r>
        <w:rPr/>
        <w:t xml:space="preserve">, mientras que el 20% restante dijo que casi siempre lo considera, y un 13% a veces, lo cual refleja que las referencias representan un factor clave en la evaluación de los créditos dentro de la institución, hecho que permite inferir que uno de los indicadores de estabilidad en las operaciones económicas y financieras de los clientes de créditos al consumo, son precisamente las referencias, razón por la cual se debe fortalecer su consideración a nivel institucional y garantizar su optimización.   </w:t>
      </w:r>
    </w:p>
    <w:p>
      <w:pPr>
        <w:pStyle w:val="style0"/>
      </w:pPr>
      <w:r>
        <w:rPr/>
      </w:r>
    </w:p>
    <w:p>
      <w:pPr>
        <w:pStyle w:val="style0"/>
      </w:pPr>
      <w:r>
        <w:rPr/>
        <w:t xml:space="preserve"> </w:t>
      </w:r>
      <w:r>
        <w:rPr/>
        <w:t>13.- ¿</w:t>
      </w:r>
      <w:r>
        <w:rPr>
          <w:lang w:val="es-VE"/>
        </w:rPr>
        <w:t>Las simulaciones de flujo de caja del cliente son considerados por la entidad</w:t>
      </w:r>
      <w:r>
        <w:rPr/>
        <w:t>?</w:t>
      </w:r>
    </w:p>
    <w:p>
      <w:pPr>
        <w:pStyle w:val="style0"/>
        <w:spacing w:after="120" w:before="0"/>
      </w:pPr>
      <w:r>
        <w:rPr/>
        <w:tab/>
      </w:r>
    </w:p>
    <w:p>
      <w:pPr>
        <w:pStyle w:val="style95"/>
        <w:keepNext/>
      </w:pPr>
      <w:bookmarkStart w:id="94" w:name="_Toc431897121"/>
      <w:r>
        <w:rPr/>
        <w:t xml:space="preserve">Tabla : </w:t>
      </w:r>
      <w:r>
        <w:rPr>
          <w:lang w:val="es-VE"/>
        </w:rPr>
        <w:t>Las simulaciones de flujo de caja</w:t>
      </w:r>
      <w:bookmarkEnd w:id="94"/>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7</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50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6</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30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20</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0" w:right="0"/>
      </w:pPr>
      <w:r>
        <w:rPr/>
        <w:t>Fuente: Instrumento de recolección de datos (2015)</w:t>
      </w:r>
    </w:p>
    <w:p>
      <w:pPr>
        <w:pStyle w:val="style0"/>
        <w:ind w:firstLine="708" w:left="0" w:right="0"/>
      </w:pPr>
      <w:r>
        <w:rPr/>
        <w:drawing>
          <wp:anchor allowOverlap="1" behindDoc="0" distB="0" distL="0" distR="0" distT="0" layoutInCell="1" locked="0" relativeHeight="0" simplePos="0">
            <wp:simplePos x="0" y="0"/>
            <wp:positionH relativeFrom="character">
              <wp:posOffset>680085</wp:posOffset>
            </wp:positionH>
            <wp:positionV relativeFrom="line">
              <wp:posOffset>60960</wp:posOffset>
            </wp:positionV>
            <wp:extent cx="3846195" cy="237998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9"/>
                    <a:srcRect/>
                    <a:stretch>
                      <a:fillRect/>
                    </a:stretch>
                  </pic:blipFill>
                  <pic:spPr bwMode="auto">
                    <a:xfrm>
                      <a:off x="0" y="0"/>
                      <a:ext cx="3846195" cy="2379980"/>
                    </a:xfrm>
                    <a:prstGeom prst="rect">
                      <a:avLst/>
                    </a:prstGeom>
                    <a:noFill/>
                    <a:ln w="9525">
                      <a:noFill/>
                      <a:miter lim="800000"/>
                      <a:headEnd/>
                      <a:tailEnd/>
                    </a:ln>
                  </pic:spPr>
                </pic:pic>
              </a:graphicData>
            </a:graphic>
          </wp:anchor>
        </w:drawing>
      </w:r>
    </w:p>
    <w:p>
      <w:pPr>
        <w:pStyle w:val="style0"/>
        <w:jc w:val="center"/>
      </w:pPr>
      <w:r>
        <w:rPr/>
      </w:r>
    </w:p>
    <w:p>
      <w:pPr>
        <w:pStyle w:val="style95"/>
      </w:pPr>
      <w:r>
        <w:rPr>
          <w:b w:val="false"/>
        </w:rPr>
      </w:r>
    </w:p>
    <w:p>
      <w:pPr>
        <w:pStyle w:val="style95"/>
      </w:pPr>
      <w:r>
        <w:rPr>
          <w:b w:val="false"/>
        </w:rPr>
      </w:r>
    </w:p>
    <w:p>
      <w:pPr>
        <w:pStyle w:val="style95"/>
      </w:pPr>
      <w:r>
        <w:rPr>
          <w:b w:val="false"/>
        </w:rPr>
      </w:r>
    </w:p>
    <w:p>
      <w:pPr>
        <w:pStyle w:val="style95"/>
      </w:pPr>
      <w:r>
        <w:rPr>
          <w:b w:val="false"/>
        </w:rPr>
      </w:r>
    </w:p>
    <w:p>
      <w:pPr>
        <w:pStyle w:val="style95"/>
      </w:pPr>
      <w:r>
        <w:rPr>
          <w:b w:val="false"/>
        </w:rPr>
      </w:r>
    </w:p>
    <w:p>
      <w:pPr>
        <w:pStyle w:val="style95"/>
      </w:pPr>
      <w:r>
        <w:rPr>
          <w:b w:val="false"/>
        </w:rPr>
      </w:r>
    </w:p>
    <w:p>
      <w:pPr>
        <w:pStyle w:val="style95"/>
      </w:pPr>
      <w:r>
        <w:rPr>
          <w:b w:val="false"/>
        </w:rPr>
      </w:r>
    </w:p>
    <w:p>
      <w:pPr>
        <w:pStyle w:val="style95"/>
      </w:pPr>
      <w:r>
        <w:rPr>
          <w:b w:val="false"/>
        </w:rPr>
      </w:r>
    </w:p>
    <w:p>
      <w:pPr>
        <w:pStyle w:val="style95"/>
      </w:pPr>
      <w:r>
        <w:rPr>
          <w:b w:val="false"/>
        </w:rPr>
      </w:r>
    </w:p>
    <w:p>
      <w:pPr>
        <w:pStyle w:val="style95"/>
      </w:pPr>
      <w:r>
        <w:rPr>
          <w:b w:val="false"/>
        </w:rPr>
        <w:tab/>
      </w:r>
      <w:bookmarkStart w:id="95" w:name="_Toc431897364"/>
      <w:r>
        <w:rPr/>
        <w:t xml:space="preserve">Gráfico : </w:t>
      </w:r>
      <w:r>
        <w:rPr>
          <w:lang w:val="es-VE"/>
        </w:rPr>
        <w:t>Las simulaciones de flujo de caja</w:t>
      </w:r>
      <w:r>
        <w:rPr/>
        <w:t>.</w:t>
      </w:r>
      <w:r>
        <w:rPr>
          <w:b w:val="false"/>
        </w:rPr>
        <w:t xml:space="preserve"> </w:t>
      </w:r>
      <w:bookmarkEnd w:id="95"/>
      <w:r>
        <w:rPr/>
        <w:t>Fuente: Instrumento de recolección de datos (2015).</w:t>
      </w:r>
    </w:p>
    <w:p>
      <w:pPr>
        <w:pStyle w:val="style4"/>
        <w:numPr>
          <w:ilvl w:val="3"/>
          <w:numId w:val="1"/>
        </w:numPr>
      </w:pPr>
      <w:r>
        <w:rPr/>
        <w:t>Análisis e interpretación:</w:t>
      </w:r>
    </w:p>
    <w:p>
      <w:pPr>
        <w:pStyle w:val="style0"/>
      </w:pPr>
      <w:r>
        <w:rPr/>
        <w:tab/>
        <w:t>En función de los resultados obtenidos de la aplicación del instrumento de recolección de información y como lo presenta el gráfico Nº 13, el 47% de la muestra indicó que siempre</w:t>
      </w:r>
      <w:r>
        <w:rPr>
          <w:lang w:val="es-VE"/>
        </w:rPr>
        <w:t xml:space="preserve"> las simulaciones de flujo de caja del cliente son considerados por la entidad, mientras que </w:t>
      </w:r>
      <w:r>
        <w:rPr/>
        <w:t>40% respondió casi siempre y un 13% que arroja que  A veces se toman dichas simulaciones. Este resultado refleja una debilidad de la institución, debido a que los flujos de caja deben ser uno de los principales indicadores a la hora de evaluar su historial crediticio para la aprobación de una solicitud de financiamiento, de allí que el uso de simulaciones es un mecanismo que permite garantizar la efectividad del análisis de crédito. Braghan (2006).</w:t>
      </w:r>
    </w:p>
    <w:p>
      <w:pPr>
        <w:pStyle w:val="style0"/>
      </w:pPr>
      <w:r>
        <w:rPr/>
      </w:r>
    </w:p>
    <w:p>
      <w:pPr>
        <w:pStyle w:val="style0"/>
      </w:pPr>
      <w:r>
        <w:rPr/>
        <w:t>14.- ¿</w:t>
      </w:r>
      <w:r>
        <w:rPr>
          <w:lang w:val="es-VE"/>
        </w:rPr>
        <w:t>Los indicadores financieros del cliente de crédito al consumo son considerados en el banco</w:t>
      </w:r>
      <w:r>
        <w:rPr/>
        <w:t>?</w:t>
      </w:r>
    </w:p>
    <w:p>
      <w:pPr>
        <w:pStyle w:val="style95"/>
      </w:pPr>
      <w:r>
        <w:rPr/>
        <w:tab/>
      </w:r>
      <w:bookmarkStart w:id="96" w:name="_Toc431897122"/>
      <w:r>
        <w:rPr/>
        <w:t xml:space="preserve">Tabla : </w:t>
      </w:r>
      <w:r>
        <w:rPr>
          <w:lang w:val="es-VE"/>
        </w:rPr>
        <w:t>Los indicadores financieros del cliente de crédito al consumo</w:t>
      </w:r>
      <w:bookmarkEnd w:id="96"/>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7</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47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6</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40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162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0"/>
                    <a:srcRect/>
                    <a:stretch>
                      <a:fillRect/>
                    </a:stretch>
                  </pic:blipFill>
                  <pic:spPr bwMode="auto">
                    <a:xfrm>
                      <a:off x="0" y="0"/>
                      <a:ext cx="3600450" cy="2162175"/>
                    </a:xfrm>
                    <a:prstGeom prst="rect">
                      <a:avLst/>
                    </a:prstGeom>
                    <a:noFill/>
                    <a:ln w="9525">
                      <a:noFill/>
                      <a:miter lim="800000"/>
                      <a:headEnd/>
                      <a:tailEnd/>
                    </a:ln>
                  </pic:spPr>
                </pic:pic>
              </a:graphicData>
            </a:graphic>
          </wp:inline>
        </w:drawing>
      </w:r>
    </w:p>
    <w:p>
      <w:pPr>
        <w:pStyle w:val="style95"/>
      </w:pPr>
      <w:r>
        <w:rPr>
          <w:b w:val="false"/>
        </w:rPr>
        <w:tab/>
      </w:r>
      <w:bookmarkStart w:id="97" w:name="_Toc431897365"/>
      <w:r>
        <w:rPr/>
        <w:t xml:space="preserve">Gráfico : </w:t>
      </w:r>
      <w:r>
        <w:rPr>
          <w:lang w:val="es-VE"/>
        </w:rPr>
        <w:t>Los indicadores financieros del cliente de crédito al consumo</w:t>
      </w:r>
      <w:bookmarkEnd w:id="97"/>
      <w:r>
        <w:rPr/>
        <w:t xml:space="preserve"> (2015).</w:t>
      </w:r>
    </w:p>
    <w:p>
      <w:pPr>
        <w:pStyle w:val="style4"/>
        <w:numPr>
          <w:ilvl w:val="3"/>
          <w:numId w:val="1"/>
        </w:numPr>
      </w:pPr>
      <w:r>
        <w:rPr/>
        <w:t>Análisis e interpretación:</w:t>
      </w:r>
    </w:p>
    <w:p>
      <w:pPr>
        <w:pStyle w:val="style0"/>
      </w:pPr>
      <w:r>
        <w:rPr/>
        <w:tab/>
        <w:t xml:space="preserve">Como se refleja en el gráfico 14, las  proporciones de las respuestas emitidas por la muestra indican que el 47% respondió que considera que siempre </w:t>
      </w:r>
      <w:r>
        <w:rPr>
          <w:lang w:val="es-VE"/>
        </w:rPr>
        <w:t>los indicadores financieros del cliente de crédito al consumo son considerados en el banco</w:t>
      </w:r>
      <w:r>
        <w:rPr/>
        <w:t xml:space="preserve">, mientras un 40% contestó casi siempre, y con un 13% que a veces. A partir de este resultado se puede establecer que se debe fortalecer la consideración de los indicadores de gestión como factor de importancia en las evaluaciones de crédito de al consumo, debido a que son referencia válida de información en torno a índices provenientes de datos confiables que facilitan la identificación de los movimientos, capacidad de pago y comportamiento financiero de un cliente. Beltrán (1998).   </w:t>
      </w:r>
    </w:p>
    <w:p>
      <w:pPr>
        <w:pStyle w:val="style0"/>
      </w:pPr>
      <w:r>
        <w:rPr/>
      </w:r>
    </w:p>
    <w:p>
      <w:pPr>
        <w:pStyle w:val="style0"/>
      </w:pPr>
      <w:r>
        <w:rPr/>
        <w:t>15.- ¿</w:t>
      </w:r>
      <w:r>
        <w:rPr>
          <w:lang w:val="es-VE"/>
        </w:rPr>
        <w:t>Los porcentajes de variación en los movimientos bancarios del cliente son decisivos en el análisis de riesgos</w:t>
      </w:r>
      <w:r>
        <w:rPr/>
        <w:t>?</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95"/>
      </w:pPr>
      <w:r>
        <w:rPr>
          <w:b w:val="false"/>
        </w:rPr>
        <w:tab/>
      </w:r>
      <w:bookmarkStart w:id="98" w:name="_Toc431897123"/>
      <w:r>
        <w:rPr/>
        <w:t xml:space="preserve">Tabla : </w:t>
      </w:r>
      <w:r>
        <w:rPr>
          <w:lang w:val="es-VE"/>
        </w:rPr>
        <w:t>Los porcentajes de variación en los movimientos bancarios del cliente</w:t>
      </w:r>
      <w:bookmarkEnd w:id="98"/>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7</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47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6</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40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708" w:right="0"/>
      </w:pPr>
      <w:r>
        <w:rPr/>
        <w:t>Fuente: Instrumento de recolección de datos (2015)</w:t>
      </w:r>
    </w:p>
    <w:p>
      <w:pPr>
        <w:pStyle w:val="style0"/>
        <w:jc w:val="center"/>
      </w:pPr>
      <w:r>
        <w:rPr/>
        <w:drawing>
          <wp:inline distB="0" distL="0" distR="0" distT="0">
            <wp:extent cx="3600450" cy="23812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1"/>
                    <a:srcRect/>
                    <a:stretch>
                      <a:fillRect/>
                    </a:stretch>
                  </pic:blipFill>
                  <pic:spPr bwMode="auto">
                    <a:xfrm>
                      <a:off x="0" y="0"/>
                      <a:ext cx="3600450" cy="2381250"/>
                    </a:xfrm>
                    <a:prstGeom prst="rect">
                      <a:avLst/>
                    </a:prstGeom>
                    <a:noFill/>
                    <a:ln w="9525">
                      <a:noFill/>
                      <a:miter lim="800000"/>
                      <a:headEnd/>
                      <a:tailEnd/>
                    </a:ln>
                  </pic:spPr>
                </pic:pic>
              </a:graphicData>
            </a:graphic>
          </wp:inline>
        </w:drawing>
      </w:r>
    </w:p>
    <w:p>
      <w:pPr>
        <w:pStyle w:val="style95"/>
      </w:pPr>
      <w:r>
        <w:rPr>
          <w:b w:val="false"/>
        </w:rPr>
        <w:tab/>
      </w:r>
      <w:bookmarkStart w:id="99" w:name="_Toc431897366"/>
      <w:r>
        <w:rPr/>
        <w:t xml:space="preserve">Gráfico : </w:t>
      </w:r>
      <w:r>
        <w:rPr>
          <w:lang w:val="es-VE"/>
        </w:rPr>
        <w:t>Los porcentajes de variación en los movimientos bancarios del cliente</w:t>
      </w:r>
      <w:bookmarkEnd w:id="99"/>
      <w:r>
        <w:rPr/>
        <w:t>. Fuente: Instrumento de recolección de datos (2015).</w:t>
      </w:r>
    </w:p>
    <w:p>
      <w:pPr>
        <w:pStyle w:val="style4"/>
        <w:numPr>
          <w:ilvl w:val="3"/>
          <w:numId w:val="1"/>
        </w:numPr>
      </w:pPr>
      <w:r>
        <w:rPr/>
      </w:r>
    </w:p>
    <w:p>
      <w:pPr>
        <w:pStyle w:val="style4"/>
        <w:numPr>
          <w:ilvl w:val="3"/>
          <w:numId w:val="1"/>
        </w:numPr>
      </w:pPr>
      <w:r>
        <w:rPr/>
        <w:t>Análisis e interpretación:</w:t>
      </w:r>
    </w:p>
    <w:p>
      <w:pPr>
        <w:pStyle w:val="style0"/>
      </w:pPr>
      <w:r>
        <w:rPr/>
        <w:tab/>
        <w:t xml:space="preserve">Las respuestas referidas indican que el 47% respondió que siempre </w:t>
      </w:r>
      <w:r>
        <w:rPr>
          <w:lang w:val="es-VE"/>
        </w:rPr>
        <w:t xml:space="preserve">los porcentajes de variación en los movimientos bancarios del cliente son decisivos en el análisis de riesgos, mientras que 40%  seleccionó la respuesta casi siempre y 13% a veces, siendo este resultado un factor decisivo para recomendar a la institución el desarrollo de análisis sobre las funciones y responsabilidades del personal del área crediticia, debido a que los cambios en los movimientos bancarios de un cliente representan un elemento clave, tal como plantea el autor Lama </w:t>
      </w:r>
      <w:r>
        <w:rPr/>
        <w:t>(2011)</w:t>
      </w:r>
      <w:r>
        <w:rPr>
          <w:lang w:val="es-VE"/>
        </w:rPr>
        <w:t>.</w:t>
      </w:r>
    </w:p>
    <w:p>
      <w:pPr>
        <w:pStyle w:val="style0"/>
      </w:pPr>
      <w:r>
        <w:rPr>
          <w:lang w:val="es-VE"/>
        </w:rPr>
      </w:r>
    </w:p>
    <w:p>
      <w:pPr>
        <w:pStyle w:val="style0"/>
      </w:pPr>
      <w:r>
        <w:rPr/>
        <w:t>16.- ¿</w:t>
      </w:r>
      <w:r>
        <w:rPr>
          <w:lang w:val="es-VE"/>
        </w:rPr>
        <w:t>Los indicadores no financieros del cliente son evaluados por la institución</w:t>
      </w:r>
      <w:r>
        <w:rPr/>
        <w:t>?</w:t>
      </w:r>
    </w:p>
    <w:p>
      <w:pPr>
        <w:pStyle w:val="style95"/>
      </w:pPr>
      <w:r>
        <w:rPr/>
        <w:tab/>
      </w:r>
    </w:p>
    <w:p>
      <w:pPr>
        <w:pStyle w:val="style95"/>
      </w:pPr>
      <w:bookmarkStart w:id="100" w:name="_Toc431897124"/>
      <w:r>
        <w:rPr/>
        <w:t xml:space="preserve">Tabla : </w:t>
      </w:r>
      <w:r>
        <w:rPr>
          <w:lang w:val="es-VE"/>
        </w:rPr>
        <w:t>Los indicadores no financieros del cliente</w:t>
      </w:r>
      <w:bookmarkEnd w:id="100"/>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10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67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3</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20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390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2"/>
                    <a:srcRect/>
                    <a:stretch>
                      <a:fillRect/>
                    </a:stretch>
                  </pic:blipFill>
                  <pic:spPr bwMode="auto">
                    <a:xfrm>
                      <a:off x="0" y="0"/>
                      <a:ext cx="3600450" cy="2390775"/>
                    </a:xfrm>
                    <a:prstGeom prst="rect">
                      <a:avLst/>
                    </a:prstGeom>
                    <a:noFill/>
                    <a:ln w="9525">
                      <a:noFill/>
                      <a:miter lim="800000"/>
                      <a:headEnd/>
                      <a:tailEnd/>
                    </a:ln>
                  </pic:spPr>
                </pic:pic>
              </a:graphicData>
            </a:graphic>
          </wp:inline>
        </w:drawing>
      </w:r>
    </w:p>
    <w:p>
      <w:pPr>
        <w:pStyle w:val="style95"/>
      </w:pPr>
      <w:bookmarkStart w:id="101" w:name="_Toc431897367"/>
      <w:r>
        <w:rPr/>
        <w:t xml:space="preserve">Gráfico : </w:t>
      </w:r>
      <w:r>
        <w:rPr>
          <w:lang w:val="es-VE"/>
        </w:rPr>
        <w:t>Indicadores no financieros del cliente</w:t>
      </w:r>
      <w:bookmarkEnd w:id="101"/>
      <w:r>
        <w:rPr/>
        <w:t>. Fuente: Instrumento de recolección de datos (2015)</w:t>
      </w:r>
    </w:p>
    <w:p>
      <w:pPr>
        <w:pStyle w:val="style4"/>
        <w:numPr>
          <w:ilvl w:val="3"/>
          <w:numId w:val="1"/>
        </w:numPr>
      </w:pPr>
      <w:r>
        <w:rPr/>
        <w:t>Análisis e interpretación:</w:t>
      </w:r>
    </w:p>
    <w:p>
      <w:pPr>
        <w:pStyle w:val="style0"/>
      </w:pPr>
      <w:r>
        <w:rPr/>
        <w:tab/>
        <w:t xml:space="preserve">Tal como se observa en el gráfico Nº 16, el 67% de los encuestados arrojan que siempre consideran que </w:t>
      </w:r>
      <w:r>
        <w:rPr>
          <w:lang w:val="es-VE"/>
        </w:rPr>
        <w:t>los indicadores no financieros del cliente son evaluados por la institución, m</w:t>
      </w:r>
      <w:r>
        <w:rPr/>
        <w:t>ientras que un 20% de los encuestados considera que casi siempre y un 13% arrojan que a veces se lleva a cabo la consideración de tales indicadores. Este resultado permite inferir que los indicadores no financieros de los clientes son evaluados de forma efectiva por la institución, debido a que proveen de información complementaria para la toma de decisiones sobre operaciones de crédito al consumo. Sin embargo, se deben considerar los porcentajes con tendencia negativa con la finalidad de precisar los factores que inciden en dichas respuestas. Beltrán (1998).</w:t>
      </w:r>
    </w:p>
    <w:p>
      <w:pPr>
        <w:pStyle w:val="style0"/>
      </w:pPr>
      <w:r>
        <w:rPr/>
      </w:r>
    </w:p>
    <w:p>
      <w:pPr>
        <w:pStyle w:val="style0"/>
      </w:pPr>
      <w:r>
        <w:rPr/>
        <w:t>17.- ¿</w:t>
      </w:r>
      <w:r>
        <w:rPr>
          <w:lang w:val="es-VE"/>
        </w:rPr>
        <w:t>Los riesgos financieros de los créditos al consumo son analizados por el banco</w:t>
      </w:r>
      <w:r>
        <w:rPr/>
        <w:t>?</w:t>
      </w:r>
    </w:p>
    <w:p>
      <w:pPr>
        <w:pStyle w:val="style95"/>
      </w:pPr>
      <w:r>
        <w:rPr/>
        <w:tab/>
      </w:r>
      <w:bookmarkStart w:id="102" w:name="_Toc431897125"/>
      <w:r>
        <w:rPr/>
        <w:t xml:space="preserve">Tabla : </w:t>
      </w:r>
      <w:r>
        <w:rPr>
          <w:lang w:val="es-VE"/>
        </w:rPr>
        <w:t>Los riesgos financieros de los créditos</w:t>
      </w:r>
      <w:bookmarkEnd w:id="102"/>
      <w:r>
        <w:rPr/>
        <w:t>.</w:t>
      </w:r>
    </w:p>
    <w:tbl>
      <w:tblPr>
        <w:jc w:val="center"/>
        <w:tblBorders>
          <w:top w:color="4F81BD" w:space="0" w:sz="8" w:val="single"/>
          <w:left w:color="4F81BD" w:space="0" w:sz="8" w:val="single"/>
        </w:tblBorders>
      </w:tblPr>
      <w:tblGrid>
        <w:gridCol w:w="2673"/>
        <w:gridCol w:w="2518"/>
        <w:gridCol w:w="2515"/>
      </w:tblGrid>
      <w:tr>
        <w:trPr>
          <w:cantSplit w:val="false"/>
        </w:trPr>
        <w:tc>
          <w:tcPr>
            <w:tcW w:type="dxa" w:w="2673"/>
            <w:tcBorders>
              <w:top w:color="4F81BD" w:space="0" w:sz="8" w:val="single"/>
              <w:left w:color="4F81BD" w:space="0" w:sz="8" w:val="single"/>
            </w:tcBorders>
            <w:shd w:fill="4F81BD" w:val="clear"/>
            <w:tcMar>
              <w:top w:type="dxa" w:w="0"/>
              <w:left w:type="dxa" w:w="108"/>
              <w:bottom w:type="dxa" w:w="0"/>
              <w:right w:type="dxa" w:w="108"/>
            </w:tcMar>
          </w:tcPr>
          <w:p>
            <w:pPr>
              <w:pStyle w:val="style0"/>
              <w:jc w:val="center"/>
            </w:pPr>
            <w:r>
              <w:rPr>
                <w:b/>
                <w:bCs/>
                <w:color w:val="FFFFFF"/>
              </w:rPr>
              <w:t>ITEM</w:t>
            </w:r>
          </w:p>
        </w:tc>
        <w:tc>
          <w:tcPr>
            <w:tcW w:type="dxa" w:w="2518"/>
            <w:tcBorders>
              <w:top w:color="4F81BD" w:space="0" w:sz="8" w:val="single"/>
            </w:tcBorders>
            <w:shd w:fill="4F81BD" w:val="clear"/>
            <w:tcMar>
              <w:top w:type="dxa" w:w="0"/>
              <w:left w:type="dxa" w:w="108"/>
              <w:bottom w:type="dxa" w:w="0"/>
              <w:right w:type="dxa" w:w="108"/>
            </w:tcMar>
          </w:tcPr>
          <w:p>
            <w:pPr>
              <w:pStyle w:val="style0"/>
            </w:pPr>
            <w:r>
              <w:rPr>
                <w:b/>
                <w:bCs/>
                <w:color w:val="FFFFFF"/>
              </w:rPr>
              <w:t>FRECUENCIA</w:t>
            </w:r>
          </w:p>
        </w:tc>
        <w:tc>
          <w:tcPr>
            <w:tcW w:type="dxa" w:w="2515"/>
            <w:tcBorders>
              <w:top w:color="4F81BD" w:space="0" w:sz="8" w:val="single"/>
              <w:right w:color="4F81BD" w:space="0" w:sz="8" w:val="single"/>
            </w:tcBorders>
            <w:shd w:fill="4F81BD" w:val="clear"/>
            <w:tcMar>
              <w:top w:type="dxa" w:w="0"/>
              <w:left w:type="dxa" w:w="108"/>
              <w:bottom w:type="dxa" w:w="0"/>
              <w:right w:type="dxa" w:w="108"/>
            </w:tcMar>
          </w:tcPr>
          <w:p>
            <w:pPr>
              <w:pStyle w:val="style0"/>
            </w:pPr>
            <w:r>
              <w:rPr>
                <w:b/>
                <w:bCs/>
                <w:color w:val="FFFFFF"/>
              </w:rPr>
              <w:t>PORCENTAJE</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SIEMPRE</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7</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47</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SIEMPRE</w:t>
            </w:r>
          </w:p>
        </w:tc>
        <w:tc>
          <w:tcPr>
            <w:tcW w:type="dxa" w:w="2518"/>
            <w:tcBorders/>
            <w:shd w:fill="auto" w:val="clear"/>
            <w:tcMar>
              <w:top w:type="dxa" w:w="0"/>
              <w:left w:type="dxa" w:w="108"/>
              <w:bottom w:type="dxa" w:w="0"/>
              <w:right w:type="dxa" w:w="108"/>
            </w:tcMar>
          </w:tcPr>
          <w:p>
            <w:pPr>
              <w:pStyle w:val="style0"/>
              <w:jc w:val="center"/>
            </w:pPr>
            <w:r>
              <w:rPr/>
              <w:t>6</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40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A VECES</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2</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13</w:t>
            </w:r>
          </w:p>
        </w:tc>
      </w:tr>
      <w:tr>
        <w:trPr>
          <w:cantSplit w:val="false"/>
        </w:trPr>
        <w:tc>
          <w:tcPr>
            <w:tcW w:type="dxa" w:w="2673"/>
            <w:tcBorders>
              <w:left w:color="4F81BD" w:space="0" w:sz="8" w:val="single"/>
            </w:tcBorders>
            <w:shd w:fill="auto" w:val="clear"/>
            <w:tcMar>
              <w:top w:type="dxa" w:w="0"/>
              <w:left w:type="dxa" w:w="108"/>
              <w:bottom w:type="dxa" w:w="0"/>
              <w:right w:type="dxa" w:w="108"/>
            </w:tcMar>
          </w:tcPr>
          <w:p>
            <w:pPr>
              <w:pStyle w:val="style0"/>
              <w:jc w:val="center"/>
            </w:pPr>
            <w:r>
              <w:rPr>
                <w:bCs/>
              </w:rPr>
              <w:t>CASI NUNCA</w:t>
            </w:r>
          </w:p>
        </w:tc>
        <w:tc>
          <w:tcPr>
            <w:tcW w:type="dxa" w:w="2518"/>
            <w:tcBorders/>
            <w:shd w:fill="auto" w:val="clear"/>
            <w:tcMar>
              <w:top w:type="dxa" w:w="0"/>
              <w:left w:type="dxa" w:w="108"/>
              <w:bottom w:type="dxa" w:w="0"/>
              <w:right w:type="dxa" w:w="108"/>
            </w:tcMar>
          </w:tcPr>
          <w:p>
            <w:pPr>
              <w:pStyle w:val="style0"/>
              <w:jc w:val="center"/>
            </w:pPr>
            <w:r>
              <w:rPr/>
              <w:t>0</w:t>
            </w:r>
          </w:p>
        </w:tc>
        <w:tc>
          <w:tcPr>
            <w:tcW w:type="dxa" w:w="2515"/>
            <w:tcBorders>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top w:color="4F81BD" w:space="0" w:sz="8" w:val="single"/>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NUNCA</w:t>
            </w:r>
          </w:p>
        </w:tc>
        <w:tc>
          <w:tcPr>
            <w:tcW w:type="dxa" w:w="2518"/>
            <w:tcBorders>
              <w:top w:color="4F81BD" w:space="0" w:sz="8" w:val="single"/>
              <w:bottom w:color="4F81BD" w:space="0" w:sz="8" w:val="single"/>
            </w:tcBorders>
            <w:shd w:fill="auto" w:val="clear"/>
            <w:tcMar>
              <w:top w:type="dxa" w:w="0"/>
              <w:left w:type="dxa" w:w="108"/>
              <w:bottom w:type="dxa" w:w="0"/>
              <w:right w:type="dxa" w:w="108"/>
            </w:tcMar>
          </w:tcPr>
          <w:p>
            <w:pPr>
              <w:pStyle w:val="style0"/>
              <w:jc w:val="center"/>
            </w:pPr>
            <w:r>
              <w:rPr/>
              <w:t>0</w:t>
            </w:r>
          </w:p>
        </w:tc>
        <w:tc>
          <w:tcPr>
            <w:tcW w:type="dxa" w:w="2515"/>
            <w:tcBorders>
              <w:top w:color="4F81BD" w:space="0" w:sz="8" w:val="single"/>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0</w:t>
            </w:r>
          </w:p>
        </w:tc>
      </w:tr>
      <w:tr>
        <w:trPr>
          <w:cantSplit w:val="false"/>
        </w:trPr>
        <w:tc>
          <w:tcPr>
            <w:tcW w:type="dxa" w:w="2673"/>
            <w:tcBorders>
              <w:left w:color="4F81BD" w:space="0" w:sz="8" w:val="single"/>
              <w:bottom w:color="4F81BD" w:space="0" w:sz="8" w:val="single"/>
            </w:tcBorders>
            <w:shd w:fill="auto" w:val="clear"/>
            <w:tcMar>
              <w:top w:type="dxa" w:w="0"/>
              <w:left w:type="dxa" w:w="108"/>
              <w:bottom w:type="dxa" w:w="0"/>
              <w:right w:type="dxa" w:w="108"/>
            </w:tcMar>
          </w:tcPr>
          <w:p>
            <w:pPr>
              <w:pStyle w:val="style0"/>
              <w:jc w:val="center"/>
            </w:pPr>
            <w:r>
              <w:rPr>
                <w:bCs/>
              </w:rPr>
              <w:t>TOTALES</w:t>
            </w:r>
          </w:p>
        </w:tc>
        <w:tc>
          <w:tcPr>
            <w:tcW w:type="dxa" w:w="2518"/>
            <w:tcBorders>
              <w:bottom w:color="4F81BD" w:space="0" w:sz="8" w:val="single"/>
            </w:tcBorders>
            <w:shd w:fill="auto" w:val="clear"/>
            <w:tcMar>
              <w:top w:type="dxa" w:w="0"/>
              <w:left w:type="dxa" w:w="108"/>
              <w:bottom w:type="dxa" w:w="0"/>
              <w:right w:type="dxa" w:w="108"/>
            </w:tcMar>
          </w:tcPr>
          <w:p>
            <w:pPr>
              <w:pStyle w:val="style0"/>
              <w:jc w:val="center"/>
            </w:pPr>
            <w:r>
              <w:rPr/>
              <w:t>15</w:t>
            </w:r>
          </w:p>
        </w:tc>
        <w:tc>
          <w:tcPr>
            <w:tcW w:type="dxa" w:w="2515"/>
            <w:tcBorders>
              <w:bottom w:color="4F81BD" w:space="0" w:sz="8" w:val="single"/>
              <w:right w:color="4F81BD" w:space="0" w:sz="8" w:val="single"/>
            </w:tcBorders>
            <w:shd w:fill="auto" w:val="clear"/>
            <w:tcMar>
              <w:top w:type="dxa" w:w="0"/>
              <w:left w:type="dxa" w:w="108"/>
              <w:bottom w:type="dxa" w:w="0"/>
              <w:right w:type="dxa" w:w="108"/>
            </w:tcMar>
          </w:tcPr>
          <w:p>
            <w:pPr>
              <w:pStyle w:val="style0"/>
              <w:jc w:val="center"/>
            </w:pPr>
            <w:r>
              <w:rPr/>
              <w:t>100</w:t>
            </w:r>
          </w:p>
        </w:tc>
      </w:tr>
    </w:tbl>
    <w:p>
      <w:pPr>
        <w:pStyle w:val="style0"/>
        <w:ind w:firstLine="708" w:left="1416" w:right="0"/>
      </w:pPr>
      <w:r>
        <w:rPr/>
        <w:t>Fuente: Instrumento de recolección de datos (2015)</w:t>
      </w:r>
    </w:p>
    <w:p>
      <w:pPr>
        <w:pStyle w:val="style0"/>
        <w:jc w:val="center"/>
      </w:pPr>
      <w:r>
        <w:rPr/>
        <w:drawing>
          <wp:inline distB="0" distL="0" distR="0" distT="0">
            <wp:extent cx="3600450" cy="23145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3"/>
                    <a:srcRect/>
                    <a:stretch>
                      <a:fillRect/>
                    </a:stretch>
                  </pic:blipFill>
                  <pic:spPr bwMode="auto">
                    <a:xfrm>
                      <a:off x="0" y="0"/>
                      <a:ext cx="3600450" cy="2314575"/>
                    </a:xfrm>
                    <a:prstGeom prst="rect">
                      <a:avLst/>
                    </a:prstGeom>
                    <a:noFill/>
                    <a:ln w="9525">
                      <a:noFill/>
                      <a:miter lim="800000"/>
                      <a:headEnd/>
                      <a:tailEnd/>
                    </a:ln>
                  </pic:spPr>
                </pic:pic>
              </a:graphicData>
            </a:graphic>
          </wp:inline>
        </w:drawing>
      </w:r>
    </w:p>
    <w:p>
      <w:pPr>
        <w:pStyle w:val="style95"/>
      </w:pPr>
      <w:bookmarkStart w:id="103" w:name="_Toc431897368"/>
      <w:r>
        <w:rPr/>
        <w:t xml:space="preserve">Gráfico : </w:t>
      </w:r>
      <w:r>
        <w:rPr>
          <w:lang w:val="es-VE"/>
        </w:rPr>
        <w:t>Los riesgos financieros de los créditos</w:t>
      </w:r>
      <w:bookmarkEnd w:id="103"/>
      <w:r>
        <w:rPr/>
        <w:t>. Fuente: Instrumento de recolección de datos, (2015)</w:t>
      </w:r>
    </w:p>
    <w:p>
      <w:pPr>
        <w:pStyle w:val="style4"/>
        <w:numPr>
          <w:ilvl w:val="3"/>
          <w:numId w:val="1"/>
        </w:numPr>
      </w:pPr>
      <w:r>
        <w:rPr/>
      </w:r>
    </w:p>
    <w:p>
      <w:pPr>
        <w:pStyle w:val="style4"/>
        <w:numPr>
          <w:ilvl w:val="3"/>
          <w:numId w:val="1"/>
        </w:numPr>
      </w:pPr>
      <w:r>
        <w:rPr/>
        <w:t>Análisis e interpretación:</w:t>
      </w:r>
    </w:p>
    <w:p>
      <w:pPr>
        <w:pStyle w:val="style0"/>
      </w:pPr>
      <w:r>
        <w:rPr/>
        <w:tab/>
        <w:t xml:space="preserve">Los resultados obtenidos y tal como se observa en el gráfico 17, el 47% de la muestra seleccionada respondió siempre </w:t>
      </w:r>
      <w:r>
        <w:rPr>
          <w:lang w:val="es-VE"/>
        </w:rPr>
        <w:t>los riesgos financieros de los créditos al consumo son analizados por el banco</w:t>
      </w:r>
      <w:r>
        <w:rPr/>
        <w:t xml:space="preserve">, otro 40% de la muestra arrojó que casi siempre y un 13% a veces. Este resultado refleja una debilidad manifiesta de las operaciones crediticias de la institución, debido a que los riesgos financieros se deben analizar de forma constante, puesto que ofrecen la información más confiable para la toma de decisiones sobre colocación de fondos o asignación de recursos a los clientes de créditos al consumo, con la finalidad de establecer la procedencia del otorgamiento y su efectivo control por parte de la institución, lo cual garantiza la proyección del banco en el mercado financiero venezolano, como expone el autor Otero (2008).   </w:t>
      </w:r>
    </w:p>
    <w:p>
      <w:pPr>
        <w:sectPr>
          <w:headerReference r:id="rId54" w:type="default"/>
          <w:footerReference r:id="rId55" w:type="default"/>
          <w:type w:val="nextPage"/>
          <w:pgSz w:h="15840" w:w="12240"/>
          <w:pgMar w:bottom="1701" w:footer="964" w:gutter="0" w:header="964" w:left="2268" w:right="1701" w:top="2269"/>
          <w:pgNumType w:fmt="decimal"/>
          <w:formProt w:val="false"/>
          <w:textDirection w:val="lrTb"/>
          <w:docGrid w:charSpace="0" w:linePitch="360" w:type="default"/>
        </w:sectPr>
        <w:pStyle w:val="style2"/>
        <w:numPr>
          <w:ilvl w:val="1"/>
          <w:numId w:val="1"/>
        </w:numPr>
      </w:pPr>
      <w:r>
        <w:rPr/>
      </w:r>
    </w:p>
    <w:p>
      <w:pPr>
        <w:pStyle w:val="style1"/>
      </w:pPr>
      <w:bookmarkStart w:id="104" w:name="__RefHeading__4984_1544206207"/>
      <w:bookmarkStart w:id="105" w:name="_Toc432059701"/>
      <w:bookmarkEnd w:id="104"/>
      <w:bookmarkEnd w:id="105"/>
      <w:r>
        <w:rPr/>
        <w:t>CAPÍTULO V</w:t>
      </w:r>
    </w:p>
    <w:p>
      <w:pPr>
        <w:pStyle w:val="style0"/>
      </w:pPr>
      <w:r>
        <w:rPr/>
      </w:r>
    </w:p>
    <w:p>
      <w:pPr>
        <w:pStyle w:val="style2"/>
        <w:numPr>
          <w:ilvl w:val="1"/>
          <w:numId w:val="1"/>
        </w:numPr>
      </w:pPr>
      <w:bookmarkStart w:id="106" w:name="__RefHeading__4986_1544206207"/>
      <w:bookmarkStart w:id="107" w:name="_Toc432059702"/>
      <w:bookmarkEnd w:id="106"/>
      <w:bookmarkEnd w:id="107"/>
      <w:r>
        <w:rPr/>
        <w:t>CONCLUSIONES Y RECOMENDACIONES</w:t>
      </w:r>
    </w:p>
    <w:p>
      <w:pPr>
        <w:pStyle w:val="style0"/>
      </w:pPr>
      <w:r>
        <w:rPr>
          <w:b/>
        </w:rPr>
      </w:r>
    </w:p>
    <w:p>
      <w:pPr>
        <w:pStyle w:val="style3"/>
        <w:numPr>
          <w:ilvl w:val="2"/>
          <w:numId w:val="1"/>
        </w:numPr>
        <w:jc w:val="left"/>
      </w:pPr>
      <w:bookmarkStart w:id="108" w:name="__RefHeading__4988_1544206207"/>
      <w:bookmarkStart w:id="109" w:name="_Toc432059703"/>
      <w:bookmarkEnd w:id="108"/>
      <w:bookmarkEnd w:id="109"/>
      <w:r>
        <w:rPr/>
        <w:t>Conclusiones</w:t>
      </w:r>
    </w:p>
    <w:p>
      <w:pPr>
        <w:pStyle w:val="style0"/>
      </w:pPr>
      <w:r>
        <w:rPr/>
      </w:r>
    </w:p>
    <w:p>
      <w:pPr>
        <w:pStyle w:val="style0"/>
        <w:ind w:firstLine="708" w:left="0" w:right="0"/>
      </w:pPr>
      <w:r>
        <w:rPr/>
        <w:t xml:space="preserve">En función del logro de los objetivos específicos y la aplicación de las técnicas e instrumentos de recolección de información, se plantean las siguientes conclusiones en base a los objetivos propuestos: </w:t>
      </w:r>
    </w:p>
    <w:p>
      <w:pPr>
        <w:pStyle w:val="style0"/>
      </w:pPr>
      <w:r>
        <w:rPr/>
      </w:r>
    </w:p>
    <w:p>
      <w:pPr>
        <w:pStyle w:val="style0"/>
        <w:widowControl w:val="false"/>
        <w:ind w:firstLine="708" w:left="0" w:right="0"/>
      </w:pPr>
      <w:r>
        <w:rPr>
          <w:i/>
        </w:rPr>
        <w:t>Al Diagnosticar la situación actual del análisis de riesgo de créditos al consumo en base a indicadores de gestión en la banca privada, se concluye que:</w:t>
      </w:r>
    </w:p>
    <w:p>
      <w:pPr>
        <w:pStyle w:val="style0"/>
      </w:pPr>
      <w:r>
        <w:rPr/>
      </w:r>
    </w:p>
    <w:p>
      <w:pPr>
        <w:pStyle w:val="style0"/>
        <w:ind w:firstLine="709" w:left="0" w:right="0"/>
      </w:pPr>
      <w:r>
        <w:rPr/>
        <w:t xml:space="preserve">Los análisis de riesgos se deben llevar se cabo con un procedimiento estándar que permita establecer características y condiciones que faciliten la identificación de elementos de referencia que permitan conocer el comportamiento económico de los clientes de tarjetas de crédito. </w:t>
      </w:r>
    </w:p>
    <w:p>
      <w:pPr>
        <w:pStyle w:val="style0"/>
      </w:pPr>
      <w:r>
        <w:rPr/>
      </w:r>
    </w:p>
    <w:p>
      <w:pPr>
        <w:pStyle w:val="style0"/>
        <w:ind w:firstLine="708" w:left="0" w:right="0"/>
      </w:pPr>
      <w:r>
        <w:rPr/>
        <w:t>Los simuladores de riesgos generan aportes como base de información para la toma de decisiones ante solicitudes de instrumentos de financiamiento.</w:t>
      </w:r>
    </w:p>
    <w:p>
      <w:pPr>
        <w:pStyle w:val="style0"/>
      </w:pPr>
      <w:r>
        <w:rPr/>
      </w:r>
    </w:p>
    <w:p>
      <w:pPr>
        <w:pStyle w:val="style0"/>
        <w:ind w:firstLine="708" w:left="0" w:right="0"/>
      </w:pPr>
      <w:r>
        <w:rPr/>
        <w:t>Es eficiente la ejecución de la planificación de las inversiones en la institución, debido a que se fundamenta en las políticas crediticias, hecho que permite establecer un marco de comportamiento consistente en cuanto al análisis de créditos y solicitudes de financiamiento, de allí que sea una fortaleza de la institución.</w:t>
      </w:r>
    </w:p>
    <w:p>
      <w:pPr>
        <w:pStyle w:val="style0"/>
        <w:ind w:firstLine="709" w:left="0" w:right="0"/>
      </w:pPr>
      <w:r>
        <w:rPr/>
      </w:r>
    </w:p>
    <w:p>
      <w:pPr>
        <w:pStyle w:val="style0"/>
        <w:ind w:firstLine="709" w:left="0" w:right="0"/>
      </w:pPr>
      <w:r>
        <w:rPr/>
        <w:t>La institución bancaria desarrolla sus análisis de crédito en base al historial crediticio del solicitante, hecho que permite estandarizar el proceso y facilita el seguimiento de las referencias que presenta el cliente al momento de tramitar un financiamiento.</w:t>
      </w:r>
    </w:p>
    <w:p>
      <w:pPr>
        <w:pStyle w:val="style0"/>
      </w:pPr>
      <w:r>
        <w:rPr/>
      </w:r>
    </w:p>
    <w:p>
      <w:pPr>
        <w:pStyle w:val="style0"/>
        <w:widowControl w:val="false"/>
        <w:ind w:firstLine="708" w:left="0" w:right="0"/>
      </w:pPr>
      <w:r>
        <w:rPr>
          <w:i/>
        </w:rPr>
        <w:t xml:space="preserve">Al identificar los procesos internos del área de riesgo de análisis de  crédito al consumo en tarjeta de crédito en la banca privada, se concluye lo siguiente: </w:t>
      </w:r>
    </w:p>
    <w:p>
      <w:pPr>
        <w:pStyle w:val="style0"/>
      </w:pPr>
      <w:r>
        <w:rPr/>
      </w:r>
    </w:p>
    <w:p>
      <w:pPr>
        <w:pStyle w:val="style0"/>
        <w:ind w:firstLine="708" w:left="0" w:right="0"/>
      </w:pPr>
      <w:r>
        <w:rPr/>
        <w:t xml:space="preserve">Las políticas de crédito son la referencia básica que se considera como indicador de la estabilidad de un banco, de allí que sea intrínseca la vinculación con la visión institucional y, por tanto, sirve de mecanismo garante de las operaciones de captación y colocación de recursos económicos como función primordial del sector de la banca y otras instituciones financieras.  </w:t>
      </w:r>
    </w:p>
    <w:p>
      <w:pPr>
        <w:pStyle w:val="style0"/>
      </w:pPr>
      <w:r>
        <w:rPr/>
      </w:r>
    </w:p>
    <w:p>
      <w:pPr>
        <w:pStyle w:val="style0"/>
        <w:ind w:firstLine="708" w:left="0" w:right="0"/>
      </w:pPr>
      <w:r>
        <w:rPr/>
        <w:t>La programación de los créditos a asignar se fundamenta en las colocaciones de depósitos, lo cual representa un aspecto favorable para la institución, debido a que se garantiza un flujo de efectivo</w:t>
      </w:r>
    </w:p>
    <w:p>
      <w:pPr>
        <w:pStyle w:val="style0"/>
      </w:pPr>
      <w:r>
        <w:rPr/>
      </w:r>
    </w:p>
    <w:p>
      <w:pPr>
        <w:pStyle w:val="style0"/>
        <w:ind w:firstLine="708" w:left="0" w:right="0"/>
      </w:pPr>
      <w:r>
        <w:rPr/>
        <w:t>Al actualizar los procesos administrativos inherentes al aspecto crediticio y de manera específica, los controles operativos, se esta fortaleciendo el óptimo manejo de las operaciones internas y el control de gestión de riesgos, como base del éxito de las colocaciones de fondos con fines de capitalización.</w:t>
      </w:r>
    </w:p>
    <w:p>
      <w:pPr>
        <w:pStyle w:val="style0"/>
      </w:pPr>
      <w:r>
        <w:rPr/>
      </w:r>
    </w:p>
    <w:p>
      <w:pPr>
        <w:pStyle w:val="style0"/>
        <w:ind w:firstLine="708" w:left="0" w:right="0"/>
      </w:pPr>
      <w:r>
        <w:rPr/>
        <w:t>La principal función de la banca es la intermediación, de allí que si las políticas y directrices son del dominio del personal, se estaría cumpliendo cabalmente con las funciones y responsabilidades asignadas, lo cual proyecta la eficiencia operativa de la institución.</w:t>
      </w:r>
    </w:p>
    <w:p>
      <w:pPr>
        <w:pStyle w:val="style0"/>
      </w:pPr>
      <w:r>
        <w:rPr/>
      </w:r>
    </w:p>
    <w:p>
      <w:pPr>
        <w:pStyle w:val="style0"/>
        <w:widowControl w:val="false"/>
        <w:ind w:firstLine="708" w:left="0" w:right="0"/>
      </w:pPr>
      <w:r>
        <w:rPr>
          <w:i/>
        </w:rPr>
        <w:t>Como resultado de determinar los indicadores de gestión para el análisis de riesgos desde las perspectivas financieras y no financieras de los créditos al consumo, se tiene que:</w:t>
      </w:r>
      <w:r>
        <w:rPr/>
        <w:t xml:space="preserve"> </w:t>
      </w:r>
    </w:p>
    <w:p>
      <w:pPr>
        <w:pStyle w:val="style0"/>
      </w:pPr>
      <w:r>
        <w:rPr/>
      </w:r>
    </w:p>
    <w:p>
      <w:pPr>
        <w:pStyle w:val="style0"/>
        <w:ind w:firstLine="708" w:left="0" w:right="0"/>
      </w:pPr>
      <w:r>
        <w:rPr/>
        <w:t xml:space="preserve">El uso de los indicadores de gestión muestra una tendencia a no ser considerados efectivamente o en la proporción más apropiada, en virtud de su precisión para suministrar una referencia de alta seguridad en torno al comportamiento de un cliente de crédito al consumo.   </w:t>
      </w:r>
    </w:p>
    <w:p>
      <w:pPr>
        <w:pStyle w:val="style0"/>
        <w:ind w:firstLine="708" w:left="0" w:right="0"/>
      </w:pPr>
      <w:r>
        <w:rPr/>
      </w:r>
    </w:p>
    <w:p>
      <w:pPr>
        <w:pStyle w:val="style0"/>
        <w:ind w:firstLine="708" w:left="0" w:right="0"/>
      </w:pPr>
      <w:r>
        <w:rPr/>
        <w:t xml:space="preserve">Uno de los indicadores de estabilidad en las operaciones económicas y financieras de los clientes de créditos al consumo, son precisamente las referencias, razón por la cual se debe fortalecer su consideración a nivel institucional y garantizar su optimización.   </w:t>
      </w:r>
    </w:p>
    <w:p>
      <w:pPr>
        <w:pStyle w:val="style0"/>
      </w:pPr>
      <w:r>
        <w:rPr/>
        <w:tab/>
      </w:r>
    </w:p>
    <w:p>
      <w:pPr>
        <w:pStyle w:val="style0"/>
        <w:ind w:firstLine="708" w:left="0" w:right="0"/>
      </w:pPr>
      <w:r>
        <w:rPr/>
        <w:t xml:space="preserve">Los indicadores no financieros de los clientes son evaluados de forma efectiva por la institución, debido a que proveen de datos e información complementaria para la toma de decisiones sobre operaciones de crédito al consumo. Sin embargo, se deben considerar los porcentajes con tendencia negativa con la finalidad de precisar los factores que inciden en dichas respuestas. </w:t>
      </w:r>
    </w:p>
    <w:p>
      <w:pPr>
        <w:pStyle w:val="style0"/>
      </w:pPr>
      <w:r>
        <w:rPr/>
      </w:r>
    </w:p>
    <w:p>
      <w:pPr>
        <w:pStyle w:val="style0"/>
        <w:widowControl w:val="false"/>
        <w:ind w:firstLine="708" w:left="0" w:right="0"/>
      </w:pPr>
      <w:r>
        <w:rPr>
          <w:i/>
        </w:rPr>
        <w:t>Al Describir los factores están asociados a los riegos en los créditos al consumo con tarjetas de crédito en la banca privada, se concluye que:</w:t>
      </w:r>
    </w:p>
    <w:p>
      <w:pPr>
        <w:pStyle w:val="style0"/>
      </w:pPr>
      <w:r>
        <w:rPr>
          <w:i/>
        </w:rPr>
      </w:r>
    </w:p>
    <w:p>
      <w:pPr>
        <w:pStyle w:val="style0"/>
        <w:ind w:firstLine="708" w:left="0" w:right="0"/>
      </w:pPr>
      <w:r>
        <w:rPr/>
        <w:t xml:space="preserve">Una debilidad de la institución es el hecho que no se consideran los flujos de caja, a pesar de ser uno de los principales indicadores a la hora de evaluar su historial crediticio para la aprobación de una solicitud de financiamiento, de allí que el uso de simulaciones es un mecanismo que permite garantizar la efectividad del análisis de crédito. </w:t>
      </w:r>
    </w:p>
    <w:p>
      <w:pPr>
        <w:pStyle w:val="style0"/>
        <w:ind w:firstLine="708" w:left="0" w:right="0"/>
      </w:pPr>
      <w:r>
        <w:rPr/>
      </w:r>
    </w:p>
    <w:p>
      <w:pPr>
        <w:pStyle w:val="style0"/>
        <w:ind w:firstLine="708" w:left="0" w:right="0"/>
      </w:pPr>
      <w:r>
        <w:rPr/>
        <w:t>La coordinación de tipo operativa representa un elemento clave para la intermediación financiera, así como para las operaciones de crédito que desarrolla la institución bancaria para dar respuesta a sus transacciones en función de alcanzar los objetivos y metas propuestos en la planificación estratégica.</w:t>
      </w:r>
    </w:p>
    <w:p>
      <w:pPr>
        <w:pStyle w:val="style0"/>
      </w:pPr>
      <w:r>
        <w:rPr/>
      </w:r>
    </w:p>
    <w:p>
      <w:pPr>
        <w:pStyle w:val="style0"/>
        <w:ind w:firstLine="644" w:left="0" w:right="0"/>
      </w:pPr>
      <w:r>
        <w:rPr/>
        <w:t xml:space="preserve">Una debilidad manifiesta de las operaciones crediticias de la institución, es no considerar los riesgos financieros, ya que se deben analizar de forma constante, puesto que ofrecen la información más confiable para la toma de decisiones sobre colocación de fondos o asignación de recursos a los clientes de créditos al consumo, con la finalidad de establecer la procedencia del otorgamiento y su efectivo control por parte de la institución.    </w:t>
      </w:r>
    </w:p>
    <w:p>
      <w:pPr>
        <w:pStyle w:val="style0"/>
      </w:pPr>
      <w:r>
        <w:rPr/>
      </w:r>
    </w:p>
    <w:p>
      <w:pPr>
        <w:pStyle w:val="style3"/>
        <w:numPr>
          <w:ilvl w:val="2"/>
          <w:numId w:val="1"/>
        </w:numPr>
        <w:jc w:val="left"/>
      </w:pPr>
      <w:bookmarkStart w:id="110" w:name="__RefHeading__4990_1544206207"/>
      <w:bookmarkStart w:id="111" w:name="_Toc432059704"/>
      <w:bookmarkEnd w:id="110"/>
      <w:bookmarkEnd w:id="111"/>
      <w:r>
        <w:rPr/>
        <w:t>Recomendaciones:</w:t>
      </w:r>
    </w:p>
    <w:p>
      <w:pPr>
        <w:pStyle w:val="style0"/>
      </w:pPr>
      <w:r>
        <w:rPr>
          <w:b/>
        </w:rPr>
      </w:r>
    </w:p>
    <w:p>
      <w:pPr>
        <w:pStyle w:val="style0"/>
        <w:ind w:firstLine="644" w:left="0" w:right="0"/>
      </w:pPr>
      <w:r>
        <w:rPr/>
        <w:t>En atención a los aspectos planteados en las conclusiones precedentes, la autora recomienda:</w:t>
      </w:r>
    </w:p>
    <w:p>
      <w:pPr>
        <w:pStyle w:val="style0"/>
        <w:ind w:firstLine="644" w:left="0" w:right="0"/>
      </w:pPr>
      <w:r>
        <w:rPr>
          <w:b/>
        </w:rPr>
      </w:r>
    </w:p>
    <w:p>
      <w:pPr>
        <w:pStyle w:val="style0"/>
        <w:numPr>
          <w:ilvl w:val="0"/>
          <w:numId w:val="10"/>
        </w:numPr>
      </w:pPr>
      <w:r>
        <w:rPr/>
        <w:t>Fortalecer la adecuada aplicación de los análisis de créditos y solicitudes de financiamiento.</w:t>
      </w:r>
    </w:p>
    <w:p>
      <w:pPr>
        <w:pStyle w:val="style0"/>
        <w:ind w:firstLine="567" w:left="1004" w:right="0"/>
      </w:pPr>
      <w:r>
        <w:rPr/>
      </w:r>
    </w:p>
    <w:p>
      <w:pPr>
        <w:pStyle w:val="style0"/>
        <w:numPr>
          <w:ilvl w:val="0"/>
          <w:numId w:val="10"/>
        </w:numPr>
      </w:pPr>
      <w:r>
        <w:rPr/>
        <w:t xml:space="preserve">Desarrollar la revisión sistemática y exhaustiva que debe llevarse a cabo en torno a los simuladores de riesgos, con la finalidad de adecuar sus procesos al cambiante entorno económico, mediante la actualización de sus parámetros de estudio. </w:t>
      </w:r>
    </w:p>
    <w:p>
      <w:pPr>
        <w:pStyle w:val="style82"/>
      </w:pPr>
      <w:r>
        <w:rPr/>
      </w:r>
    </w:p>
    <w:p>
      <w:pPr>
        <w:pStyle w:val="style0"/>
        <w:numPr>
          <w:ilvl w:val="0"/>
          <w:numId w:val="10"/>
        </w:numPr>
      </w:pPr>
      <w:r>
        <w:rPr/>
        <w:t>Tomar en consideración la revisión periódica de las normas y procedimientos, debido a que los mismos garantizan  que las operaciones se llevan a cabo de acuerdo con los objetivos institucionales, razón por la cual se recomienda la efectiva revisión de las normas y procedimientos en la institución con la finalidad de precisar fallas o deficiencias para solventarlas.</w:t>
      </w:r>
    </w:p>
    <w:p>
      <w:pPr>
        <w:pStyle w:val="style0"/>
        <w:ind w:firstLine="567" w:left="1004" w:right="0"/>
      </w:pPr>
      <w:r>
        <w:rPr/>
      </w:r>
    </w:p>
    <w:p>
      <w:pPr>
        <w:pStyle w:val="style0"/>
        <w:numPr>
          <w:ilvl w:val="0"/>
          <w:numId w:val="10"/>
        </w:numPr>
      </w:pPr>
      <w:r>
        <w:rPr/>
        <w:t xml:space="preserve">Fortalecer la consideración de los indicadores de gestión como factor de importancia en las evaluaciones de crédito de al consumo  en la institución, debido a que son referencia válida de información en torno a índices provenientes de datos confiables que facilitan la identificación de los movimientos, capacidad de pago y comportamiento financiero de un cliente.  </w:t>
      </w:r>
    </w:p>
    <w:p>
      <w:pPr>
        <w:pStyle w:val="style0"/>
        <w:ind w:firstLine="567" w:left="1004" w:right="0"/>
      </w:pPr>
      <w:r>
        <w:rPr/>
      </w:r>
    </w:p>
    <w:p>
      <w:pPr>
        <w:pStyle w:val="style0"/>
        <w:numPr>
          <w:ilvl w:val="0"/>
          <w:numId w:val="10"/>
        </w:numPr>
      </w:pPr>
      <w:r>
        <w:rPr>
          <w:lang w:val="es-VE"/>
        </w:rPr>
        <w:t>Desarrollar un análisis sobre las funciones y responsabilidades del personal del área crediticia, debido a que los cambios en los movimientos bancarios de un cliente representan un elemento clave.</w:t>
      </w:r>
    </w:p>
    <w:p>
      <w:pPr>
        <w:pStyle w:val="style0"/>
        <w:widowControl w:val="false"/>
      </w:pPr>
      <w:r>
        <w:rPr>
          <w:lang w:val="es-VE"/>
        </w:rPr>
      </w:r>
    </w:p>
    <w:p>
      <w:pPr>
        <w:pStyle w:val="style0"/>
      </w:pPr>
      <w:r>
        <w:rPr/>
      </w:r>
    </w:p>
    <w:p>
      <w:pPr>
        <w:pStyle w:val="style1"/>
        <w:pageBreakBefore/>
        <w:ind w:hanging="0" w:left="0" w:right="0"/>
      </w:pPr>
      <w:bookmarkStart w:id="112" w:name="__RefHeading__4992_1544206207"/>
      <w:bookmarkStart w:id="113" w:name="_Toc432059705"/>
      <w:bookmarkEnd w:id="112"/>
      <w:bookmarkEnd w:id="113"/>
      <w:r>
        <w:rPr/>
        <w:t>REFERENCIAS BIBLIOGRÁFICAS</w:t>
      </w:r>
    </w:p>
    <w:p>
      <w:pPr>
        <w:pStyle w:val="style78"/>
        <w:spacing w:line="100" w:lineRule="atLeast"/>
        <w:ind w:hanging="340" w:left="340" w:right="0"/>
      </w:pPr>
      <w:r>
        <w:rPr>
          <w:szCs w:val="24"/>
        </w:rPr>
      </w:r>
    </w:p>
    <w:p>
      <w:pPr>
        <w:pStyle w:val="style78"/>
        <w:spacing w:line="100" w:lineRule="atLeast"/>
        <w:ind w:hanging="340" w:left="340" w:right="0"/>
      </w:pPr>
      <w:r>
        <w:rPr>
          <w:szCs w:val="24"/>
        </w:rPr>
      </w:r>
    </w:p>
    <w:p>
      <w:pPr>
        <w:pStyle w:val="style76"/>
        <w:ind w:hanging="567" w:left="567" w:right="0"/>
        <w:jc w:val="both"/>
      </w:pPr>
      <w:r>
        <w:rPr>
          <w:rFonts w:ascii="Times New Roman" w:cs="Times New Roman" w:hAnsi="Times New Roman"/>
          <w:color w:val="00000A"/>
        </w:rPr>
        <w:t xml:space="preserve">Álvarez, M. (2010) </w:t>
      </w:r>
      <w:r>
        <w:rPr>
          <w:rFonts w:ascii="Times New Roman" w:cs="Times New Roman" w:hAnsi="Times New Roman"/>
          <w:b/>
          <w:color w:val="00000A"/>
          <w:lang w:val="es-MX"/>
        </w:rPr>
        <w:t xml:space="preserve">Modelo Integral de Productividad en las Adquisiciones Corporativas Bancarias. Caso: Corp Banca – Banco Occidental de Descuento BOD. </w:t>
      </w:r>
      <w:r>
        <w:rPr>
          <w:rFonts w:ascii="Times New Roman" w:cs="Times New Roman" w:hAnsi="Times New Roman"/>
          <w:bCs/>
          <w:color w:val="00000A"/>
        </w:rPr>
        <w:t>Trabajo presentado en la Universidad Bicentenaria de Aragua para optar al título de Magister en Gerencia, mención Finanzas.</w:t>
      </w:r>
    </w:p>
    <w:p>
      <w:pPr>
        <w:pStyle w:val="style72"/>
        <w:spacing w:line="100" w:lineRule="atLeast"/>
        <w:ind w:hanging="567" w:left="567" w:right="0"/>
      </w:pPr>
      <w:r>
        <w:rPr/>
      </w:r>
    </w:p>
    <w:p>
      <w:pPr>
        <w:pStyle w:val="style72"/>
        <w:spacing w:line="100" w:lineRule="atLeast"/>
        <w:ind w:hanging="567" w:left="567" w:right="0"/>
      </w:pPr>
      <w:r>
        <w:rPr/>
        <w:t xml:space="preserve">América, L. (2000) Los indicadores de gestión en el mundo empresarial. Ciudad de México: Valdés. </w:t>
      </w:r>
    </w:p>
    <w:p>
      <w:pPr>
        <w:pStyle w:val="style72"/>
        <w:spacing w:line="100" w:lineRule="atLeast"/>
        <w:ind w:hanging="567" w:left="567" w:right="0"/>
      </w:pPr>
      <w:r>
        <w:rPr/>
      </w:r>
    </w:p>
    <w:p>
      <w:pPr>
        <w:pStyle w:val="style78"/>
        <w:spacing w:line="100" w:lineRule="atLeast"/>
        <w:ind w:hanging="340" w:left="340" w:right="0"/>
      </w:pPr>
      <w:r>
        <w:rPr>
          <w:szCs w:val="24"/>
        </w:rPr>
        <w:t xml:space="preserve">Arias, (1997) </w:t>
      </w:r>
      <w:r>
        <w:rPr>
          <w:b/>
          <w:szCs w:val="24"/>
        </w:rPr>
        <w:t>Metodología de la Investigación en Ciencias Económicas y Administrativas.</w:t>
      </w:r>
      <w:r>
        <w:rPr>
          <w:szCs w:val="24"/>
        </w:rPr>
        <w:t xml:space="preserve"> </w:t>
      </w:r>
      <w:r>
        <w:rPr>
          <w:szCs w:val="24"/>
          <w:lang w:val="es-MX"/>
        </w:rPr>
        <w:t>Bogotá. Mc. Graw Hill.</w:t>
      </w:r>
    </w:p>
    <w:p>
      <w:pPr>
        <w:pStyle w:val="style0"/>
        <w:ind w:hanging="340" w:left="340" w:right="0"/>
      </w:pPr>
      <w:r>
        <w:rPr>
          <w:bCs/>
        </w:rPr>
      </w:r>
    </w:p>
    <w:p>
      <w:pPr>
        <w:pStyle w:val="style72"/>
        <w:spacing w:line="100" w:lineRule="atLeast"/>
        <w:ind w:hanging="567" w:left="567" w:right="0"/>
      </w:pPr>
      <w:r>
        <w:rPr/>
        <w:t xml:space="preserve">Asociación Bancaria de Venezuela (2012). </w:t>
      </w:r>
      <w:r>
        <w:rPr>
          <w:b/>
        </w:rPr>
        <w:t>Informe de Gestión</w:t>
      </w:r>
      <w:r>
        <w:rPr/>
        <w:t xml:space="preserve">. Mes: Febrero de 2012. Caracas: autor. </w:t>
      </w:r>
    </w:p>
    <w:p>
      <w:pPr>
        <w:pStyle w:val="style0"/>
        <w:ind w:hanging="340" w:left="340" w:right="0"/>
      </w:pPr>
      <w:r>
        <w:rPr>
          <w:bCs/>
        </w:rPr>
      </w:r>
    </w:p>
    <w:p>
      <w:pPr>
        <w:pStyle w:val="style0"/>
        <w:ind w:hanging="340" w:left="340" w:right="0"/>
      </w:pPr>
      <w:r>
        <w:rPr>
          <w:bCs/>
        </w:rPr>
        <w:t>Ávila, M. (2006).</w:t>
      </w:r>
      <w:r>
        <w:rPr>
          <w:b/>
          <w:bCs/>
        </w:rPr>
        <w:t xml:space="preserve"> Metodología de la Investigación. </w:t>
      </w:r>
      <w:r>
        <w:rPr>
          <w:bCs/>
        </w:rPr>
        <w:t>Editorial Mc Graw Hill. México.</w:t>
      </w:r>
    </w:p>
    <w:p>
      <w:pPr>
        <w:pStyle w:val="style0"/>
        <w:ind w:hanging="340" w:left="340" w:right="0"/>
      </w:pPr>
      <w:r>
        <w:rPr/>
      </w:r>
    </w:p>
    <w:p>
      <w:pPr>
        <w:pStyle w:val="style0"/>
        <w:ind w:hanging="340" w:left="340" w:right="0"/>
      </w:pPr>
      <w:r>
        <w:rPr/>
        <w:t xml:space="preserve">Argones (2007). </w:t>
      </w:r>
      <w:r>
        <w:rPr>
          <w:b/>
        </w:rPr>
        <w:t>Sistemas Económicos.</w:t>
      </w:r>
      <w:r>
        <w:rPr/>
        <w:t xml:space="preserve"> Editorial Mc. Graw Hill. Segunda Edición.  México. </w:t>
      </w:r>
    </w:p>
    <w:p>
      <w:pPr>
        <w:pStyle w:val="style0"/>
        <w:ind w:hanging="340" w:left="340" w:right="0"/>
      </w:pPr>
      <w:r>
        <w:rPr/>
      </w:r>
    </w:p>
    <w:p>
      <w:pPr>
        <w:pStyle w:val="style0"/>
        <w:ind w:hanging="567" w:left="567" w:right="0"/>
      </w:pPr>
      <w:r>
        <w:rPr/>
        <w:t xml:space="preserve">Banco Central de Venezuela (2009) </w:t>
      </w:r>
      <w:r>
        <w:rPr>
          <w:b/>
        </w:rPr>
        <w:t>Revista del Banco Central de Venezuela.</w:t>
      </w:r>
      <w:r>
        <w:rPr/>
        <w:t xml:space="preserve"> Mes de Julio de 2009. Ediciones del Banco Central de Venezuela. </w:t>
      </w:r>
    </w:p>
    <w:p>
      <w:pPr>
        <w:pStyle w:val="style0"/>
        <w:ind w:hanging="340" w:left="340" w:right="0"/>
      </w:pPr>
      <w:r>
        <w:rPr/>
      </w:r>
    </w:p>
    <w:p>
      <w:pPr>
        <w:pStyle w:val="style0"/>
        <w:ind w:hanging="340" w:left="340" w:right="0"/>
      </w:pPr>
      <w:r>
        <w:rPr/>
        <w:t xml:space="preserve">Beltrán, J (1998) </w:t>
      </w:r>
      <w:r>
        <w:rPr>
          <w:b/>
          <w:bCs/>
        </w:rPr>
        <w:t>Indicadores de Gestión</w:t>
      </w:r>
      <w:r>
        <w:rPr/>
        <w:t>. Bogotá: Global Ediciones.</w:t>
      </w:r>
    </w:p>
    <w:p>
      <w:pPr>
        <w:pStyle w:val="style0"/>
        <w:ind w:hanging="340" w:left="340" w:right="0"/>
      </w:pPr>
      <w:r>
        <w:rPr/>
      </w:r>
    </w:p>
    <w:p>
      <w:pPr>
        <w:pStyle w:val="style0"/>
        <w:ind w:hanging="340" w:left="340" w:right="0"/>
      </w:pPr>
      <w:r>
        <w:rPr/>
        <w:t xml:space="preserve">Bisquerra, R. (1989). </w:t>
      </w:r>
      <w:r>
        <w:rPr>
          <w:b/>
        </w:rPr>
        <w:t xml:space="preserve">Métodos de Investigación Educativa Guía Práctica. </w:t>
      </w:r>
      <w:r>
        <w:rPr/>
        <w:t>C</w:t>
      </w:r>
      <w:r>
        <w:rPr>
          <w:lang w:val="es-MX"/>
        </w:rPr>
        <w:t>EAC.</w:t>
      </w:r>
    </w:p>
    <w:p>
      <w:pPr>
        <w:pStyle w:val="style0"/>
        <w:ind w:hanging="340" w:left="340" w:right="0"/>
      </w:pPr>
      <w:r>
        <w:rPr>
          <w:lang w:val="es-MX"/>
        </w:rPr>
      </w:r>
    </w:p>
    <w:p>
      <w:pPr>
        <w:pStyle w:val="style0"/>
        <w:ind w:hanging="340" w:left="340" w:right="0"/>
      </w:pPr>
      <w:r>
        <w:rPr/>
        <w:t xml:space="preserve">Balestrini, M. (2002) </w:t>
      </w:r>
      <w:r>
        <w:rPr>
          <w:b/>
        </w:rPr>
        <w:t xml:space="preserve">Como Se Elabora El Proyecto De Investigación. </w:t>
      </w:r>
      <w:r>
        <w:rPr/>
        <w:t xml:space="preserve">BL  Consultores y Asociados. Caracas- Venezuela. </w:t>
      </w:r>
    </w:p>
    <w:p>
      <w:pPr>
        <w:pStyle w:val="style0"/>
        <w:ind w:hanging="340" w:left="340" w:right="0"/>
      </w:pPr>
      <w:r>
        <w:rPr/>
      </w:r>
    </w:p>
    <w:p>
      <w:pPr>
        <w:pStyle w:val="style0"/>
        <w:ind w:hanging="340" w:left="340" w:right="0"/>
      </w:pPr>
      <w:r>
        <w:rPr/>
        <w:t xml:space="preserve">Braghan. Ch. (2006). </w:t>
      </w:r>
      <w:r>
        <w:rPr>
          <w:b/>
        </w:rPr>
        <w:t>Medición</w:t>
      </w:r>
      <w:r>
        <w:rPr>
          <w:rStyle w:val="style37"/>
          <w:b/>
          <w:color w:val="000000"/>
          <w:shd w:fill="FFFFFF" w:val="clear"/>
        </w:rPr>
        <w:t> </w:t>
      </w:r>
      <w:r>
        <w:rPr>
          <w:b/>
          <w:color w:val="000000"/>
          <w:shd w:fill="FFFFFF" w:val="clear"/>
        </w:rPr>
        <w:t xml:space="preserve">y Control de Riesgos Financieros. </w:t>
      </w:r>
      <w:r>
        <w:rPr>
          <w:color w:val="000000"/>
          <w:shd w:fill="FFFFFF" w:val="clear"/>
        </w:rPr>
        <w:t>México: Limusa.</w:t>
      </w:r>
      <w:r>
        <w:rPr>
          <w:b/>
          <w:color w:val="000000"/>
          <w:shd w:fill="FFFFFF" w:val="clear"/>
        </w:rPr>
        <w:t xml:space="preserve"> </w:t>
      </w:r>
      <w:r>
        <w:rPr>
          <w:color w:val="000000"/>
          <w:shd w:fill="FFFFFF" w:val="clear"/>
        </w:rPr>
        <w:t>2da.</w:t>
      </w:r>
      <w:r>
        <w:rPr>
          <w:rStyle w:val="style37"/>
          <w:color w:val="000000"/>
          <w:shd w:fill="FFFFFF" w:val="clear"/>
        </w:rPr>
        <w:t> </w:t>
      </w:r>
      <w:r>
        <w:rPr/>
        <w:t>Edición</w:t>
      </w:r>
      <w:r>
        <w:rPr>
          <w:color w:val="000000"/>
          <w:shd w:fill="FFFFFF" w:val="clear"/>
        </w:rPr>
        <w:t>,</w:t>
      </w:r>
      <w:r>
        <w:rPr>
          <w:rStyle w:val="style37"/>
          <w:color w:val="000000"/>
          <w:shd w:fill="FFFFFF" w:val="clear"/>
        </w:rPr>
        <w:t> </w:t>
      </w:r>
      <w:r>
        <w:rPr/>
        <w:t>México</w:t>
      </w:r>
      <w:r>
        <w:rPr>
          <w:rStyle w:val="style37"/>
          <w:color w:val="000000"/>
          <w:shd w:fill="FFFFFF" w:val="clear"/>
        </w:rPr>
        <w:t> </w:t>
      </w:r>
      <w:r>
        <w:rPr>
          <w:color w:val="000000"/>
          <w:shd w:fill="FFFFFF" w:val="clear"/>
        </w:rPr>
        <w:t xml:space="preserve">D.F. México. </w:t>
      </w:r>
    </w:p>
    <w:p>
      <w:pPr>
        <w:pStyle w:val="style0"/>
        <w:ind w:hanging="340" w:left="340" w:right="0"/>
      </w:pPr>
      <w:r>
        <w:rPr>
          <w:rFonts w:ascii="Arial" w:cs="Arial" w:hAnsi="Arial"/>
          <w:color w:val="000000"/>
          <w:sz w:val="18"/>
          <w:szCs w:val="18"/>
        </w:rPr>
      </w:r>
    </w:p>
    <w:p>
      <w:pPr>
        <w:pStyle w:val="style0"/>
        <w:ind w:hanging="340" w:left="340" w:right="0"/>
      </w:pPr>
      <w:r>
        <w:rPr/>
        <w:t xml:space="preserve">Cariola (2008). </w:t>
      </w:r>
      <w:r>
        <w:rPr>
          <w:b/>
        </w:rPr>
        <w:t>Finanzas en Administración</w:t>
      </w:r>
      <w:r>
        <w:rPr/>
        <w:t xml:space="preserve">. </w:t>
      </w:r>
      <w:r>
        <w:rPr>
          <w:lang w:val="es-VE"/>
        </w:rPr>
        <w:t xml:space="preserve">México. Mc Graw Hill.   </w:t>
      </w:r>
    </w:p>
    <w:p>
      <w:pPr>
        <w:pStyle w:val="style0"/>
        <w:ind w:hanging="567" w:left="567" w:right="0"/>
      </w:pPr>
      <w:r>
        <w:rPr/>
      </w:r>
    </w:p>
    <w:p>
      <w:pPr>
        <w:pStyle w:val="style0"/>
        <w:ind w:hanging="567" w:left="567" w:right="0"/>
      </w:pPr>
      <w:r>
        <w:rPr/>
        <w:t xml:space="preserve">Cariola (1988). </w:t>
      </w:r>
      <w:r>
        <w:rPr>
          <w:b/>
          <w:lang w:val="es-VE"/>
        </w:rPr>
        <w:t xml:space="preserve">Indicadores Integrales de Gestión. </w:t>
      </w:r>
      <w:r>
        <w:rPr>
          <w:lang w:val="es-VE"/>
        </w:rPr>
        <w:t>México: Mc. Graw – Hill, S. A.</w:t>
      </w:r>
    </w:p>
    <w:p>
      <w:pPr>
        <w:pStyle w:val="style0"/>
        <w:ind w:hanging="567" w:left="567" w:right="0"/>
      </w:pPr>
      <w:r>
        <w:rPr>
          <w:bCs/>
          <w:lang w:val="es-VE"/>
        </w:rPr>
      </w:r>
    </w:p>
    <w:p>
      <w:pPr>
        <w:pStyle w:val="style0"/>
        <w:ind w:hanging="340" w:left="340" w:right="0"/>
      </w:pPr>
      <w:r>
        <w:rPr/>
        <w:t xml:space="preserve">Centeno, (2010). </w:t>
      </w:r>
      <w:r>
        <w:rPr>
          <w:b/>
        </w:rPr>
        <w:t xml:space="preserve">Modelo de planificación financiera como herramienta para mejorar el funcionamiento de las empresas del sector construcción ubicadas en el municipio Girardot del estado Aragua. Trabajo Especial de Grado </w:t>
      </w:r>
      <w:r>
        <w:rPr>
          <w:bCs/>
        </w:rPr>
        <w:t xml:space="preserve">presentado ante la Universidad de Carabobo, Núcleo Aragua para optar al título de Magister en Gerencia, mención Finanzas. </w:t>
      </w:r>
    </w:p>
    <w:p>
      <w:pPr>
        <w:pStyle w:val="style0"/>
        <w:ind w:hanging="340" w:left="340" w:right="0"/>
      </w:pPr>
      <w:r>
        <w:rPr>
          <w:shd w:fill="FFFFFF" w:val="clear"/>
        </w:rPr>
      </w:r>
    </w:p>
    <w:p>
      <w:pPr>
        <w:pStyle w:val="style0"/>
        <w:ind w:hanging="340" w:left="340" w:right="0"/>
      </w:pPr>
      <w:r>
        <w:rPr>
          <w:shd w:fill="FFFFFF" w:val="clear"/>
        </w:rPr>
        <w:t>Comisión Nacional para la Protección y Defensa de los Usuarios de Servicios Financieros (CONDUSEF, 2014).</w:t>
      </w:r>
    </w:p>
    <w:p>
      <w:pPr>
        <w:pStyle w:val="style0"/>
        <w:ind w:hanging="340" w:left="340" w:right="0"/>
      </w:pPr>
      <w:r>
        <w:rPr/>
      </w:r>
    </w:p>
    <w:p>
      <w:pPr>
        <w:pStyle w:val="style0"/>
        <w:ind w:hanging="567" w:left="567" w:right="0"/>
      </w:pPr>
      <w:r>
        <w:rPr>
          <w:shd w:fill="FFFFFF" w:val="clear"/>
        </w:rPr>
        <w:t xml:space="preserve">Esteves, T. (2007). </w:t>
      </w:r>
      <w:r>
        <w:rPr>
          <w:b/>
          <w:shd w:fill="FFFFFF" w:val="clear"/>
        </w:rPr>
        <w:t>Temas de Banca y</w:t>
      </w:r>
      <w:r>
        <w:rPr>
          <w:rStyle w:val="style37"/>
          <w:b/>
          <w:shd w:fill="FFFFFF" w:val="clear"/>
        </w:rPr>
        <w:t> </w:t>
      </w:r>
      <w:r>
        <w:rPr>
          <w:b/>
        </w:rPr>
        <w:t>Seguros</w:t>
      </w:r>
      <w:r>
        <w:rPr>
          <w:shd w:fill="FFFFFF" w:val="clear"/>
        </w:rPr>
        <w:t>. Caracas, Venezuela, Editorial Panapo, 2da. Edición, 2007.</w:t>
      </w:r>
    </w:p>
    <w:p>
      <w:pPr>
        <w:pStyle w:val="style0"/>
        <w:ind w:hanging="567" w:left="567" w:right="0"/>
      </w:pPr>
      <w:r>
        <w:rPr>
          <w:lang w:val="es-VE"/>
        </w:rPr>
      </w:r>
    </w:p>
    <w:p>
      <w:pPr>
        <w:pStyle w:val="style0"/>
        <w:ind w:hanging="340" w:left="340" w:right="0"/>
      </w:pPr>
      <w:r>
        <w:rPr/>
        <w:t xml:space="preserve">Emery y Finnerty (2000). </w:t>
      </w:r>
      <w:r>
        <w:rPr>
          <w:b/>
        </w:rPr>
        <w:t>Administración Financiera Corporativa</w:t>
      </w:r>
      <w:r>
        <w:rPr/>
        <w:t xml:space="preserve">. Prentice Hall - México </w:t>
      </w:r>
    </w:p>
    <w:p>
      <w:pPr>
        <w:pStyle w:val="style0"/>
        <w:ind w:hanging="340" w:left="340" w:right="0"/>
      </w:pPr>
      <w:r>
        <w:rPr/>
      </w:r>
    </w:p>
    <w:p>
      <w:pPr>
        <w:pStyle w:val="style0"/>
        <w:ind w:hanging="567" w:left="567" w:right="0"/>
      </w:pPr>
      <w:r>
        <w:rPr/>
        <w:t xml:space="preserve">Fajardo. (2004). </w:t>
      </w:r>
      <w:r>
        <w:rPr>
          <w:b/>
        </w:rPr>
        <w:t>Sistemas Económicos.</w:t>
      </w:r>
      <w:r>
        <w:rPr/>
        <w:t xml:space="preserve"> Editorial Mc. Graw Hill. Segunda Edición.  México. </w:t>
      </w:r>
    </w:p>
    <w:p>
      <w:pPr>
        <w:pStyle w:val="style0"/>
        <w:ind w:hanging="567" w:left="567" w:right="0"/>
      </w:pPr>
      <w:r>
        <w:rPr/>
      </w:r>
    </w:p>
    <w:p>
      <w:pPr>
        <w:pStyle w:val="style0"/>
        <w:ind w:hanging="567" w:left="567" w:right="0"/>
      </w:pPr>
      <w:r>
        <w:rPr/>
        <w:t xml:space="preserve">Federación Latinoamericana de Bancos (FELABAN) (2011). </w:t>
      </w:r>
      <w:r>
        <w:rPr>
          <w:b/>
        </w:rPr>
        <w:t>Informe Anual</w:t>
      </w:r>
      <w:r>
        <w:rPr/>
        <w:t xml:space="preserve">. Buenos Aires: autor. </w:t>
      </w:r>
    </w:p>
    <w:p>
      <w:pPr>
        <w:pStyle w:val="style0"/>
        <w:ind w:hanging="340" w:left="340" w:right="0"/>
      </w:pPr>
      <w:r>
        <w:rPr/>
      </w:r>
    </w:p>
    <w:p>
      <w:pPr>
        <w:pStyle w:val="style0"/>
        <w:ind w:hanging="340" w:left="340" w:right="0"/>
      </w:pPr>
      <w:r>
        <w:rPr>
          <w:lang w:val="es-ES"/>
        </w:rPr>
        <w:t>Ferrer (2009</w:t>
      </w:r>
      <w:r>
        <w:rPr/>
        <w:t xml:space="preserve">). </w:t>
      </w:r>
      <w:r>
        <w:rPr>
          <w:b/>
          <w:bCs/>
        </w:rPr>
        <w:t>Sistema de gestión y control. La empresa: Dirección y Administración</w:t>
      </w:r>
      <w:r>
        <w:rPr>
          <w:bCs/>
        </w:rPr>
        <w:t xml:space="preserve">. (2. Ed.), Volumen III. España: Triangulo Contable. </w:t>
      </w:r>
    </w:p>
    <w:p>
      <w:pPr>
        <w:pStyle w:val="style0"/>
        <w:ind w:hanging="340" w:left="340" w:right="0"/>
      </w:pPr>
      <w:r>
        <w:rPr>
          <w:bCs/>
        </w:rPr>
      </w:r>
    </w:p>
    <w:p>
      <w:pPr>
        <w:pStyle w:val="style0"/>
        <w:ind w:hanging="340" w:left="340" w:right="0"/>
      </w:pPr>
      <w:r>
        <w:rPr>
          <w:bCs/>
        </w:rPr>
        <w:t xml:space="preserve">Hernández. (2002). </w:t>
      </w:r>
      <w:r>
        <w:rPr>
          <w:b/>
          <w:bCs/>
        </w:rPr>
        <w:t>M</w:t>
      </w:r>
      <w:r>
        <w:rPr>
          <w:b/>
        </w:rPr>
        <w:t xml:space="preserve">etodología de la Investigación.  </w:t>
      </w:r>
      <w:r>
        <w:rPr/>
        <w:t>Fondo Editorial Legis. Colombia</w:t>
      </w:r>
    </w:p>
    <w:p>
      <w:pPr>
        <w:pStyle w:val="style0"/>
        <w:widowControl w:val="false"/>
        <w:ind w:hanging="340" w:left="340" w:right="0"/>
      </w:pPr>
      <w:r>
        <w:rPr/>
      </w:r>
    </w:p>
    <w:p>
      <w:pPr>
        <w:pStyle w:val="style0"/>
        <w:widowControl w:val="false"/>
        <w:ind w:hanging="340" w:left="340" w:right="0"/>
      </w:pPr>
      <w:r>
        <w:rPr/>
        <w:t>Hernández, R.  Fernández, C. y Baptista, P. (2005</w:t>
      </w:r>
      <w:r>
        <w:rPr>
          <w:bCs/>
          <w:iCs/>
        </w:rPr>
        <w:t>)</w:t>
      </w:r>
      <w:r>
        <w:rPr>
          <w:b/>
          <w:iCs/>
        </w:rPr>
        <w:t xml:space="preserve"> </w:t>
      </w:r>
      <w:r>
        <w:rPr>
          <w:b/>
          <w:bCs/>
        </w:rPr>
        <w:t>Metodología de la  Investigación</w:t>
      </w:r>
      <w:r>
        <w:rPr>
          <w:b/>
          <w:iCs/>
        </w:rPr>
        <w:t>.</w:t>
      </w:r>
      <w:r>
        <w:rPr/>
        <w:t xml:space="preserve"> Ciudad de México. Editorial Mc. Graw Hill  Interamericana. </w:t>
      </w:r>
    </w:p>
    <w:p>
      <w:pPr>
        <w:pStyle w:val="style0"/>
        <w:ind w:hanging="340" w:left="340" w:right="0"/>
      </w:pPr>
      <w:r>
        <w:rPr/>
      </w:r>
    </w:p>
    <w:p>
      <w:pPr>
        <w:pStyle w:val="style0"/>
        <w:ind w:hanging="340" w:left="340" w:right="0"/>
      </w:pPr>
      <w:r>
        <w:rPr/>
        <w:t xml:space="preserve">Hurtado, J. (2000). </w:t>
      </w:r>
      <w:r>
        <w:rPr>
          <w:b/>
        </w:rPr>
        <w:t>Metodología de la Investigación Holística</w:t>
      </w:r>
      <w:r>
        <w:rPr/>
        <w:t xml:space="preserve"> (2a. ed.).  Caracas: SYPAL.   </w:t>
      </w:r>
    </w:p>
    <w:p>
      <w:pPr>
        <w:pStyle w:val="style0"/>
        <w:ind w:hanging="340" w:left="340" w:right="0"/>
      </w:pPr>
      <w:r>
        <w:rPr/>
      </w:r>
    </w:p>
    <w:p>
      <w:pPr>
        <w:pStyle w:val="style0"/>
        <w:ind w:hanging="340" w:left="340" w:right="0"/>
      </w:pPr>
      <w:r>
        <w:rPr/>
        <w:t xml:space="preserve">Jarillo, J. (1995). </w:t>
      </w:r>
      <w:r>
        <w:rPr>
          <w:b/>
        </w:rPr>
        <w:t>Dirección Estratégica</w:t>
      </w:r>
      <w:r>
        <w:rPr/>
        <w:t xml:space="preserve">. España. Mc. Graw-Hill. </w:t>
      </w:r>
    </w:p>
    <w:p>
      <w:pPr>
        <w:pStyle w:val="style0"/>
        <w:ind w:hanging="340" w:left="340" w:right="0"/>
      </w:pPr>
      <w:r>
        <w:rPr/>
      </w:r>
    </w:p>
    <w:p>
      <w:pPr>
        <w:pStyle w:val="style0"/>
        <w:ind w:hanging="340" w:left="340" w:right="0"/>
      </w:pPr>
      <w:r>
        <w:rPr>
          <w:color w:val="000000"/>
        </w:rPr>
        <w:t xml:space="preserve">Jorion, P. (1999), </w:t>
      </w:r>
      <w:r>
        <w:rPr>
          <w:rStyle w:val="style37"/>
          <w:color w:val="000000"/>
        </w:rPr>
        <w:t> </w:t>
      </w:r>
      <w:r>
        <w:rPr>
          <w:b/>
          <w:color w:val="000000"/>
        </w:rPr>
        <w:t>Valor</w:t>
      </w:r>
      <w:r>
        <w:rPr>
          <w:rStyle w:val="style37"/>
          <w:b/>
          <w:color w:val="000000"/>
        </w:rPr>
        <w:t> </w:t>
      </w:r>
      <w:r>
        <w:rPr>
          <w:b/>
          <w:color w:val="000000"/>
        </w:rPr>
        <w:t>en Riesgo.</w:t>
      </w:r>
      <w:r>
        <w:rPr>
          <w:color w:val="000000"/>
        </w:rPr>
        <w:t xml:space="preserve"> México D.F, México, LIMUSA Noriega Editores. </w:t>
      </w:r>
    </w:p>
    <w:p>
      <w:pPr>
        <w:pStyle w:val="style0"/>
      </w:pPr>
      <w:r>
        <w:rPr/>
      </w:r>
    </w:p>
    <w:p>
      <w:pPr>
        <w:pStyle w:val="style78"/>
        <w:spacing w:line="100" w:lineRule="atLeast"/>
        <w:ind w:hanging="340" w:left="340" w:right="0"/>
      </w:pPr>
      <w:r>
        <w:rPr>
          <w:szCs w:val="24"/>
        </w:rPr>
        <w:t>Lawrence (2004).</w:t>
      </w:r>
      <w:r>
        <w:rPr>
          <w:b/>
          <w:szCs w:val="24"/>
        </w:rPr>
        <w:t xml:space="preserve"> Teoría de la Administración. </w:t>
      </w:r>
      <w:r>
        <w:rPr>
          <w:szCs w:val="24"/>
        </w:rPr>
        <w:t xml:space="preserve">México. Noriega. Editores Limusa. </w:t>
      </w:r>
    </w:p>
    <w:p>
      <w:pPr>
        <w:pStyle w:val="style73"/>
        <w:spacing w:line="100" w:lineRule="atLeast"/>
        <w:ind w:hanging="0" w:left="340" w:right="0"/>
      </w:pPr>
      <w:r>
        <w:rPr/>
      </w:r>
    </w:p>
    <w:p>
      <w:pPr>
        <w:pStyle w:val="style0"/>
        <w:ind w:hanging="340" w:left="340" w:right="0"/>
      </w:pPr>
      <w:r>
        <w:rPr>
          <w:color w:val="000000"/>
        </w:rPr>
        <w:t xml:space="preserve">Lama, A. (2011). </w:t>
      </w:r>
      <w:r>
        <w:rPr>
          <w:b/>
          <w:color w:val="000000"/>
        </w:rPr>
        <w:t>Sensibilidad del activo y pasivo a las variaciones de tipo de</w:t>
      </w:r>
      <w:r>
        <w:rPr>
          <w:rStyle w:val="style37"/>
          <w:b/>
          <w:color w:val="000000"/>
        </w:rPr>
        <w:t> </w:t>
      </w:r>
      <w:r>
        <w:rPr>
          <w:b/>
          <w:color w:val="000000"/>
        </w:rPr>
        <w:t>interés. Control y Gestión</w:t>
      </w:r>
      <w:r>
        <w:rPr>
          <w:color w:val="000000"/>
        </w:rPr>
        <w:t>. Perspectivas del</w:t>
      </w:r>
      <w:r>
        <w:rPr>
          <w:rStyle w:val="style37"/>
          <w:color w:val="000000"/>
        </w:rPr>
        <w:t> </w:t>
      </w:r>
      <w:r>
        <w:rPr>
          <w:color w:val="000000"/>
        </w:rPr>
        <w:t xml:space="preserve">Sistema Financiero. México D.F, México, LIMUSA Noriega Editores. </w:t>
      </w:r>
    </w:p>
    <w:p>
      <w:pPr>
        <w:pStyle w:val="style76"/>
        <w:spacing w:line="240" w:lineRule="atLeast"/>
        <w:jc w:val="both"/>
      </w:pPr>
      <w:r>
        <w:rPr>
          <w:rFonts w:ascii="Times New Roman" w:cs="Times New Roman" w:hAnsi="Times New Roman"/>
          <w:color w:val="000000"/>
        </w:rPr>
      </w:r>
    </w:p>
    <w:p>
      <w:pPr>
        <w:pStyle w:val="style0"/>
        <w:ind w:hanging="567" w:left="567" w:right="0"/>
      </w:pPr>
      <w:r>
        <w:rPr/>
        <w:t xml:space="preserve">Maza Zavala. (2005). </w:t>
      </w:r>
      <w:r>
        <w:rPr>
          <w:b/>
        </w:rPr>
        <w:t xml:space="preserve">Control de Gestión: Una Perspectiva de Dirección. </w:t>
      </w:r>
      <w:r>
        <w:rPr/>
        <w:t xml:space="preserve"> (6 a. ed.).  España: </w:t>
      </w:r>
      <w:r>
        <w:rPr>
          <w:bCs/>
          <w:lang w:val="es-VE"/>
        </w:rPr>
        <w:t xml:space="preserve">Ediciones Gestión 2000, S. A.   </w:t>
      </w:r>
    </w:p>
    <w:p>
      <w:pPr>
        <w:pStyle w:val="style0"/>
        <w:ind w:hanging="567" w:left="567" w:right="0"/>
      </w:pPr>
      <w:r>
        <w:rPr/>
      </w:r>
    </w:p>
    <w:p>
      <w:pPr>
        <w:pStyle w:val="style0"/>
        <w:widowControl w:val="false"/>
        <w:ind w:hanging="340" w:left="340" w:right="0"/>
      </w:pPr>
      <w:r>
        <w:rPr/>
        <w:t xml:space="preserve">Morles, V. (1998) </w:t>
      </w:r>
      <w:r>
        <w:rPr>
          <w:b/>
        </w:rPr>
        <w:t xml:space="preserve">Técnicas de Estudio y </w:t>
      </w:r>
      <w:r>
        <w:rPr>
          <w:b/>
          <w:bCs/>
        </w:rPr>
        <w:t>Metodología de la Investigación.</w:t>
      </w:r>
      <w:r>
        <w:rPr>
          <w:b/>
        </w:rPr>
        <w:t xml:space="preserve"> </w:t>
      </w:r>
      <w:r>
        <w:rPr/>
        <w:t xml:space="preserve">Caracas: Panapo. </w:t>
      </w:r>
    </w:p>
    <w:p>
      <w:pPr>
        <w:pStyle w:val="style78"/>
        <w:spacing w:line="100" w:lineRule="atLeast"/>
        <w:ind w:hanging="340" w:left="340" w:right="0"/>
      </w:pPr>
      <w:r>
        <w:rPr>
          <w:szCs w:val="24"/>
        </w:rPr>
      </w:r>
    </w:p>
    <w:p>
      <w:pPr>
        <w:pStyle w:val="style78"/>
        <w:spacing w:line="100" w:lineRule="atLeast"/>
        <w:ind w:hanging="340" w:left="340" w:right="0"/>
      </w:pPr>
      <w:r>
        <w:rPr>
          <w:szCs w:val="24"/>
        </w:rPr>
        <w:t xml:space="preserve">Morrisey, G. (1996). </w:t>
      </w:r>
      <w:r>
        <w:rPr>
          <w:b/>
          <w:szCs w:val="24"/>
        </w:rPr>
        <w:t>Planeación a largo plazo</w:t>
      </w:r>
      <w:r>
        <w:rPr>
          <w:szCs w:val="24"/>
        </w:rPr>
        <w:t xml:space="preserve">. México Prentice Hall </w:t>
        <w:tab/>
        <w:t>Hispanoamericana.</w:t>
      </w:r>
    </w:p>
    <w:p>
      <w:pPr>
        <w:pStyle w:val="style78"/>
        <w:spacing w:line="100" w:lineRule="atLeast"/>
        <w:ind w:hanging="340" w:left="340" w:right="0"/>
      </w:pPr>
      <w:r>
        <w:rPr>
          <w:szCs w:val="24"/>
        </w:rPr>
      </w:r>
    </w:p>
    <w:p>
      <w:pPr>
        <w:pStyle w:val="style76"/>
        <w:ind w:hanging="567" w:left="567" w:right="0"/>
        <w:jc w:val="both"/>
      </w:pPr>
      <w:r>
        <w:rPr>
          <w:rFonts w:ascii="Times New Roman" w:cs="Times New Roman" w:hAnsi="Times New Roman"/>
          <w:color w:val="00000A"/>
        </w:rPr>
        <w:t xml:space="preserve">Nieves, J. (2010) </w:t>
      </w:r>
      <w:r>
        <w:rPr>
          <w:rFonts w:ascii="Times New Roman" w:cs="Times New Roman" w:hAnsi="Times New Roman"/>
          <w:b/>
          <w:color w:val="00000A"/>
        </w:rPr>
        <w:t xml:space="preserve">Impacto de la Reconversión Monetaria en la Economía de Venezuela. </w:t>
      </w:r>
      <w:r>
        <w:rPr>
          <w:rFonts w:ascii="Times New Roman" w:cs="Times New Roman" w:hAnsi="Times New Roman"/>
          <w:bCs/>
          <w:color w:val="00000A"/>
        </w:rPr>
        <w:t>Trabajo presentado en la Universidad Bicentenaria de Aragua para optar al título de Magister en Gerencia, mención Finanzas</w:t>
      </w:r>
    </w:p>
    <w:p>
      <w:pPr>
        <w:pStyle w:val="style0"/>
        <w:ind w:hanging="340" w:left="340" w:right="0"/>
      </w:pPr>
      <w:r>
        <w:rPr/>
      </w:r>
    </w:p>
    <w:p>
      <w:pPr>
        <w:pStyle w:val="style0"/>
        <w:ind w:hanging="567" w:left="567" w:right="0"/>
      </w:pPr>
      <w:r>
        <w:rPr>
          <w:rFonts w:eastAsia="Calibri"/>
          <w:lang w:eastAsia="en-US" w:val="es-VE"/>
        </w:rPr>
        <w:t>Ordoñez (2004)</w:t>
      </w:r>
      <w:r>
        <w:rPr>
          <w:b/>
          <w:bCs/>
        </w:rPr>
        <w:t xml:space="preserve"> Estrategia Competitiva: </w:t>
      </w:r>
      <w:r>
        <w:rPr>
          <w:bCs/>
        </w:rPr>
        <w:t>Técnicas para el análisis de los sectores industriales y de la competencia. Madrid. Editorial Continental.</w:t>
      </w:r>
    </w:p>
    <w:p>
      <w:pPr>
        <w:pStyle w:val="style0"/>
        <w:ind w:hanging="567" w:left="567" w:right="0"/>
      </w:pPr>
      <w:r>
        <w:rPr>
          <w:rFonts w:eastAsia="Calibri"/>
          <w:lang w:eastAsia="en-US" w:val="es-VE"/>
        </w:rPr>
      </w:r>
    </w:p>
    <w:p>
      <w:pPr>
        <w:pStyle w:val="style0"/>
        <w:ind w:hanging="567" w:left="567" w:right="0"/>
      </w:pPr>
      <w:r>
        <w:rPr>
          <w:rFonts w:eastAsia="Calibri"/>
          <w:lang w:eastAsia="en-US" w:val="es-VE"/>
        </w:rPr>
        <w:t xml:space="preserve">Otero, C. (2008). </w:t>
      </w:r>
      <w:r>
        <w:rPr>
          <w:b/>
        </w:rPr>
        <w:t>Estrategias para el cambio:</w:t>
      </w:r>
      <w:r>
        <w:rPr/>
        <w:t xml:space="preserve"> El proceso estratégico. Conceptos, contextos y casos, 2ª edición. México. Editorial Prentice-Hall Hispanoamericana S.A.</w:t>
      </w:r>
    </w:p>
    <w:p>
      <w:pPr>
        <w:pStyle w:val="style0"/>
        <w:ind w:hanging="567" w:left="567" w:right="0"/>
      </w:pPr>
      <w:r>
        <w:rPr/>
      </w:r>
    </w:p>
    <w:p>
      <w:pPr>
        <w:pStyle w:val="style0"/>
        <w:ind w:hanging="567" w:left="567" w:right="0"/>
      </w:pPr>
      <w:r>
        <w:rPr/>
        <w:t xml:space="preserve">Pacheco, J (2002). </w:t>
      </w:r>
      <w:r>
        <w:rPr>
          <w:b/>
        </w:rPr>
        <w:t>Indicadores Integrales de Gestión</w:t>
      </w:r>
      <w:r>
        <w:rPr/>
        <w:t xml:space="preserve">. México: Harla Ediciones.  </w:t>
      </w:r>
    </w:p>
    <w:p>
      <w:pPr>
        <w:pStyle w:val="style0"/>
        <w:ind w:hanging="340" w:left="340" w:right="0"/>
      </w:pPr>
      <w:r>
        <w:rPr/>
      </w:r>
    </w:p>
    <w:p>
      <w:pPr>
        <w:pStyle w:val="style0"/>
        <w:ind w:hanging="340" w:left="340" w:right="0"/>
      </w:pPr>
      <w:r>
        <w:rPr/>
        <w:t xml:space="preserve">Palella Stracuzzi, S y Martins Pestana, F. (2003). </w:t>
      </w:r>
      <w:r>
        <w:rPr>
          <w:b/>
        </w:rPr>
        <w:t>Metodología de la Investigación Cuantitativa</w:t>
      </w:r>
      <w:r>
        <w:rPr/>
        <w:t xml:space="preserve">.  Caracas: Editorial FEDUPEL. </w:t>
      </w:r>
    </w:p>
    <w:p>
      <w:pPr>
        <w:pStyle w:val="style0"/>
        <w:ind w:hanging="340" w:left="340" w:right="0"/>
      </w:pPr>
      <w:r>
        <w:rPr/>
      </w:r>
    </w:p>
    <w:p>
      <w:pPr>
        <w:pStyle w:val="style0"/>
        <w:ind w:hanging="567" w:left="567" w:right="0"/>
      </w:pPr>
      <w:r>
        <w:rPr/>
        <w:t xml:space="preserve">Pérez, G. (2008) </w:t>
      </w:r>
      <w:r>
        <w:rPr>
          <w:b/>
        </w:rPr>
        <w:t>Gerencia de Riesgos en las Inversiones</w:t>
      </w:r>
      <w:r>
        <w:rPr/>
        <w:t xml:space="preserve">. </w:t>
      </w:r>
      <w:r>
        <w:rPr>
          <w:lang w:val="es-MX"/>
        </w:rPr>
        <w:t>Edición. México Editorial Nuestra Visión.</w:t>
      </w:r>
    </w:p>
    <w:p>
      <w:pPr>
        <w:pStyle w:val="style0"/>
        <w:widowControl w:val="false"/>
        <w:ind w:hanging="340" w:left="340" w:right="0"/>
      </w:pPr>
      <w:r>
        <w:rPr/>
      </w:r>
    </w:p>
    <w:p>
      <w:pPr>
        <w:pStyle w:val="style0"/>
        <w:widowControl w:val="false"/>
        <w:ind w:hanging="340" w:left="340" w:right="0"/>
      </w:pPr>
      <w:r>
        <w:rPr/>
        <w:t xml:space="preserve">Ramírez, T. (1999)  </w:t>
      </w:r>
      <w:r>
        <w:rPr>
          <w:b/>
          <w:bCs/>
          <w:iCs/>
        </w:rPr>
        <w:t>Como hacer un Proyecto de Investigación</w:t>
      </w:r>
      <w:r>
        <w:rPr/>
        <w:t xml:space="preserve">. Caracas. </w:t>
      </w:r>
    </w:p>
    <w:p>
      <w:pPr>
        <w:pStyle w:val="style0"/>
        <w:widowControl w:val="false"/>
        <w:ind w:hanging="340" w:left="340" w:right="0"/>
      </w:pPr>
      <w:r>
        <w:rPr/>
      </w:r>
    </w:p>
    <w:p>
      <w:pPr>
        <w:pStyle w:val="style0"/>
        <w:widowControl w:val="false"/>
        <w:ind w:hanging="340" w:left="340" w:right="0"/>
      </w:pPr>
      <w:r>
        <w:rPr/>
        <w:t>R</w:t>
      </w:r>
      <w:r>
        <w:rPr>
          <w:shd w:fill="FFFFFF" w:val="clear"/>
        </w:rPr>
        <w:t xml:space="preserve">eporte de economía y Negocios (2014). </w:t>
      </w:r>
    </w:p>
    <w:p>
      <w:pPr>
        <w:pStyle w:val="style0"/>
        <w:ind w:hanging="567" w:left="567" w:right="0"/>
      </w:pPr>
      <w:r>
        <w:rPr/>
      </w:r>
    </w:p>
    <w:p>
      <w:pPr>
        <w:pStyle w:val="style0"/>
        <w:ind w:hanging="567" w:left="567" w:right="0"/>
      </w:pPr>
      <w:r>
        <w:rPr/>
        <w:t>Ricoeur, P. (1999).</w:t>
      </w:r>
      <w:r>
        <w:rPr>
          <w:b/>
        </w:rPr>
        <w:t xml:space="preserve"> La  Planificación.  </w:t>
      </w:r>
      <w:r>
        <w:rPr/>
        <w:t xml:space="preserve"> Monte   Ávila   Editores.  Caracas: Venezuela.</w:t>
      </w:r>
    </w:p>
    <w:p>
      <w:pPr>
        <w:pStyle w:val="style0"/>
        <w:ind w:hanging="567" w:left="567" w:right="0"/>
      </w:pPr>
      <w:r>
        <w:rPr/>
      </w:r>
    </w:p>
    <w:p>
      <w:pPr>
        <w:pStyle w:val="style0"/>
        <w:ind w:hanging="567" w:left="567" w:right="0"/>
      </w:pPr>
      <w:r>
        <w:rPr/>
        <w:t xml:space="preserve">Rodríguez, L. (2007). </w:t>
      </w:r>
      <w:r>
        <w:rPr>
          <w:b/>
        </w:rPr>
        <w:t>Sistemas Bancarios en América Latina. Una visión estratégica.</w:t>
      </w:r>
      <w:r>
        <w:rPr/>
        <w:t xml:space="preserve"> México. Editorial Prentice-Hall Hispanoamericana S.A.</w:t>
      </w:r>
    </w:p>
    <w:p>
      <w:pPr>
        <w:pStyle w:val="style0"/>
        <w:ind w:hanging="340" w:left="340" w:right="0"/>
      </w:pPr>
      <w:r>
        <w:rPr>
          <w:lang w:val="es-VE"/>
        </w:rPr>
      </w:r>
    </w:p>
    <w:p>
      <w:pPr>
        <w:pStyle w:val="style0"/>
        <w:ind w:hanging="340" w:left="340" w:right="0"/>
      </w:pPr>
      <w:r>
        <w:rPr/>
        <w:t xml:space="preserve">Rojas. (1996). </w:t>
      </w:r>
      <w:r>
        <w:rPr>
          <w:b/>
        </w:rPr>
        <w:t>El  Proceso  de  Investigación</w:t>
      </w:r>
      <w:r>
        <w:rPr/>
        <w:t xml:space="preserve">  Venezuela. Editorial  Panapo.</w:t>
      </w:r>
    </w:p>
    <w:p>
      <w:pPr>
        <w:pStyle w:val="style0"/>
        <w:ind w:hanging="340" w:left="340" w:right="0"/>
      </w:pPr>
      <w:r>
        <w:rPr/>
      </w:r>
    </w:p>
    <w:p>
      <w:pPr>
        <w:pStyle w:val="style0"/>
        <w:widowControl w:val="false"/>
        <w:ind w:hanging="340" w:left="340" w:right="0"/>
      </w:pPr>
      <w:r>
        <w:rPr/>
        <w:t>Sabino, C. (2000</w:t>
      </w:r>
      <w:r>
        <w:rPr>
          <w:bCs/>
        </w:rPr>
        <w:t>).</w:t>
      </w:r>
      <w:r>
        <w:rPr>
          <w:b/>
        </w:rPr>
        <w:t xml:space="preserve"> </w:t>
      </w:r>
      <w:r>
        <w:rPr>
          <w:b/>
          <w:bCs/>
        </w:rPr>
        <w:t>Como hacer una Tesis</w:t>
      </w:r>
      <w:r>
        <w:rPr/>
        <w:t>.</w:t>
      </w:r>
      <w:r>
        <w:rPr>
          <w:b/>
        </w:rPr>
        <w:t xml:space="preserve"> </w:t>
      </w:r>
      <w:r>
        <w:rPr/>
        <w:t>Caracas. Panapo.</w:t>
      </w:r>
    </w:p>
    <w:p>
      <w:pPr>
        <w:pStyle w:val="style0"/>
        <w:ind w:hanging="340" w:left="340" w:right="0"/>
      </w:pPr>
      <w:r>
        <w:rPr/>
      </w:r>
    </w:p>
    <w:p>
      <w:pPr>
        <w:pStyle w:val="style0"/>
        <w:ind w:hanging="340" w:left="340" w:right="0"/>
      </w:pPr>
      <w:r>
        <w:rPr/>
        <w:t xml:space="preserve">Serrano y Villarreal (2003). </w:t>
      </w:r>
      <w:r>
        <w:rPr>
          <w:rStyle w:val="style37"/>
        </w:rPr>
        <w:t> </w:t>
      </w:r>
      <w:r>
        <w:rPr>
          <w:b/>
          <w:bCs/>
        </w:rPr>
        <w:t>La Actividad Financiera del Estado y los Recursos Públicos</w:t>
      </w:r>
      <w:r>
        <w:rPr/>
        <w:t>.  Ediciones Seniat, Serie</w:t>
      </w:r>
      <w:r>
        <w:rPr>
          <w:rStyle w:val="style37"/>
        </w:rPr>
        <w:t> </w:t>
      </w:r>
      <w:r>
        <w:rPr/>
        <w:t>Ensayos</w:t>
      </w:r>
      <w:r>
        <w:rPr>
          <w:rStyle w:val="style37"/>
        </w:rPr>
        <w:t> </w:t>
      </w:r>
      <w:r>
        <w:rPr/>
        <w:t>5, Caracas.</w:t>
      </w:r>
    </w:p>
    <w:p>
      <w:pPr>
        <w:pStyle w:val="style0"/>
        <w:ind w:hanging="340" w:left="340" w:right="0"/>
      </w:pPr>
      <w:r>
        <w:rPr/>
      </w:r>
    </w:p>
    <w:p>
      <w:pPr>
        <w:pStyle w:val="style0"/>
        <w:ind w:hanging="340" w:left="340" w:right="0"/>
      </w:pPr>
      <w:r>
        <w:rPr/>
        <w:t xml:space="preserve">Suárez, L. (2009). </w:t>
      </w:r>
      <w:r>
        <w:rPr>
          <w:b/>
        </w:rPr>
        <w:t>Lineamientos Estratégicos para la optimización del Sistema de Planeación Financiera de la empresa Bridgestone Firestone.</w:t>
      </w:r>
      <w:r>
        <w:rPr/>
        <w:t xml:space="preserve"> Trabajo presentado ante la Universidad de Carabobo para optar al título Magister en Gerencia.</w:t>
      </w:r>
    </w:p>
    <w:p>
      <w:pPr>
        <w:pStyle w:val="style0"/>
        <w:shd w:fill="FFFFFF" w:val="clear"/>
        <w:ind w:hanging="567" w:left="567" w:right="0"/>
      </w:pPr>
      <w:r>
        <w:rPr/>
      </w:r>
    </w:p>
    <w:p>
      <w:pPr>
        <w:pStyle w:val="style0"/>
        <w:shd w:fill="FFFFFF" w:val="clear"/>
        <w:ind w:hanging="567" w:left="567" w:right="0"/>
      </w:pPr>
      <w:r>
        <w:rPr/>
        <w:t xml:space="preserve">Superintendencia General de bancos y otras instituciones financieras (SUDEBAN) (2011) </w:t>
      </w:r>
      <w:r>
        <w:rPr>
          <w:b/>
        </w:rPr>
        <w:t xml:space="preserve">Estadísticas del 4to. Trimestre de 2011. </w:t>
      </w:r>
      <w:r>
        <w:rPr/>
        <w:t xml:space="preserve">Publicaciones de la SUDEBAN. </w:t>
      </w:r>
    </w:p>
    <w:p>
      <w:pPr>
        <w:pStyle w:val="style0"/>
        <w:shd w:fill="FFFFFF" w:val="clear"/>
        <w:ind w:hanging="567" w:left="567" w:right="0"/>
      </w:pPr>
      <w:r>
        <w:rPr/>
      </w:r>
    </w:p>
    <w:p>
      <w:pPr>
        <w:pStyle w:val="style0"/>
        <w:shd w:fill="FFFFFF" w:val="clear"/>
        <w:ind w:hanging="567" w:left="567" w:right="0"/>
      </w:pPr>
      <w:r>
        <w:rPr/>
        <w:t>Superintendencia de bancos e Instituciones (SBIF). Chile (2009). Sitio Educativo.</w:t>
      </w:r>
    </w:p>
    <w:p>
      <w:pPr>
        <w:pStyle w:val="style0"/>
        <w:shd w:fill="FFFFFF" w:val="clear"/>
        <w:ind w:hanging="567" w:left="567" w:right="0"/>
      </w:pPr>
      <w:r>
        <w:rPr/>
      </w:r>
    </w:p>
    <w:p>
      <w:pPr>
        <w:pStyle w:val="style0"/>
        <w:ind w:hanging="340" w:left="340" w:right="0"/>
      </w:pPr>
      <w:r>
        <w:rPr/>
        <w:t xml:space="preserve">Stoner, J. y Wankel, (2006). </w:t>
      </w:r>
      <w:r>
        <w:rPr>
          <w:b/>
        </w:rPr>
        <w:t>Administración.</w:t>
      </w:r>
      <w:r>
        <w:rPr/>
        <w:t xml:space="preserve">   Ciudad de México. Editorial Prentice -Hall. Interamericana S.A.</w:t>
      </w:r>
    </w:p>
    <w:p>
      <w:pPr>
        <w:pStyle w:val="style0"/>
        <w:ind w:hanging="340" w:left="340" w:right="0"/>
      </w:pPr>
      <w:r>
        <w:rPr/>
      </w:r>
    </w:p>
    <w:p>
      <w:pPr>
        <w:pStyle w:val="style0"/>
        <w:ind w:hanging="340" w:left="340" w:right="0"/>
      </w:pPr>
      <w:r>
        <w:rPr/>
        <w:t xml:space="preserve">Tamayo y Tamayo. (2003) </w:t>
      </w:r>
      <w:r>
        <w:rPr>
          <w:b/>
          <w:bCs/>
        </w:rPr>
        <w:t xml:space="preserve">El Proyecto de Investigación. </w:t>
      </w:r>
      <w:r>
        <w:rPr/>
        <w:t>Editorial Mc Graw – Hill. Caracas – Venezuela.</w:t>
      </w:r>
    </w:p>
    <w:p>
      <w:pPr>
        <w:pStyle w:val="style0"/>
        <w:ind w:hanging="567" w:left="567" w:right="0"/>
      </w:pPr>
      <w:r>
        <w:rPr>
          <w:lang w:val="es-VE"/>
        </w:rPr>
      </w:r>
    </w:p>
    <w:p>
      <w:pPr>
        <w:pStyle w:val="style0"/>
        <w:ind w:hanging="340" w:left="340" w:right="0"/>
      </w:pPr>
      <w:r>
        <w:rPr/>
        <w:t xml:space="preserve">Universidad Bicentenaria de Aragua (2010) </w:t>
      </w:r>
      <w:r>
        <w:rPr>
          <w:b/>
        </w:rPr>
        <w:t>Manual para la elaboración, presentación y evaluación del Trabajo Final de Investigación de los Programas de Postgrado.</w:t>
      </w:r>
      <w:r>
        <w:rPr/>
        <w:t xml:space="preserve"> San Joaquín de Turmero.</w:t>
      </w:r>
    </w:p>
    <w:p>
      <w:pPr>
        <w:pStyle w:val="style51"/>
        <w:ind w:hanging="340" w:left="340" w:right="0"/>
      </w:pPr>
      <w:r>
        <w:rPr>
          <w:b/>
        </w:rPr>
      </w:r>
    </w:p>
    <w:p>
      <w:pPr>
        <w:pStyle w:val="style0"/>
        <w:ind w:hanging="340" w:left="340" w:right="0"/>
      </w:pPr>
      <w:r>
        <w:rPr/>
        <w:t xml:space="preserve">Universidad Pedagógica Experimental Libertador. (2007). </w:t>
      </w:r>
      <w:r>
        <w:rPr>
          <w:b/>
        </w:rPr>
        <w:t>Manual de Trabajos  de grado de especialización y maestría y tesis doctorales</w:t>
      </w:r>
      <w:r>
        <w:rPr/>
        <w:t xml:space="preserve">. (4a. Edición). Caracas: Autor. </w:t>
      </w:r>
    </w:p>
    <w:p>
      <w:pPr>
        <w:pStyle w:val="style0"/>
        <w:ind w:hanging="340" w:left="340" w:right="0"/>
      </w:pPr>
      <w:r>
        <w:rPr/>
      </w:r>
    </w:p>
    <w:p>
      <w:pPr>
        <w:pStyle w:val="style0"/>
      </w:pPr>
      <w:r>
        <w:rPr/>
      </w:r>
    </w:p>
    <w:p>
      <w:pPr>
        <w:pStyle w:val="style0"/>
        <w:pageBreakBefore/>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sz w:val="40"/>
          <w:szCs w:val="40"/>
        </w:rPr>
      </w:r>
    </w:p>
    <w:p>
      <w:pPr>
        <w:pStyle w:val="style0"/>
        <w:jc w:val="center"/>
      </w:pPr>
      <w:r>
        <w:rPr>
          <w:sz w:val="40"/>
          <w:szCs w:val="40"/>
        </w:rPr>
      </w:r>
    </w:p>
    <w:p>
      <w:pPr>
        <w:pStyle w:val="style0"/>
        <w:jc w:val="center"/>
      </w:pPr>
      <w:r>
        <w:rPr>
          <w:sz w:val="40"/>
          <w:szCs w:val="40"/>
        </w:rPr>
        <w:t>A  N  E  X  O  S</w:t>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jc w:val="center"/>
      </w:pPr>
      <w:r>
        <w:rPr>
          <w:b/>
          <w:lang w:val="es-VE"/>
        </w:rPr>
        <w:t>INSTRUMENTO DE RECOLECCIÓN DE DATOS</w:t>
      </w:r>
    </w:p>
    <w:p>
      <w:pPr>
        <w:pStyle w:val="style0"/>
        <w:jc w:val="center"/>
      </w:pPr>
      <w:r>
        <w:rPr>
          <w:lang w:val="es-VE"/>
        </w:rPr>
      </w:r>
    </w:p>
    <w:tbl>
      <w:tblPr>
        <w:jc w:val="left"/>
        <w:tblInd w:type="dxa" w:w="-70"/>
        <w:tblBorders>
          <w:top w:color="00000A" w:space="0" w:sz="4" w:val="single"/>
          <w:left w:color="00000A" w:space="0" w:sz="4" w:val="single"/>
          <w:bottom w:color="00000A" w:space="0" w:sz="4" w:val="single"/>
          <w:right w:color="00000A" w:space="0" w:sz="4" w:val="single"/>
        </w:tblBorders>
      </w:tblPr>
      <w:tblGrid>
        <w:gridCol w:w="549"/>
        <w:gridCol w:w="5331"/>
        <w:gridCol w:w="567"/>
        <w:gridCol w:w="566"/>
        <w:gridCol w:w="567"/>
        <w:gridCol w:w="566"/>
        <w:gridCol w:w="570"/>
      </w:tblGrid>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b/>
                <w:bCs/>
                <w:lang w:val="es-VE"/>
              </w:rPr>
              <w:t>Nº</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1"/>
            </w:pPr>
            <w:bookmarkStart w:id="114" w:name="__RefHeading__4994_1544206207"/>
            <w:bookmarkStart w:id="115" w:name="_Toc432059495"/>
            <w:bookmarkStart w:id="116" w:name="_Toc432059706"/>
            <w:bookmarkEnd w:id="114"/>
            <w:bookmarkEnd w:id="115"/>
            <w:bookmarkEnd w:id="116"/>
            <w:r>
              <w:rPr>
                <w:sz w:val="24"/>
              </w:rPr>
              <w:t>Descripción</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pPr>
            <w:bookmarkStart w:id="117" w:name="__RefHeading__4996_1544206207"/>
            <w:bookmarkStart w:id="118" w:name="_Toc432059496"/>
            <w:bookmarkStart w:id="119" w:name="_Toc432059707"/>
            <w:bookmarkEnd w:id="117"/>
            <w:bookmarkEnd w:id="118"/>
            <w:bookmarkEnd w:id="119"/>
            <w:r>
              <w:rPr/>
              <w:t>S</w:t>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bookmarkStart w:id="120" w:name="__RefHeading__4998_1544206207"/>
            <w:bookmarkStart w:id="121" w:name="_Toc432059497"/>
            <w:bookmarkStart w:id="122" w:name="_Toc432059708"/>
            <w:bookmarkEnd w:id="120"/>
            <w:bookmarkEnd w:id="121"/>
            <w:bookmarkEnd w:id="122"/>
            <w:r>
              <w:rPr/>
              <w:t>CS</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bookmarkStart w:id="123" w:name="__RefHeading__5000_1544206207"/>
            <w:bookmarkStart w:id="124" w:name="_Toc432059498"/>
            <w:bookmarkStart w:id="125" w:name="_Toc432059709"/>
            <w:bookmarkEnd w:id="123"/>
            <w:bookmarkEnd w:id="124"/>
            <w:bookmarkEnd w:id="125"/>
            <w:r>
              <w:rPr/>
              <w:t>AV</w:t>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bookmarkStart w:id="126" w:name="__RefHeading__5002_1544206207"/>
            <w:bookmarkStart w:id="127" w:name="_Toc432059499"/>
            <w:bookmarkStart w:id="128" w:name="_Toc432059710"/>
            <w:bookmarkEnd w:id="126"/>
            <w:bookmarkEnd w:id="127"/>
            <w:bookmarkEnd w:id="128"/>
            <w:r>
              <w:rPr/>
              <w:t>CN</w:t>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bookmarkStart w:id="129" w:name="__RefHeading__5004_1544206207"/>
            <w:bookmarkStart w:id="130" w:name="_Toc432059500"/>
            <w:bookmarkStart w:id="131" w:name="_Toc432059711"/>
            <w:bookmarkEnd w:id="129"/>
            <w:bookmarkEnd w:id="130"/>
            <w:bookmarkEnd w:id="131"/>
            <w:r>
              <w:rPr/>
              <w:t>N</w:t>
            </w:r>
          </w:p>
        </w:tc>
      </w:tr>
      <w:tr>
        <w:trPr>
          <w:trHeight w:hRule="atLeast" w:val="898"/>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bCs/>
                <w:lang w:val="es-VE"/>
              </w:rPr>
              <w:t>1</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t>Los análisis de riesgos se realizan con un procedimiento estándar</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r>
              <w:rPr>
                <w:b w:val="fals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r>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r>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r>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2"/>
              <w:numPr>
                <w:ilvl w:val="1"/>
                <w:numId w:val="1"/>
              </w:numPr>
              <w:jc w:val="both"/>
            </w:pPr>
            <w:r>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2</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t xml:space="preserve">Los simuladores de riesgos son revisados en función de actualizarlos </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3</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t>La planificación de inversiones se realiza en función de las políticas crediticias</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4</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t>Las referencias de otras instituciones del sector son consideradas en el análisis de riesgos</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5</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 xml:space="preserve">Las políticas internas de crédito en la institución se adecuan a la visión institucional </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6</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t xml:space="preserve">La colocación de depósitos se toma como base para los planes crediticios </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7</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t xml:space="preserve">Los controles operativos sobre la gestión de riesgos financieros son actualizados  </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8</w:t>
            </w:r>
          </w:p>
          <w:p>
            <w:pPr>
              <w:pStyle w:val="style0"/>
              <w:jc w:val="center"/>
            </w:pPr>
            <w:r>
              <w:rPr>
                <w:b/>
                <w:lang w:val="es-VE"/>
              </w:rPr>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 xml:space="preserve">Las políticas y directrices sobre las </w:t>
            </w:r>
            <w:r>
              <w:rPr/>
              <w:t xml:space="preserve">operaciones de intermediación financiera son del dominio del personal </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9</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Los sistemas, normas y procedimientos son evaluados periódicamente</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10</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Los índices financieros son considerados en el análisis de riesgos de créditos al consumo</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11</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La toma de decisiones de inversión de capitales en la institución se coordinan operativamente</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12</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Las referencias comerciales son analizadas en la evaluación crediticia del cliente</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13</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Las simulaciones de flujo de caja del cliente son considerados por la entidad</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14</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Los indicadores financieros del cliente de crédito al consumo son considerados en el banco</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15</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 xml:space="preserve">Los porcentajes de variación en los movimientos bancarios del cliente son decisivos en el análisis de riesgos </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16</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 xml:space="preserve">Los indicadores no financieros del cliente son evaluados por la institución </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r>
        <w:trPr>
          <w:cantSplit w:val="false"/>
        </w:trPr>
        <w:tc>
          <w:tcPr>
            <w:tcW w:type="dxa" w:w="549"/>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jc w:val="center"/>
            </w:pPr>
            <w:r>
              <w:rPr>
                <w:b/>
                <w:lang w:val="es-VE"/>
              </w:rPr>
              <w:t>17</w:t>
            </w:r>
          </w:p>
        </w:tc>
        <w:tc>
          <w:tcPr>
            <w:tcW w:type="dxa" w:w="5331"/>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t>Los riesgos financieros de los créditos al consumo son analizados por el banco</w:t>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7"/>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66"/>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c>
          <w:tcPr>
            <w:tcW w:type="dxa" w:w="570"/>
            <w:tcBorders>
              <w:top w:color="00000A" w:space="0" w:sz="4" w:val="single"/>
              <w:left w:color="00000A" w:space="0" w:sz="4" w:val="single"/>
              <w:bottom w:color="00000A" w:space="0" w:sz="4" w:val="single"/>
              <w:right w:color="00000A" w:space="0" w:sz="4" w:val="single"/>
            </w:tcBorders>
            <w:shd w:fill="auto" w:val="clear"/>
            <w:tcMar>
              <w:top w:type="dxa" w:w="0"/>
              <w:left w:type="dxa" w:w="70"/>
              <w:bottom w:type="dxa" w:w="0"/>
              <w:right w:type="dxa" w:w="70"/>
            </w:tcMar>
          </w:tcPr>
          <w:p>
            <w:pPr>
              <w:pStyle w:val="style0"/>
            </w:pPr>
            <w:r>
              <w:rPr>
                <w:lang w:val="es-VE"/>
              </w:rPr>
            </w:r>
          </w:p>
        </w:tc>
      </w:tr>
    </w:tbl>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drawing>
          <wp:inline distB="0" distL="0" distR="0" distT="0">
            <wp:extent cx="5248275" cy="64484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6"/>
                    <a:srcRect/>
                    <a:stretch>
                      <a:fillRect/>
                    </a:stretch>
                  </pic:blipFill>
                  <pic:spPr bwMode="auto">
                    <a:xfrm>
                      <a:off x="0" y="0"/>
                      <a:ext cx="5248275" cy="6448425"/>
                    </a:xfrm>
                    <a:prstGeom prst="rect">
                      <a:avLst/>
                    </a:prstGeom>
                    <a:noFill/>
                    <a:ln w="9525">
                      <a:noFill/>
                      <a:miter lim="800000"/>
                      <a:headEnd/>
                      <a:tailEnd/>
                    </a:ln>
                  </pic:spPr>
                </pic:pic>
              </a:graphicData>
            </a:graphic>
          </wp:inline>
        </w:drawing>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drawing>
          <wp:inline distB="0" distL="0" distR="0" distT="0">
            <wp:extent cx="5248275" cy="61626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7"/>
                    <a:srcRect/>
                    <a:stretch>
                      <a:fillRect/>
                    </a:stretch>
                  </pic:blipFill>
                  <pic:spPr bwMode="auto">
                    <a:xfrm>
                      <a:off x="0" y="0"/>
                      <a:ext cx="5248275" cy="6162675"/>
                    </a:xfrm>
                    <a:prstGeom prst="rect">
                      <a:avLst/>
                    </a:prstGeom>
                    <a:noFill/>
                    <a:ln w="9525">
                      <a:noFill/>
                      <a:miter lim="800000"/>
                      <a:headEnd/>
                      <a:tailEnd/>
                    </a:ln>
                  </pic:spPr>
                </pic:pic>
              </a:graphicData>
            </a:graphic>
          </wp:inline>
        </w:drawing>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lang w:val="es-VE"/>
        </w:rPr>
      </w:r>
    </w:p>
    <w:p>
      <w:pPr>
        <w:pStyle w:val="style0"/>
      </w:pPr>
      <w:r>
        <w:rPr/>
        <w:drawing>
          <wp:inline distB="0" distL="0" distR="0" distT="0">
            <wp:extent cx="5248275" cy="62293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8"/>
                    <a:srcRect/>
                    <a:stretch>
                      <a:fillRect/>
                    </a:stretch>
                  </pic:blipFill>
                  <pic:spPr bwMode="auto">
                    <a:xfrm>
                      <a:off x="0" y="0"/>
                      <a:ext cx="5248275" cy="6229350"/>
                    </a:xfrm>
                    <a:prstGeom prst="rect">
                      <a:avLst/>
                    </a:prstGeom>
                    <a:noFill/>
                    <a:ln w="9525">
                      <a:noFill/>
                      <a:miter lim="800000"/>
                      <a:headEnd/>
                      <a:tailEnd/>
                    </a:ln>
                  </pic:spPr>
                </pic:pic>
              </a:graphicData>
            </a:graphic>
          </wp:inline>
        </w:drawing>
      </w:r>
    </w:p>
    <w:p>
      <w:pPr>
        <w:pStyle w:val="style0"/>
      </w:pPr>
      <w:r>
        <w:rPr>
          <w:lang w:val="es-VE"/>
        </w:rPr>
      </w:r>
    </w:p>
    <w:p>
      <w:pPr>
        <w:pStyle w:val="style0"/>
      </w:pPr>
      <w:r>
        <w:rPr>
          <w:lang w:val="es-VE"/>
        </w:rPr>
      </w:r>
    </w:p>
    <w:p>
      <w:pPr>
        <w:pStyle w:val="style0"/>
      </w:pPr>
      <w:r>
        <w:rPr>
          <w:lang w:val="es-VE"/>
        </w:rPr>
      </w:r>
    </w:p>
    <w:p>
      <w:pPr>
        <w:pStyle w:val="style0"/>
      </w:pPr>
      <w:r>
        <w:rPr/>
      </w:r>
    </w:p>
    <w:sectPr>
      <w:headerReference r:id="rId59" w:type="default"/>
      <w:footerReference r:id="rId60" w:type="default"/>
      <w:type w:val="nextPage"/>
      <w:pgSz w:h="15840" w:w="12240"/>
      <w:pgMar w:bottom="1701" w:footer="964" w:gutter="0" w:header="964" w:left="2268" w:right="1701" w:top="2269"/>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Times New Roman">
    <w:charset w:val="80"/>
    <w:family w:val="roman"/>
    <w:pitch w:val="variable"/>
  </w:font>
  <w:font w:name="Symbol">
    <w:charset w:val="02"/>
    <w:family w:val="auto"/>
    <w:pitch w:val="variable"/>
  </w:font>
  <w:font w:name="Courier New">
    <w:charset w:val="80"/>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r>
  </w:p>
  <w:p>
    <w:pPr>
      <w:pStyle w:val="style60"/>
      <w:tabs>
        <w:tab w:leader="none" w:pos="8838" w:val="right"/>
      </w:tabs>
      <w:jc w:val="cente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89</w:t>
    </w:r>
    <w:r>
      <w:fldChar w:fldCharType="end"/>
    </w:r>
  </w:p>
  <w:p>
    <w:pPr>
      <w:pStyle w:val="style60"/>
      <w:tabs>
        <w:tab w:leader="none" w:pos="8838" w:val="right"/>
      </w:tabs>
      <w:jc w:val="cente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111</w:t>
    </w:r>
    <w:r>
      <w:fldChar w:fldCharType="end"/>
    </w:r>
  </w:p>
  <w:p>
    <w:pPr>
      <w:pStyle w:val="style60"/>
      <w:tabs>
        <w:tab w:leader="none" w:pos="8838" w:val="right"/>
      </w:tabs>
      <w:jc w:val="cente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128</w:t>
    </w:r>
    <w:r>
      <w:fldChar w:fldCharType="end"/>
    </w:r>
  </w:p>
  <w:p>
    <w:pPr>
      <w:pStyle w:val="style60"/>
      <w:tabs>
        <w:tab w:leader="none" w:pos="8838" w:val="right"/>
      </w:tabs>
      <w:jc w:val="cente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r>
  </w:p>
  <w:p>
    <w:pPr>
      <w:pStyle w:val="style60"/>
      <w:tabs>
        <w:tab w:leader="none" w:pos="8838" w:val="right"/>
      </w:tabs>
      <w:jc w:val="cente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6</w:t>
    </w:r>
    <w:r>
      <w:fldChar w:fldCharType="end"/>
    </w:r>
  </w:p>
  <w:p>
    <w:pPr>
      <w:pStyle w:val="style60"/>
      <w:tabs>
        <w:tab w:leader="none" w:pos="8838" w:val="right"/>
      </w:tabs>
      <w:jc w:val="cente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9</w:t>
    </w:r>
    <w:r>
      <w:fldChar w:fldCharType="end"/>
    </w:r>
  </w:p>
  <w:p>
    <w:pPr>
      <w:pStyle w:val="style60"/>
      <w:tabs>
        <w:tab w:leader="none" w:pos="8838" w:val="right"/>
      </w:tabs>
      <w:jc w:val="cente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10</w:t>
    </w:r>
    <w:r>
      <w:fldChar w:fldCharType="end"/>
    </w:r>
  </w:p>
  <w:p>
    <w:pPr>
      <w:pStyle w:val="style60"/>
      <w:tabs>
        <w:tab w:leader="none" w:pos="8838" w:val="right"/>
      </w:tabs>
      <w:jc w:val="cente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11</w:t>
    </w:r>
    <w:r>
      <w:fldChar w:fldCharType="end"/>
    </w:r>
  </w:p>
  <w:p>
    <w:pPr>
      <w:pStyle w:val="style60"/>
      <w:tabs>
        <w:tab w:leader="none" w:pos="8838" w:val="right"/>
      </w:tabs>
      <w:jc w:val="cente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16</w:t>
    </w:r>
    <w:r>
      <w:fldChar w:fldCharType="end"/>
    </w:r>
  </w:p>
  <w:p>
    <w:pPr>
      <w:pStyle w:val="style60"/>
      <w:tabs>
        <w:tab w:leader="none" w:pos="8838" w:val="right"/>
      </w:tabs>
      <w:jc w:val="cente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84</w:t>
    </w:r>
    <w:r>
      <w:fldChar w:fldCharType="end"/>
    </w:r>
  </w:p>
  <w:p>
    <w:pPr>
      <w:pStyle w:val="style60"/>
      <w:tabs>
        <w:tab w:leader="none" w:pos="8838" w:val="right"/>
      </w:tabs>
      <w:jc w:val="cente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right"/>
    </w:pPr>
    <w:r>
      <w:rPr/>
      <w:fldChar w:fldCharType="begin"/>
    </w:r>
    <w:r>
      <w:instrText> PAGE </w:instrText>
    </w:r>
    <w:r>
      <w:fldChar w:fldCharType="separate"/>
    </w:r>
    <w:r>
      <w:t>85</w:t>
    </w:r>
    <w:r>
      <w:fldChar w:fldCharType="end"/>
    </w:r>
  </w:p>
  <w:p>
    <w:pPr>
      <w:pStyle w:val="style60"/>
      <w:tabs>
        <w:tab w:leader="none" w:pos="8838" w:val="right"/>
      </w:tabs>
      <w:jc w:val="cente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sz w:val="20"/>
        <w:szCs w:val="20"/>
      </w:rPr>
    </w:r>
  </w:p>
  <w:p>
    <w:pPr>
      <w:pStyle w:val="style59"/>
    </w:pPr>
    <w:r>
      <w:rPr/>
    </w:r>
  </w:p>
</w:hdr>
</file>

<file path=word/numbering.xml><?xml version="1.0" encoding="utf-8"?>
<w:numbering xmlns:w="http://schemas.openxmlformats.org/wordprocessingml/2006/main">
  <w:abstractNum w:abstractNumId="1">
    <w:lvl w:ilvl="0">
      <w:start w:val="1"/>
      <w:numFmt w:val="decimal"/>
      <w:lvlText w:val="%1."/>
      <w:lvlJc w:val="left"/>
      <w:pPr>
        <w:tabs>
          <w:tab w:pos="360" w:val="num"/>
        </w:tabs>
        <w:ind w:hanging="360" w:left="360"/>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ind w:hanging="360" w:left="1287"/>
      </w:pPr>
      <w:rPr>
        <w:rFonts w:ascii="Symbol" w:cs="Symbol" w:hAnsi="Symbol"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3">
    <w:lvl w:ilvl="0">
      <w:start w:val="1"/>
      <w:numFmt w:val="bullet"/>
      <w:lvlText w:val=""/>
      <w:lvlJc w:val="left"/>
      <w:pPr>
        <w:ind w:hanging="360" w:left="1287"/>
      </w:pPr>
      <w:rPr>
        <w:rFonts w:ascii="Symbol" w:cs="Symbol" w:hAnsi="Symbol"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4">
    <w:lvl w:ilvl="0">
      <w:start w:val="1"/>
      <w:numFmt w:val="bullet"/>
      <w:lvlText w:val=""/>
      <w:lvlJc w:val="left"/>
      <w:pPr>
        <w:ind w:hanging="360" w:left="1287"/>
      </w:pPr>
      <w:rPr>
        <w:rFonts w:ascii="Symbol" w:cs="Symbol" w:hAnsi="Symbol"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5">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6">
    <w:lvl w:ilvl="0">
      <w:start w:val="1"/>
      <w:numFmt w:val="decimal"/>
      <w:lvlText w:val="%1."/>
      <w:lvlJc w:val="left"/>
      <w:pPr>
        <w:tabs>
          <w:tab w:pos="765" w:val="num"/>
        </w:tabs>
        <w:ind w:hanging="420" w:left="765"/>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7">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8">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9">
    <w:lvl w:ilvl="0">
      <w:start w:val="1"/>
      <w:numFmt w:val="decimal"/>
      <w:lvlText w:val="%1."/>
      <w:lvlJc w:val="left"/>
      <w:pPr>
        <w:ind w:hanging="360" w:left="1287"/>
      </w:pPr>
    </w:lvl>
    <w:lvl w:ilvl="1">
      <w:start w:val="1"/>
      <w:numFmt w:val="lowerLetter"/>
      <w:lvlText w:val="%2."/>
      <w:lvlJc w:val="left"/>
      <w:pPr>
        <w:ind w:hanging="360" w:left="2007"/>
      </w:pPr>
    </w:lvl>
    <w:lvl w:ilvl="2">
      <w:start w:val="1"/>
      <w:numFmt w:val="lowerRoman"/>
      <w:lvlText w:val="%3."/>
      <w:lvlJc w:val="right"/>
      <w:pPr>
        <w:ind w:hanging="180" w:left="2727"/>
      </w:pPr>
    </w:lvl>
    <w:lvl w:ilvl="3">
      <w:start w:val="1"/>
      <w:numFmt w:val="decimal"/>
      <w:lvlText w:val="%4."/>
      <w:lvlJc w:val="left"/>
      <w:pPr>
        <w:ind w:hanging="360" w:left="3447"/>
      </w:pPr>
    </w:lvl>
    <w:lvl w:ilvl="4">
      <w:start w:val="1"/>
      <w:numFmt w:val="lowerLetter"/>
      <w:lvlText w:val="%5."/>
      <w:lvlJc w:val="left"/>
      <w:pPr>
        <w:ind w:hanging="360" w:left="4167"/>
      </w:pPr>
    </w:lvl>
    <w:lvl w:ilvl="5">
      <w:start w:val="1"/>
      <w:numFmt w:val="lowerRoman"/>
      <w:lvlText w:val="%6."/>
      <w:lvlJc w:val="right"/>
      <w:pPr>
        <w:ind w:hanging="180" w:left="4887"/>
      </w:pPr>
    </w:lvl>
    <w:lvl w:ilvl="6">
      <w:start w:val="1"/>
      <w:numFmt w:val="decimal"/>
      <w:lvlText w:val="%7."/>
      <w:lvlJc w:val="left"/>
      <w:pPr>
        <w:ind w:hanging="360" w:left="5607"/>
      </w:pPr>
    </w:lvl>
    <w:lvl w:ilvl="7">
      <w:start w:val="1"/>
      <w:numFmt w:val="lowerLetter"/>
      <w:lvlText w:val="%8."/>
      <w:lvlJc w:val="left"/>
      <w:pPr>
        <w:ind w:hanging="360" w:left="6327"/>
      </w:pPr>
    </w:lvl>
    <w:lvl w:ilvl="8">
      <w:start w:val="1"/>
      <w:numFmt w:val="lowerRoman"/>
      <w:lvlText w:val="%9."/>
      <w:lvlJc w:val="right"/>
      <w:pPr>
        <w:ind w:hanging="180" w:left="7047"/>
      </w:pPr>
    </w:lvl>
  </w:abstractNum>
  <w:abstractNum w:abstractNumId="10">
    <w:lvl w:ilvl="0">
      <w:start w:val="1"/>
      <w:numFmt w:val="bullet"/>
      <w:lvlText w:val="­"/>
      <w:lvlJc w:val="left"/>
      <w:pPr>
        <w:ind w:hanging="360" w:left="1004"/>
      </w:pPr>
      <w:rPr>
        <w:rFonts w:ascii="Courier New" w:cs="Courier New" w:hAnsi="Courier New" w:hint="default"/>
      </w:rPr>
    </w:lvl>
    <w:lvl w:ilvl="1">
      <w:start w:val="1"/>
      <w:numFmt w:val="bullet"/>
      <w:lvlText w:val="o"/>
      <w:lvlJc w:val="left"/>
      <w:pPr>
        <w:ind w:hanging="360" w:left="1724"/>
      </w:pPr>
      <w:rPr>
        <w:rFonts w:ascii="Courier New" w:cs="Courier New" w:hAnsi="Courier New" w:hint="default"/>
      </w:rPr>
    </w:lvl>
    <w:lvl w:ilvl="2">
      <w:start w:val="1"/>
      <w:numFmt w:val="bullet"/>
      <w:lvlText w:val=""/>
      <w:lvlJc w:val="left"/>
      <w:pPr>
        <w:ind w:hanging="360" w:left="2444"/>
      </w:pPr>
      <w:rPr>
        <w:rFonts w:ascii="Wingdings" w:cs="Wingdings" w:hAnsi="Wingdings" w:hint="default"/>
      </w:rPr>
    </w:lvl>
    <w:lvl w:ilvl="3">
      <w:start w:val="1"/>
      <w:numFmt w:val="bullet"/>
      <w:lvlText w:val=""/>
      <w:lvlJc w:val="left"/>
      <w:pPr>
        <w:ind w:hanging="360" w:left="3164"/>
      </w:pPr>
      <w:rPr>
        <w:rFonts w:ascii="Symbol" w:cs="Symbol" w:hAnsi="Symbol" w:hint="default"/>
      </w:rPr>
    </w:lvl>
    <w:lvl w:ilvl="4">
      <w:start w:val="1"/>
      <w:numFmt w:val="bullet"/>
      <w:lvlText w:val="o"/>
      <w:lvlJc w:val="left"/>
      <w:pPr>
        <w:ind w:hanging="360" w:left="3884"/>
      </w:pPr>
      <w:rPr>
        <w:rFonts w:ascii="Courier New" w:cs="Courier New" w:hAnsi="Courier New" w:hint="default"/>
      </w:rPr>
    </w:lvl>
    <w:lvl w:ilvl="5">
      <w:start w:val="1"/>
      <w:numFmt w:val="bullet"/>
      <w:lvlText w:val=""/>
      <w:lvlJc w:val="left"/>
      <w:pPr>
        <w:ind w:hanging="360" w:left="4604"/>
      </w:pPr>
      <w:rPr>
        <w:rFonts w:ascii="Wingdings" w:cs="Wingdings" w:hAnsi="Wingdings" w:hint="default"/>
      </w:rPr>
    </w:lvl>
    <w:lvl w:ilvl="6">
      <w:start w:val="1"/>
      <w:numFmt w:val="bullet"/>
      <w:lvlText w:val=""/>
      <w:lvlJc w:val="left"/>
      <w:pPr>
        <w:ind w:hanging="360" w:left="5324"/>
      </w:pPr>
      <w:rPr>
        <w:rFonts w:ascii="Symbol" w:cs="Symbol" w:hAnsi="Symbol" w:hint="default"/>
      </w:rPr>
    </w:lvl>
    <w:lvl w:ilvl="7">
      <w:start w:val="1"/>
      <w:numFmt w:val="bullet"/>
      <w:lvlText w:val="o"/>
      <w:lvlJc w:val="left"/>
      <w:pPr>
        <w:ind w:hanging="360" w:left="6044"/>
      </w:pPr>
      <w:rPr>
        <w:rFonts w:ascii="Courier New" w:cs="Courier New" w:hAnsi="Courier New" w:hint="default"/>
      </w:rPr>
    </w:lvl>
    <w:lvl w:ilvl="8">
      <w:start w:val="1"/>
      <w:numFmt w:val="bullet"/>
      <w:lvlText w:val=""/>
      <w:lvlJc w:val="left"/>
      <w:pPr>
        <w:ind w:hanging="360" w:left="6764"/>
      </w:pPr>
      <w:rPr>
        <w:rFonts w:ascii="Wingdings" w:cs="Wingdings" w:hAnsi="Wingdings" w:hint="default"/>
      </w:rPr>
    </w:lvl>
  </w:abstractNum>
  <w:abstractNum w:abstractNumId="11">
    <w:lvl w:ilvl="0">
      <w:start w:val="1"/>
      <w:numFmt w:val="bullet"/>
      <w:lvlText w:val="­"/>
      <w:lvlJc w:val="left"/>
      <w:pPr>
        <w:ind w:hanging="360" w:left="1004"/>
      </w:pPr>
      <w:rPr>
        <w:rFonts w:ascii="Courier New" w:cs="Courier New" w:hAnsi="Courier New" w:hint="default"/>
      </w:rPr>
    </w:lvl>
    <w:lvl w:ilvl="1">
      <w:start w:val="1"/>
      <w:numFmt w:val="bullet"/>
      <w:lvlText w:val="o"/>
      <w:lvlJc w:val="left"/>
      <w:pPr>
        <w:ind w:hanging="360" w:left="1724"/>
      </w:pPr>
      <w:rPr>
        <w:rFonts w:ascii="Courier New" w:cs="Courier New" w:hAnsi="Courier New" w:hint="default"/>
      </w:rPr>
    </w:lvl>
    <w:lvl w:ilvl="2">
      <w:start w:val="1"/>
      <w:numFmt w:val="bullet"/>
      <w:lvlText w:val=""/>
      <w:lvlJc w:val="left"/>
      <w:pPr>
        <w:ind w:hanging="360" w:left="2444"/>
      </w:pPr>
      <w:rPr>
        <w:rFonts w:ascii="Wingdings" w:cs="Wingdings" w:hAnsi="Wingdings" w:hint="default"/>
      </w:rPr>
    </w:lvl>
    <w:lvl w:ilvl="3">
      <w:start w:val="1"/>
      <w:numFmt w:val="bullet"/>
      <w:lvlText w:val=""/>
      <w:lvlJc w:val="left"/>
      <w:pPr>
        <w:ind w:hanging="360" w:left="3164"/>
      </w:pPr>
      <w:rPr>
        <w:rFonts w:ascii="Symbol" w:cs="Symbol" w:hAnsi="Symbol" w:hint="default"/>
      </w:rPr>
    </w:lvl>
    <w:lvl w:ilvl="4">
      <w:start w:val="1"/>
      <w:numFmt w:val="bullet"/>
      <w:lvlText w:val="o"/>
      <w:lvlJc w:val="left"/>
      <w:pPr>
        <w:ind w:hanging="360" w:left="3884"/>
      </w:pPr>
      <w:rPr>
        <w:rFonts w:ascii="Courier New" w:cs="Courier New" w:hAnsi="Courier New" w:hint="default"/>
      </w:rPr>
    </w:lvl>
    <w:lvl w:ilvl="5">
      <w:start w:val="1"/>
      <w:numFmt w:val="bullet"/>
      <w:lvlText w:val=""/>
      <w:lvlJc w:val="left"/>
      <w:pPr>
        <w:ind w:hanging="360" w:left="4604"/>
      </w:pPr>
      <w:rPr>
        <w:rFonts w:ascii="Wingdings" w:cs="Wingdings" w:hAnsi="Wingdings" w:hint="default"/>
      </w:rPr>
    </w:lvl>
    <w:lvl w:ilvl="6">
      <w:start w:val="1"/>
      <w:numFmt w:val="bullet"/>
      <w:lvlText w:val=""/>
      <w:lvlJc w:val="left"/>
      <w:pPr>
        <w:ind w:hanging="360" w:left="5324"/>
      </w:pPr>
      <w:rPr>
        <w:rFonts w:ascii="Symbol" w:cs="Symbol" w:hAnsi="Symbol" w:hint="default"/>
      </w:rPr>
    </w:lvl>
    <w:lvl w:ilvl="7">
      <w:start w:val="1"/>
      <w:numFmt w:val="bullet"/>
      <w:lvlText w:val="o"/>
      <w:lvlJc w:val="left"/>
      <w:pPr>
        <w:ind w:hanging="360" w:left="6044"/>
      </w:pPr>
      <w:rPr>
        <w:rFonts w:ascii="Courier New" w:cs="Courier New" w:hAnsi="Courier New" w:hint="default"/>
      </w:rPr>
    </w:lvl>
    <w:lvl w:ilvl="8">
      <w:start w:val="1"/>
      <w:numFmt w:val="bullet"/>
      <w:lvlText w:val=""/>
      <w:lvlJc w:val="left"/>
      <w:pPr>
        <w:ind w:hanging="360" w:left="6764"/>
      </w:pPr>
      <w:rPr>
        <w:rFonts w:ascii="Wingdings" w:cs="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tyles.xml><?xml version="1.0" encoding="utf-8"?>
<w:styles xmlns:w="http://schemas.openxmlformats.org/wordprocessingml/2006/main">
  <w:style w:styleId="style0" w:type="paragraph">
    <w:name w:val="Predeterminado"/>
    <w:next w:val="style0"/>
    <w:pPr>
      <w:widowControl/>
      <w:tabs>
        <w:tab w:leader="none" w:pos="238" w:val="left"/>
      </w:tabs>
      <w:suppressAutoHyphens w:val="true"/>
      <w:spacing w:line="360" w:lineRule="auto"/>
      <w:ind w:firstLine="567" w:left="0" w:right="0"/>
      <w:jc w:val="both"/>
    </w:pPr>
    <w:rPr>
      <w:rFonts w:ascii="Times New Roman" w:cs="Times New Roman" w:eastAsia="Times New Roman" w:hAnsi="Times New Roman"/>
      <w:color w:val="auto"/>
      <w:sz w:val="24"/>
      <w:szCs w:val="24"/>
      <w:lang w:bidi="ar-SA" w:eastAsia="es-ES" w:val="es-ES"/>
    </w:rPr>
  </w:style>
  <w:style w:styleId="style1" w:type="paragraph">
    <w:name w:val="Encabezado 1"/>
    <w:basedOn w:val="style0"/>
    <w:next w:val="style51"/>
    <w:pPr>
      <w:keepNext/>
      <w:ind w:firstLine="567" w:left="0" w:right="0"/>
      <w:jc w:val="center"/>
    </w:pPr>
    <w:rPr>
      <w:b/>
      <w:bCs/>
      <w:sz w:val="28"/>
    </w:rPr>
  </w:style>
  <w:style w:styleId="style2" w:type="paragraph">
    <w:name w:val="Encabezado 2"/>
    <w:basedOn w:val="style0"/>
    <w:next w:val="style51"/>
    <w:pPr>
      <w:keepNext/>
      <w:numPr>
        <w:ilvl w:val="1"/>
        <w:numId w:val="1"/>
      </w:numPr>
      <w:jc w:val="center"/>
      <w:outlineLvl w:val="1"/>
    </w:pPr>
    <w:rPr>
      <w:b/>
      <w:bCs/>
    </w:rPr>
  </w:style>
  <w:style w:styleId="style3" w:type="paragraph">
    <w:name w:val="Encabezado 3"/>
    <w:basedOn w:val="style0"/>
    <w:next w:val="style51"/>
    <w:pPr>
      <w:keepNext/>
      <w:numPr>
        <w:ilvl w:val="2"/>
        <w:numId w:val="1"/>
      </w:numPr>
      <w:jc w:val="center"/>
      <w:outlineLvl w:val="2"/>
    </w:pPr>
    <w:rPr>
      <w:b/>
      <w:bCs/>
    </w:rPr>
  </w:style>
  <w:style w:styleId="style4" w:type="paragraph">
    <w:name w:val="Encabezado 4"/>
    <w:basedOn w:val="style0"/>
    <w:next w:val="style51"/>
    <w:pPr>
      <w:keepNext/>
      <w:numPr>
        <w:ilvl w:val="3"/>
        <w:numId w:val="1"/>
      </w:numPr>
      <w:outlineLvl w:val="3"/>
    </w:pPr>
    <w:rPr>
      <w:b/>
      <w:bCs/>
      <w:i/>
      <w:iCs/>
    </w:rPr>
  </w:style>
  <w:style w:styleId="style5" w:type="paragraph">
    <w:name w:val="Encabezado 5"/>
    <w:basedOn w:val="style0"/>
    <w:next w:val="style51"/>
    <w:pPr>
      <w:keepNext/>
      <w:numPr>
        <w:ilvl w:val="4"/>
        <w:numId w:val="1"/>
      </w:numPr>
      <w:jc w:val="center"/>
      <w:outlineLvl w:val="4"/>
    </w:pPr>
    <w:rPr>
      <w:b/>
      <w:bCs/>
      <w:i/>
      <w:iCs/>
      <w:lang w:val="es-MX"/>
    </w:rPr>
  </w:style>
  <w:style w:styleId="style6" w:type="paragraph">
    <w:name w:val="Encabezado 6"/>
    <w:basedOn w:val="style0"/>
    <w:next w:val="style51"/>
    <w:pPr>
      <w:numPr>
        <w:ilvl w:val="5"/>
        <w:numId w:val="1"/>
      </w:numPr>
      <w:spacing w:after="60" w:before="240"/>
      <w:outlineLvl w:val="5"/>
    </w:pPr>
    <w:rPr>
      <w:b/>
      <w:bCs/>
      <w:sz w:val="22"/>
      <w:szCs w:val="22"/>
    </w:rPr>
  </w:style>
  <w:style w:styleId="style7" w:type="paragraph">
    <w:name w:val="Encabezado 7"/>
    <w:basedOn w:val="style0"/>
    <w:next w:val="style51"/>
    <w:pPr>
      <w:numPr>
        <w:ilvl w:val="6"/>
        <w:numId w:val="1"/>
      </w:numPr>
      <w:spacing w:after="60" w:before="240"/>
      <w:outlineLvl w:val="6"/>
    </w:pPr>
    <w:rPr/>
  </w:style>
  <w:style w:styleId="style8" w:type="paragraph">
    <w:name w:val="Encabezado 8"/>
    <w:basedOn w:val="style0"/>
    <w:next w:val="style51"/>
    <w:pPr>
      <w:numPr>
        <w:ilvl w:val="7"/>
        <w:numId w:val="1"/>
      </w:numPr>
      <w:spacing w:after="60" w:before="240"/>
      <w:outlineLvl w:val="7"/>
    </w:pPr>
    <w:rPr>
      <w:i/>
      <w:iCs/>
    </w:rPr>
  </w:style>
  <w:style w:styleId="style9" w:type="paragraph">
    <w:name w:val="Encabezado 9"/>
    <w:basedOn w:val="style0"/>
    <w:next w:val="style51"/>
    <w:pPr>
      <w:keepNext/>
      <w:numPr>
        <w:ilvl w:val="8"/>
        <w:numId w:val="1"/>
      </w:numPr>
      <w:ind w:firstLine="397" w:left="0" w:right="0"/>
      <w:outlineLvl w:val="8"/>
    </w:pPr>
    <w:rPr/>
  </w:style>
  <w:style w:styleId="style15" w:type="character">
    <w:name w:val="Default Paragraph Font"/>
    <w:next w:val="style15"/>
    <w:rPr/>
  </w:style>
  <w:style w:styleId="style16" w:type="character">
    <w:name w:val="page number"/>
    <w:basedOn w:val="style15"/>
    <w:next w:val="style16"/>
    <w:rPr/>
  </w:style>
  <w:style w:styleId="style17" w:type="character">
    <w:name w:val="annotation reference"/>
    <w:next w:val="style17"/>
    <w:rPr>
      <w:sz w:val="16"/>
      <w:szCs w:val="16"/>
    </w:rPr>
  </w:style>
  <w:style w:styleId="style18" w:type="character">
    <w:name w:val="Enlace de Internet"/>
    <w:next w:val="style18"/>
    <w:rPr>
      <w:color w:val="0000FF"/>
      <w:u w:val="single"/>
      <w:lang w:bidi="es-ES" w:eastAsia="es-ES" w:val="es-ES"/>
    </w:rPr>
  </w:style>
  <w:style w:styleId="style19" w:type="character">
    <w:name w:val="Typewriter"/>
    <w:next w:val="style19"/>
    <w:rPr>
      <w:rFonts w:ascii="Courier New" w:cs="Courier New" w:hAnsi="Courier New"/>
      <w:sz w:val="20"/>
      <w:szCs w:val="20"/>
    </w:rPr>
  </w:style>
  <w:style w:styleId="style20" w:type="character">
    <w:name w:val="hilite21"/>
    <w:next w:val="style20"/>
    <w:rPr>
      <w:shd w:fill="CCCC99" w:val="clear"/>
    </w:rPr>
  </w:style>
  <w:style w:styleId="style21" w:type="character">
    <w:name w:val="ft1p81"/>
    <w:next w:val="style21"/>
    <w:rPr>
      <w:rFonts w:ascii="Arial" w:cs="Arial" w:hAnsi="Arial"/>
      <w:b w:val="false"/>
      <w:bCs w:val="false"/>
      <w:i w:val="false"/>
      <w:iCs w:val="false"/>
      <w:color w:val="000000"/>
      <w:sz w:val="26"/>
      <w:szCs w:val="26"/>
    </w:rPr>
  </w:style>
  <w:style w:styleId="style22" w:type="character">
    <w:name w:val="ft0p81"/>
    <w:next w:val="style22"/>
    <w:rPr>
      <w:rFonts w:ascii="Arial" w:cs="Arial" w:hAnsi="Arial"/>
      <w:b/>
      <w:bCs/>
      <w:i/>
      <w:iCs/>
      <w:color w:val="000000"/>
      <w:sz w:val="26"/>
      <w:szCs w:val="26"/>
    </w:rPr>
  </w:style>
  <w:style w:styleId="style23" w:type="character">
    <w:name w:val="ft1p141"/>
    <w:next w:val="style23"/>
    <w:rPr>
      <w:rFonts w:ascii="Arial" w:cs="Arial" w:hAnsi="Arial"/>
      <w:b/>
      <w:bCs/>
      <w:i/>
      <w:iCs/>
      <w:color w:val="000000"/>
      <w:sz w:val="26"/>
      <w:szCs w:val="26"/>
    </w:rPr>
  </w:style>
  <w:style w:styleId="style24" w:type="character">
    <w:name w:val="ft0p141"/>
    <w:next w:val="style24"/>
    <w:rPr>
      <w:rFonts w:ascii="Arial" w:cs="Arial" w:hAnsi="Arial"/>
      <w:b w:val="false"/>
      <w:bCs w:val="false"/>
      <w:i w:val="false"/>
      <w:iCs w:val="false"/>
      <w:color w:val="000000"/>
      <w:sz w:val="26"/>
      <w:szCs w:val="26"/>
    </w:rPr>
  </w:style>
  <w:style w:styleId="style25" w:type="character">
    <w:name w:val="ft4p141"/>
    <w:next w:val="style25"/>
    <w:rPr>
      <w:rFonts w:ascii="Arial Black" w:hAnsi="Arial Black"/>
      <w:b w:val="false"/>
      <w:bCs w:val="false"/>
      <w:i w:val="false"/>
      <w:iCs w:val="false"/>
      <w:color w:val="000000"/>
      <w:sz w:val="22"/>
      <w:szCs w:val="22"/>
    </w:rPr>
  </w:style>
  <w:style w:styleId="style26" w:type="character">
    <w:name w:val="ft5p141"/>
    <w:next w:val="style26"/>
    <w:rPr>
      <w:rFonts w:ascii="Arial Black" w:hAnsi="Arial Black"/>
      <w:b w:val="false"/>
      <w:bCs w:val="false"/>
      <w:i w:val="false"/>
      <w:iCs w:val="false"/>
      <w:color w:val="000000"/>
      <w:sz w:val="24"/>
      <w:szCs w:val="24"/>
    </w:rPr>
  </w:style>
  <w:style w:styleId="style27" w:type="character">
    <w:name w:val="ft0p151"/>
    <w:next w:val="style27"/>
    <w:rPr>
      <w:rFonts w:ascii="Arial" w:cs="Arial" w:hAnsi="Arial"/>
      <w:b w:val="false"/>
      <w:bCs w:val="false"/>
      <w:i w:val="false"/>
      <w:iCs w:val="false"/>
      <w:color w:val="000000"/>
      <w:sz w:val="26"/>
      <w:szCs w:val="26"/>
    </w:rPr>
  </w:style>
  <w:style w:styleId="style28" w:type="character">
    <w:name w:val="Encabezado Car"/>
    <w:next w:val="style28"/>
    <w:rPr>
      <w:rFonts w:ascii="Arial" w:hAnsi="Arial"/>
      <w:sz w:val="24"/>
      <w:szCs w:val="24"/>
      <w:lang w:eastAsia="es-ES" w:val="es-ES"/>
    </w:rPr>
  </w:style>
  <w:style w:styleId="style29" w:type="character">
    <w:name w:val="mw-headline"/>
    <w:basedOn w:val="style15"/>
    <w:next w:val="style29"/>
    <w:rPr/>
  </w:style>
  <w:style w:styleId="style30" w:type="character">
    <w:name w:val="Cita Car"/>
    <w:next w:val="style30"/>
    <w:rPr>
      <w:rFonts w:ascii="Arial" w:cs="Times New Roman" w:eastAsia="Calibri" w:hAnsi="Arial"/>
      <w:iCs/>
      <w:color w:val="000000"/>
      <w:sz w:val="24"/>
      <w:szCs w:val="22"/>
      <w:lang w:eastAsia="en-US" w:val="es-ES"/>
    </w:rPr>
  </w:style>
  <w:style w:styleId="style31" w:type="character">
    <w:name w:val="Título 1 Car"/>
    <w:next w:val="style31"/>
    <w:rPr>
      <w:b/>
      <w:bCs/>
      <w:sz w:val="28"/>
      <w:szCs w:val="24"/>
      <w:lang w:eastAsia="es-ES" w:val="es-ES"/>
    </w:rPr>
  </w:style>
  <w:style w:styleId="style32" w:type="character">
    <w:name w:val="Título Car"/>
    <w:next w:val="style32"/>
    <w:rPr>
      <w:rFonts w:ascii="Arial" w:hAnsi="Arial"/>
      <w:b/>
      <w:bCs/>
      <w:sz w:val="24"/>
      <w:szCs w:val="24"/>
      <w:lang w:eastAsia="es-ES" w:val="es-ES"/>
    </w:rPr>
  </w:style>
  <w:style w:styleId="style33" w:type="character">
    <w:name w:val="Pie de página Car"/>
    <w:next w:val="style33"/>
    <w:rPr>
      <w:rFonts w:ascii="Arial" w:hAnsi="Arial"/>
      <w:sz w:val="24"/>
      <w:szCs w:val="24"/>
      <w:lang w:eastAsia="es-ES" w:val="es-ES"/>
    </w:rPr>
  </w:style>
  <w:style w:styleId="style34" w:type="character">
    <w:name w:val="Texto independiente 2 Car"/>
    <w:next w:val="style34"/>
    <w:rPr>
      <w:rFonts w:ascii="Arial" w:hAnsi="Arial"/>
      <w:sz w:val="24"/>
      <w:szCs w:val="24"/>
    </w:rPr>
  </w:style>
  <w:style w:styleId="style35" w:type="character">
    <w:name w:val="Estilo 115 pt"/>
    <w:next w:val="style35"/>
    <w:rPr>
      <w:sz w:val="24"/>
      <w:szCs w:val="24"/>
    </w:rPr>
  </w:style>
  <w:style w:styleId="style36" w:type="character">
    <w:name w:val="ft22"/>
    <w:next w:val="style36"/>
    <w:rPr>
      <w:rFonts w:ascii="Times" w:cs="Times" w:hAnsi="Times"/>
      <w:sz w:val="18"/>
      <w:szCs w:val="18"/>
    </w:rPr>
  </w:style>
  <w:style w:styleId="style37" w:type="character">
    <w:name w:val="apple-converted-space"/>
    <w:next w:val="style37"/>
    <w:rPr/>
  </w:style>
  <w:style w:styleId="style38" w:type="character">
    <w:name w:val="CITA TEXTUAL Car1"/>
    <w:next w:val="style38"/>
    <w:rPr>
      <w:sz w:val="24"/>
      <w:lang w:eastAsia="es-ES" w:val="es-ES"/>
    </w:rPr>
  </w:style>
  <w:style w:styleId="style39" w:type="character">
    <w:name w:val="creditos1"/>
    <w:next w:val="style39"/>
    <w:rPr>
      <w:rFonts w:ascii="Verdana" w:hAnsi="Verdana"/>
      <w:i w:val="false"/>
      <w:iCs w:val="false"/>
      <w:color w:val="797979"/>
      <w:sz w:val="15"/>
      <w:szCs w:val="15"/>
    </w:rPr>
  </w:style>
  <w:style w:styleId="style40" w:type="character">
    <w:name w:val="Muy destacado"/>
    <w:next w:val="style40"/>
    <w:rPr>
      <w:b/>
      <w:bCs/>
    </w:rPr>
  </w:style>
  <w:style w:styleId="style41" w:type="character">
    <w:name w:val="Texto independiente Car"/>
    <w:next w:val="style41"/>
    <w:rPr>
      <w:sz w:val="24"/>
      <w:szCs w:val="24"/>
      <w:lang w:eastAsia="es-ES" w:val="es-ES"/>
    </w:rPr>
  </w:style>
  <w:style w:styleId="style42" w:type="character">
    <w:name w:val="Cita Textual Car"/>
    <w:next w:val="style42"/>
    <w:rPr>
      <w:sz w:val="24"/>
      <w:szCs w:val="24"/>
      <w:lang w:eastAsia="es-ES" w:val="es-ES"/>
    </w:rPr>
  </w:style>
  <w:style w:styleId="style43" w:type="character">
    <w:name w:val="Destacado"/>
    <w:next w:val="style43"/>
    <w:rPr>
      <w:i/>
      <w:iCs/>
    </w:rPr>
  </w:style>
  <w:style w:styleId="style44" w:type="character">
    <w:name w:val="Título 2 Car"/>
    <w:next w:val="style44"/>
    <w:rPr>
      <w:b/>
      <w:bCs/>
      <w:sz w:val="24"/>
      <w:szCs w:val="24"/>
      <w:lang w:eastAsia="es-ES" w:val="es-ES"/>
    </w:rPr>
  </w:style>
  <w:style w:styleId="style45" w:type="character">
    <w:name w:val="Título 3 Car"/>
    <w:next w:val="style45"/>
    <w:rPr>
      <w:b/>
      <w:bCs/>
      <w:sz w:val="24"/>
      <w:szCs w:val="24"/>
      <w:lang w:eastAsia="es-ES" w:val="es-ES"/>
    </w:rPr>
  </w:style>
  <w:style w:styleId="style46" w:type="character">
    <w:name w:val="Subtítulo Car"/>
    <w:next w:val="style46"/>
    <w:rPr>
      <w:rFonts w:ascii="Arial" w:cs="Arial" w:hAnsi="Arial"/>
      <w:sz w:val="24"/>
      <w:szCs w:val="24"/>
      <w:lang w:eastAsia="es-ES" w:val="es-ES"/>
    </w:rPr>
  </w:style>
  <w:style w:styleId="style47" w:type="character">
    <w:name w:val="Texto de globo Car"/>
    <w:next w:val="style47"/>
    <w:rPr>
      <w:rFonts w:ascii="Tahoma" w:cs="Tahoma" w:hAnsi="Tahoma"/>
      <w:sz w:val="16"/>
      <w:szCs w:val="16"/>
      <w:lang w:eastAsia="es-ES" w:val="es-ES"/>
    </w:rPr>
  </w:style>
  <w:style w:styleId="style48" w:type="character">
    <w:name w:val="ListLabel 1"/>
    <w:next w:val="style48"/>
    <w:rPr>
      <w:rFonts w:cs="Courier New"/>
    </w:rPr>
  </w:style>
  <w:style w:styleId="style49" w:type="character">
    <w:name w:val="Enlace del índice"/>
    <w:next w:val="style49"/>
    <w:rPr/>
  </w:style>
  <w:style w:styleId="style50" w:type="paragraph">
    <w:name w:val="Encabezado"/>
    <w:basedOn w:val="style0"/>
    <w:next w:val="style51"/>
    <w:pPr>
      <w:keepNext/>
      <w:spacing w:after="120" w:before="240"/>
    </w:pPr>
    <w:rPr>
      <w:rFonts w:ascii="Liberation Sans" w:cs="Lohit Hindi" w:eastAsia="Droid Sans" w:hAnsi="Liberation Sans"/>
      <w:sz w:val="28"/>
      <w:szCs w:val="28"/>
    </w:rPr>
  </w:style>
  <w:style w:styleId="style51" w:type="paragraph">
    <w:name w:val="Cuerpo de texto"/>
    <w:basedOn w:val="style0"/>
    <w:next w:val="style51"/>
    <w:pPr/>
    <w:rPr/>
  </w:style>
  <w:style w:styleId="style52" w:type="paragraph">
    <w:name w:val="Lista"/>
    <w:basedOn w:val="style51"/>
    <w:next w:val="style52"/>
    <w:pPr/>
    <w:rPr>
      <w:rFonts w:cs="Lohit Hindi"/>
    </w:rPr>
  </w:style>
  <w:style w:styleId="style53" w:type="paragraph">
    <w:name w:val="Etiqueta"/>
    <w:basedOn w:val="style0"/>
    <w:next w:val="style53"/>
    <w:pPr>
      <w:suppressLineNumbers/>
      <w:spacing w:after="120" w:before="120"/>
    </w:pPr>
    <w:rPr>
      <w:rFonts w:cs="Lohit Hindi"/>
      <w:i/>
      <w:iCs/>
      <w:sz w:val="24"/>
      <w:szCs w:val="24"/>
    </w:rPr>
  </w:style>
  <w:style w:styleId="style54" w:type="paragraph">
    <w:name w:val="Índice"/>
    <w:basedOn w:val="style0"/>
    <w:next w:val="style54"/>
    <w:pPr>
      <w:suppressLineNumbers/>
    </w:pPr>
    <w:rPr>
      <w:rFonts w:cs="Lohit Hindi"/>
    </w:rPr>
  </w:style>
  <w:style w:styleId="style55" w:type="paragraph">
    <w:name w:val="Cuerpo de texto con sangría"/>
    <w:basedOn w:val="style0"/>
    <w:next w:val="style55"/>
    <w:pPr>
      <w:ind w:firstLine="708" w:left="283" w:right="0"/>
    </w:pPr>
    <w:rPr/>
  </w:style>
  <w:style w:styleId="style56" w:type="paragraph">
    <w:name w:val="Título"/>
    <w:basedOn w:val="style0"/>
    <w:next w:val="style57"/>
    <w:pPr>
      <w:jc w:val="center"/>
    </w:pPr>
    <w:rPr>
      <w:rFonts w:ascii="Arial" w:hAnsi="Arial"/>
      <w:b/>
      <w:bCs/>
      <w:sz w:val="36"/>
      <w:szCs w:val="36"/>
    </w:rPr>
  </w:style>
  <w:style w:styleId="style57" w:type="paragraph">
    <w:name w:val="Subtítulo"/>
    <w:basedOn w:val="style0"/>
    <w:next w:val="style51"/>
    <w:pPr>
      <w:spacing w:after="60" w:before="0" w:line="100" w:lineRule="atLeast"/>
      <w:ind w:hanging="0" w:left="0" w:right="0"/>
      <w:jc w:val="center"/>
    </w:pPr>
    <w:rPr>
      <w:rFonts w:ascii="Arial" w:cs="Arial" w:hAnsi="Arial"/>
      <w:i/>
      <w:iCs/>
      <w:sz w:val="28"/>
      <w:szCs w:val="28"/>
      <w:lang w:val="es-ES"/>
    </w:rPr>
  </w:style>
  <w:style w:styleId="style58" w:type="paragraph">
    <w:name w:val="Body Text 2"/>
    <w:basedOn w:val="style0"/>
    <w:next w:val="style58"/>
    <w:pPr/>
    <w:rPr>
      <w:rFonts w:ascii="Arial" w:hAnsi="Arial"/>
    </w:rPr>
  </w:style>
  <w:style w:styleId="style59" w:type="paragraph">
    <w:name w:val="Encabezamiento"/>
    <w:basedOn w:val="style0"/>
    <w:next w:val="style59"/>
    <w:pPr>
      <w:suppressLineNumbers/>
      <w:tabs>
        <w:tab w:leader="none" w:pos="4419" w:val="center"/>
        <w:tab w:leader="none" w:pos="8838" w:val="right"/>
      </w:tabs>
    </w:pPr>
    <w:rPr>
      <w:rFonts w:ascii="Arial" w:hAnsi="Arial"/>
    </w:rPr>
  </w:style>
  <w:style w:styleId="style60" w:type="paragraph">
    <w:name w:val="Pie de página"/>
    <w:basedOn w:val="style0"/>
    <w:next w:val="style60"/>
    <w:pPr>
      <w:suppressLineNumbers/>
      <w:tabs>
        <w:tab w:leader="none" w:pos="4419" w:val="center"/>
        <w:tab w:leader="none" w:pos="8838" w:val="right"/>
      </w:tabs>
    </w:pPr>
    <w:rPr>
      <w:rFonts w:ascii="Arial" w:hAnsi="Arial"/>
    </w:rPr>
  </w:style>
  <w:style w:styleId="style61" w:type="paragraph">
    <w:name w:val="Body Text Indent 2"/>
    <w:basedOn w:val="style0"/>
    <w:next w:val="style61"/>
    <w:pPr>
      <w:spacing w:line="413" w:lineRule="exact"/>
      <w:ind w:firstLine="725" w:left="0" w:right="0"/>
    </w:pPr>
    <w:rPr>
      <w:lang w:val="es-MX"/>
    </w:rPr>
  </w:style>
  <w:style w:styleId="style62" w:type="paragraph">
    <w:name w:val="Body Text 3"/>
    <w:basedOn w:val="style0"/>
    <w:next w:val="style62"/>
    <w:pPr>
      <w:jc w:val="center"/>
    </w:pPr>
    <w:rPr>
      <w:lang w:val="es-MX"/>
    </w:rPr>
  </w:style>
  <w:style w:styleId="style63" w:type="paragraph">
    <w:name w:val="Block Text"/>
    <w:basedOn w:val="style0"/>
    <w:next w:val="style63"/>
    <w:pPr>
      <w:ind w:firstLine="567" w:left="567" w:right="567"/>
    </w:pPr>
    <w:rPr>
      <w:lang w:val="es-MX"/>
    </w:rPr>
  </w:style>
  <w:style w:styleId="style64" w:type="paragraph">
    <w:name w:val="Body Text Indent 3"/>
    <w:basedOn w:val="style0"/>
    <w:next w:val="style64"/>
    <w:pPr>
      <w:spacing w:after="120" w:before="0"/>
      <w:ind w:firstLine="567" w:left="283" w:right="0"/>
    </w:pPr>
    <w:rPr>
      <w:sz w:val="16"/>
      <w:szCs w:val="16"/>
    </w:rPr>
  </w:style>
  <w:style w:styleId="style65" w:type="paragraph">
    <w:name w:val="Portada Principal"/>
    <w:basedOn w:val="style0"/>
    <w:next w:val="style65"/>
    <w:pPr>
      <w:overflowPunct w:val="true"/>
      <w:ind w:firstLine="709" w:left="0" w:right="0"/>
      <w:jc w:val="center"/>
      <w:textAlignment w:val="baseline"/>
    </w:pPr>
    <w:rPr>
      <w:caps/>
      <w:sz w:val="26"/>
      <w:szCs w:val="20"/>
      <w:lang w:val="es-ES"/>
    </w:rPr>
  </w:style>
  <w:style w:styleId="style66" w:type="paragraph">
    <w:name w:val="Portada del Título"/>
    <w:basedOn w:val="style51"/>
    <w:next w:val="style66"/>
    <w:pPr>
      <w:jc w:val="center"/>
    </w:pPr>
    <w:rPr>
      <w:b/>
      <w:bCs/>
      <w:caps/>
    </w:rPr>
  </w:style>
  <w:style w:styleId="style67" w:type="paragraph">
    <w:name w:val="Cita Textual"/>
    <w:basedOn w:val="style63"/>
    <w:next w:val="style67"/>
    <w:pPr>
      <w:spacing w:after="0" w:before="120"/>
      <w:ind w:firstLine="709" w:left="851" w:right="851"/>
    </w:pPr>
    <w:rPr>
      <w:lang w:val="es-ES"/>
    </w:rPr>
  </w:style>
  <w:style w:styleId="style68" w:type="paragraph">
    <w:name w:val="annotation text"/>
    <w:basedOn w:val="style0"/>
    <w:next w:val="style68"/>
    <w:pPr/>
    <w:rPr>
      <w:sz w:val="20"/>
      <w:szCs w:val="20"/>
    </w:rPr>
  </w:style>
  <w:style w:styleId="style69" w:type="paragraph">
    <w:name w:val="Balloon Text"/>
    <w:basedOn w:val="style0"/>
    <w:next w:val="style69"/>
    <w:pPr/>
    <w:rPr>
      <w:rFonts w:ascii="Tahoma" w:cs="Tahoma" w:hAnsi="Tahoma"/>
      <w:sz w:val="16"/>
      <w:szCs w:val="16"/>
    </w:rPr>
  </w:style>
  <w:style w:styleId="style70" w:type="paragraph">
    <w:name w:val="Texto independiente 21"/>
    <w:basedOn w:val="style0"/>
    <w:next w:val="style70"/>
    <w:pPr>
      <w:overflowPunct w:val="true"/>
      <w:ind w:firstLine="567" w:left="851" w:right="851"/>
      <w:textAlignment w:val="baseline"/>
    </w:pPr>
    <w:rPr>
      <w:sz w:val="26"/>
      <w:szCs w:val="20"/>
      <w:lang w:val="es-ES"/>
    </w:rPr>
  </w:style>
  <w:style w:styleId="style71" w:type="paragraph">
    <w:name w:val="Subportada"/>
    <w:basedOn w:val="style0"/>
    <w:next w:val="style71"/>
    <w:pPr>
      <w:jc w:val="center"/>
    </w:pPr>
    <w:rPr/>
  </w:style>
  <w:style w:styleId="style72" w:type="paragraph">
    <w:name w:val="Portada Autor"/>
    <w:basedOn w:val="style0"/>
    <w:next w:val="style72"/>
    <w:pPr/>
    <w:rPr/>
  </w:style>
  <w:style w:styleId="style73" w:type="paragraph">
    <w:name w:val="Bibliography"/>
    <w:basedOn w:val="style0"/>
    <w:next w:val="style73"/>
    <w:pPr>
      <w:ind w:hanging="340" w:left="340" w:right="0"/>
    </w:pPr>
    <w:rPr>
      <w:szCs w:val="20"/>
      <w:lang w:val="es-VE"/>
    </w:rPr>
  </w:style>
  <w:style w:styleId="style74" w:type="paragraph">
    <w:name w:val="Portada de Autor"/>
    <w:basedOn w:val="style0"/>
    <w:next w:val="style74"/>
    <w:pPr>
      <w:overflowPunct w:val="true"/>
      <w:ind w:firstLine="709" w:left="0" w:right="0"/>
      <w:textAlignment w:val="baseline"/>
    </w:pPr>
    <w:rPr>
      <w:sz w:val="26"/>
      <w:szCs w:val="20"/>
      <w:lang w:val="es-ES"/>
    </w:rPr>
  </w:style>
  <w:style w:styleId="style75" w:type="paragraph">
    <w:name w:val="List Number"/>
    <w:basedOn w:val="style0"/>
    <w:next w:val="style75"/>
    <w:pPr>
      <w:keepLines/>
      <w:numPr>
        <w:ilvl w:val="0"/>
        <w:numId w:val="1"/>
      </w:numPr>
      <w:spacing w:line="480" w:lineRule="auto"/>
      <w:outlineLvl w:val="0"/>
    </w:pPr>
    <w:rPr>
      <w:color w:val="000000"/>
      <w:szCs w:val="20"/>
      <w:lang w:val="es-ES"/>
    </w:rPr>
  </w:style>
  <w:style w:styleId="style76" w:type="paragraph">
    <w:name w:val="Normal (Web)"/>
    <w:basedOn w:val="style0"/>
    <w:next w:val="style76"/>
    <w:pPr>
      <w:spacing w:line="100" w:lineRule="atLeast"/>
      <w:ind w:hanging="0" w:left="0" w:right="0"/>
      <w:jc w:val="left"/>
    </w:pPr>
    <w:rPr>
      <w:rFonts w:ascii="Arial" w:cs="Arial" w:eastAsia="Arial Unicode MS" w:hAnsi="Arial"/>
      <w:color w:val="666666"/>
    </w:rPr>
  </w:style>
  <w:style w:styleId="style77" w:type="paragraph">
    <w:name w:val="Estilo Título + Interlineado:  sencillo"/>
    <w:basedOn w:val="style56"/>
    <w:next w:val="style77"/>
    <w:pPr>
      <w:spacing w:after="0" w:before="600" w:line="100" w:lineRule="atLeast"/>
    </w:pPr>
    <w:rPr>
      <w:szCs w:val="20"/>
    </w:rPr>
  </w:style>
  <w:style w:styleId="style78" w:type="paragraph">
    <w:name w:val="Estilo Justificado Interlineado:  15 líneas"/>
    <w:basedOn w:val="style0"/>
    <w:next w:val="style78"/>
    <w:pPr/>
    <w:rPr>
      <w:szCs w:val="20"/>
    </w:rPr>
  </w:style>
  <w:style w:styleId="style79" w:type="paragraph">
    <w:name w:val="Estilo1"/>
    <w:basedOn w:val="style0"/>
    <w:next w:val="style79"/>
    <w:pPr>
      <w:shd w:fill="FFFFFF" w:val="clear"/>
      <w:ind w:firstLine="624" w:left="0" w:right="0"/>
    </w:pPr>
    <w:rPr>
      <w:iCs/>
      <w:spacing w:val="-10"/>
      <w:sz w:val="26"/>
      <w:lang w:val="es-ES"/>
    </w:rPr>
  </w:style>
  <w:style w:styleId="style80" w:type="paragraph">
    <w:name w:val="CITA TEXTUAL"/>
    <w:basedOn w:val="style63"/>
    <w:next w:val="style80"/>
    <w:pPr>
      <w:overflowPunct w:val="true"/>
      <w:spacing w:line="100" w:lineRule="atLeast"/>
      <w:ind w:hanging="0" w:left="567" w:right="567"/>
      <w:textAlignment w:val="baseline"/>
    </w:pPr>
    <w:rPr>
      <w:szCs w:val="20"/>
      <w:lang w:val="es-ES"/>
    </w:rPr>
  </w:style>
  <w:style w:styleId="style81" w:type="paragraph">
    <w:name w:val="CITA"/>
    <w:basedOn w:val="style0"/>
    <w:next w:val="style81"/>
    <w:pPr>
      <w:spacing w:line="100" w:lineRule="atLeast"/>
      <w:ind w:hanging="0" w:left="567" w:right="567"/>
    </w:pPr>
    <w:rPr>
      <w:lang w:eastAsia="es-ES"/>
    </w:rPr>
  </w:style>
  <w:style w:styleId="style82" w:type="paragraph">
    <w:name w:val="List Paragraph"/>
    <w:basedOn w:val="style0"/>
    <w:next w:val="style82"/>
    <w:pPr>
      <w:spacing w:after="200" w:before="0" w:line="276" w:lineRule="auto"/>
      <w:ind w:hanging="0" w:left="720" w:right="0"/>
      <w:jc w:val="left"/>
    </w:pPr>
    <w:rPr>
      <w:rFonts w:ascii="Calibri" w:eastAsia="Calibri" w:hAnsi="Calibri"/>
      <w:sz w:val="22"/>
      <w:szCs w:val="22"/>
      <w:lang w:eastAsia="en-US"/>
    </w:rPr>
  </w:style>
  <w:style w:styleId="style83" w:type="paragraph">
    <w:name w:val="Quote"/>
    <w:basedOn w:val="style0"/>
    <w:next w:val="style83"/>
    <w:pPr>
      <w:spacing w:line="100" w:lineRule="atLeast"/>
      <w:ind w:hanging="0" w:left="567" w:right="567"/>
    </w:pPr>
    <w:rPr>
      <w:rFonts w:ascii="Arial" w:eastAsia="Calibri" w:hAnsi="Arial"/>
      <w:iCs/>
      <w:color w:val="000000"/>
      <w:szCs w:val="22"/>
      <w:lang w:eastAsia="en-US"/>
    </w:rPr>
  </w:style>
  <w:style w:styleId="style84" w:type="paragraph">
    <w:name w:val="Estilo Arial 12 pt Justificado Interlineado:  15 líneas"/>
    <w:basedOn w:val="style0"/>
    <w:next w:val="style84"/>
    <w:pPr>
      <w:ind w:firstLine="709" w:left="0" w:right="0"/>
    </w:pPr>
    <w:rPr>
      <w:szCs w:val="20"/>
      <w:lang w:val="es-VE"/>
    </w:rPr>
  </w:style>
  <w:style w:styleId="style85" w:type="paragraph">
    <w:name w:val="Estilo Justificado Primera línea:  063 cm Interlineado:  15 líne..."/>
    <w:basedOn w:val="style0"/>
    <w:next w:val="style85"/>
    <w:pPr>
      <w:ind w:firstLine="709" w:left="0" w:right="0"/>
    </w:pPr>
    <w:rPr>
      <w:szCs w:val="20"/>
    </w:rPr>
  </w:style>
  <w:style w:styleId="style86" w:type="paragraph">
    <w:name w:val="Estilo CITA + Arial"/>
    <w:basedOn w:val="style81"/>
    <w:next w:val="style86"/>
    <w:pPr>
      <w:ind w:hanging="0" w:left="851" w:right="851"/>
    </w:pPr>
    <w:rPr/>
  </w:style>
  <w:style w:styleId="style87" w:type="paragraph">
    <w:name w:val="Estilo Cita Textual + 13 pt"/>
    <w:basedOn w:val="style80"/>
    <w:next w:val="style87"/>
    <w:pPr>
      <w:overflowPunct w:val="false"/>
      <w:ind w:firstLine="709" w:left="567" w:right="567"/>
      <w:textAlignment w:val="auto"/>
    </w:pPr>
    <w:rPr>
      <w:rFonts w:ascii="Arial" w:hAnsi="Arial"/>
      <w:sz w:val="26"/>
      <w:szCs w:val="26"/>
      <w:lang w:val="es-ES"/>
    </w:rPr>
  </w:style>
  <w:style w:styleId="style88" w:type="paragraph">
    <w:name w:val="Estilo CITA TEXTUAL + Arial"/>
    <w:basedOn w:val="style80"/>
    <w:next w:val="style88"/>
    <w:pPr/>
    <w:rPr>
      <w:rFonts w:ascii="Arial" w:hAnsi="Arial"/>
    </w:rPr>
  </w:style>
  <w:style w:styleId="style89" w:type="paragraph">
    <w:name w:val="Estilo Justificado Primera línea:  09 cm Interlineado:  15 líneas"/>
    <w:basedOn w:val="style0"/>
    <w:next w:val="style89"/>
    <w:pPr>
      <w:ind w:firstLine="340" w:left="0" w:right="0"/>
    </w:pPr>
    <w:rPr>
      <w:szCs w:val="20"/>
      <w:lang w:eastAsia="zh-CN"/>
    </w:rPr>
  </w:style>
  <w:style w:styleId="style90" w:type="paragraph">
    <w:name w:val="p50"/>
    <w:basedOn w:val="style0"/>
    <w:next w:val="style90"/>
    <w:pPr>
      <w:widowControl w:val="false"/>
      <w:tabs>
        <w:tab w:leader="none" w:pos="720" w:val="left"/>
      </w:tabs>
      <w:spacing w:line="220" w:lineRule="atLeast"/>
      <w:ind w:hanging="0" w:left="0" w:right="0"/>
    </w:pPr>
    <w:rPr>
      <w:szCs w:val="20"/>
    </w:rPr>
  </w:style>
  <w:style w:styleId="style91" w:type="paragraph">
    <w:name w:val="TITULO"/>
    <w:basedOn w:val="style0"/>
    <w:next w:val="style91"/>
    <w:pPr>
      <w:spacing w:after="0" w:before="600"/>
      <w:ind w:hanging="0" w:left="0" w:right="0"/>
      <w:jc w:val="center"/>
    </w:pPr>
    <w:rPr>
      <w:b/>
      <w:caps/>
      <w:lang w:val="es-VE"/>
    </w:rPr>
  </w:style>
  <w:style w:styleId="style92" w:type="paragraph">
    <w:name w:val="Índice 1"/>
    <w:basedOn w:val="style0"/>
    <w:next w:val="style92"/>
    <w:pPr>
      <w:tabs>
        <w:tab w:leader="dot" w:pos="9972" w:val="right"/>
      </w:tabs>
      <w:ind w:hanging="0" w:left="0" w:right="0"/>
    </w:pPr>
    <w:rPr/>
  </w:style>
  <w:style w:styleId="style93" w:type="paragraph">
    <w:name w:val="Índice 2"/>
    <w:basedOn w:val="style0"/>
    <w:next w:val="style93"/>
    <w:pPr>
      <w:tabs>
        <w:tab w:leader="dot" w:pos="9929" w:val="right"/>
      </w:tabs>
      <w:ind w:hanging="0" w:left="240" w:right="0"/>
    </w:pPr>
    <w:rPr/>
  </w:style>
  <w:style w:styleId="style94" w:type="paragraph">
    <w:name w:val="Índice 3"/>
    <w:basedOn w:val="style0"/>
    <w:next w:val="style94"/>
    <w:pPr>
      <w:tabs>
        <w:tab w:leader="dot" w:pos="9886" w:val="right"/>
      </w:tabs>
      <w:ind w:hanging="0" w:left="480" w:right="0"/>
    </w:pPr>
    <w:rPr/>
  </w:style>
  <w:style w:styleId="style95" w:type="paragraph">
    <w:name w:val="caption"/>
    <w:basedOn w:val="style0"/>
    <w:next w:val="style95"/>
    <w:pPr/>
    <w:rPr>
      <w:b/>
      <w:bCs/>
      <w:sz w:val="20"/>
      <w:szCs w:val="20"/>
    </w:rPr>
  </w:style>
  <w:style w:styleId="style96" w:type="paragraph">
    <w:name w:val="table of figures"/>
    <w:basedOn w:val="style0"/>
    <w:next w:val="style96"/>
    <w:pPr/>
    <w:rPr/>
  </w:style>
  <w:style w:styleId="style97" w:type="paragraph">
    <w:name w:val="Contenido del marco"/>
    <w:basedOn w:val="style51"/>
    <w:next w:val="style9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wmf"/><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header" Target="header6.xml"/><Relationship Id="rId20" Type="http://schemas.openxmlformats.org/officeDocument/2006/relationships/footer" Target="footer6.xml"/><Relationship Id="rId21" Type="http://schemas.openxmlformats.org/officeDocument/2006/relationships/header" Target="header7.xml"/><Relationship Id="rId22" Type="http://schemas.openxmlformats.org/officeDocument/2006/relationships/footer" Target="footer7.xml"/><Relationship Id="rId23" Type="http://schemas.openxmlformats.org/officeDocument/2006/relationships/hyperlink" Target="http://www.monografias.com/trabajos13/trainsti/trainsti.shtml" TargetMode="External"/><Relationship Id="rId24" Type="http://schemas.openxmlformats.org/officeDocument/2006/relationships/hyperlink" Target="http://www.monografias.com/trabajos12/desorgan/desorgan.shtml" TargetMode="External"/><Relationship Id="rId25" Type="http://schemas.openxmlformats.org/officeDocument/2006/relationships/hyperlink" Target="http://www.monografias.com/trabajos11/empre/empre.shtml" TargetMode="External"/><Relationship Id="rId26" Type="http://schemas.openxmlformats.org/officeDocument/2006/relationships/hyperlink" Target="http://www.monografias.com/trabajos6/napro/napro.shtml" TargetMode="External"/><Relationship Id="rId27" Type="http://schemas.openxmlformats.org/officeDocument/2006/relationships/hyperlink" Target="http://www.monografias.com/trabajos16/marx-y-dinero/marx-y-dinero.shtml" TargetMode="External"/><Relationship Id="rId28" Type="http://schemas.openxmlformats.org/officeDocument/2006/relationships/hyperlink" Target="http://www.monografias.com/trabajos15/financiamiento/financiamiento.shtml" TargetMode="External"/><Relationship Id="rId29" Type="http://schemas.openxmlformats.org/officeDocument/2006/relationships/hyperlink" Target="http://www.monografias.com/trabajos14/verific-servicios/verific-servicios.shtml" TargetMode="External"/><Relationship Id="rId30" Type="http://schemas.openxmlformats.org/officeDocument/2006/relationships/hyperlink" Target="http://www.monografias.com/Economia/index.shtml" TargetMode="External"/><Relationship Id="rId31" Type="http://schemas.openxmlformats.org/officeDocument/2006/relationships/header" Target="header8.xml"/><Relationship Id="rId32" Type="http://schemas.openxmlformats.org/officeDocument/2006/relationships/footer" Target="footer8.xml"/><Relationship Id="rId33" Type="http://schemas.openxmlformats.org/officeDocument/2006/relationships/header" Target="header9.xml"/><Relationship Id="rId34" Type="http://schemas.openxmlformats.org/officeDocument/2006/relationships/footer" Target="footer9.xml"/><Relationship Id="rId35" Type="http://schemas.openxmlformats.org/officeDocument/2006/relationships/header" Target="header10.xml"/><Relationship Id="rId36" Type="http://schemas.openxmlformats.org/officeDocument/2006/relationships/footer" Target="footer10.xml"/><Relationship Id="rId37" Type="http://schemas.openxmlformats.org/officeDocument/2006/relationships/image" Target="media/image8.png"/><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wmf"/><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header" Target="header11.xml"/><Relationship Id="rId55" Type="http://schemas.openxmlformats.org/officeDocument/2006/relationships/footer" Target="footer11.xml"/><Relationship Id="rId56" Type="http://schemas.openxmlformats.org/officeDocument/2006/relationships/image" Target="media/image25.wmf"/><Relationship Id="rId57" Type="http://schemas.openxmlformats.org/officeDocument/2006/relationships/image" Target="media/image26.wmf"/><Relationship Id="rId58" Type="http://schemas.openxmlformats.org/officeDocument/2006/relationships/image" Target="media/image27.wmf"/><Relationship Id="rId59" Type="http://schemas.openxmlformats.org/officeDocument/2006/relationships/header" Target="header12.xml"/><Relationship Id="rId60" Type="http://schemas.openxmlformats.org/officeDocument/2006/relationships/footer" Target="footer12.xml"/><Relationship Id="rId61" Type="http://schemas.openxmlformats.org/officeDocument/2006/relationships/numbering" Target="numbering.xml"/><Relationship Id="rId62"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2015-10-11T02:38:00.00Z</dcterms:created>
  <dc:creator>Peggy Andrade</dc:creator>
  <cp:lastModifiedBy>hafy</cp:lastModifiedBy>
  <cp:lastPrinted>2002-07-08T00:36:00.00Z</cp:lastPrinted>
  <dcterms:modified xsi:type="dcterms:W3CDTF">2015-10-15T21:57:00.00Z</dcterms:modified>
  <cp:revision>3</cp:revision>
  <dc:title>PLANTEAMIENTO DEL PROBLEMA</dc:title>
</cp:coreProperties>
</file>